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ind w:left="0"/>
        <w:jc w:val="left"/>
      </w:pPr>
    </w:p>
    <w:p>
      <w:pPr>
        <w:pStyle w:val="BodyText"/>
        <w:spacing w:line="322" w:lineRule="exact" w:before="87"/>
        <w:ind w:right="611"/>
        <w:jc w:val="right"/>
      </w:pPr>
      <w:r>
        <w:rPr/>
        <w:t>ISSN 2707-1162</w:t>
      </w:r>
      <w:r>
        <w:rPr>
          <w:spacing w:val="-13"/>
        </w:rPr>
        <w:t> </w:t>
      </w:r>
      <w:r>
        <w:rPr/>
        <w:t>(online)</w:t>
      </w:r>
    </w:p>
    <w:p>
      <w:pPr>
        <w:pStyle w:val="BodyText"/>
        <w:ind w:right="611"/>
        <w:jc w:val="right"/>
      </w:pPr>
      <w:r>
        <w:rPr/>
        <w:t>ISSN 2707-1154</w:t>
      </w:r>
      <w:r>
        <w:rPr>
          <w:spacing w:val="-13"/>
        </w:rPr>
        <w:t> </w:t>
      </w:r>
      <w:r>
        <w:rPr/>
        <w:t>(print)</w:t>
      </w: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spacing w:before="8"/>
        <w:ind w:left="0"/>
        <w:jc w:val="left"/>
        <w:rPr>
          <w:sz w:val="23"/>
        </w:rPr>
      </w:pPr>
    </w:p>
    <w:p>
      <w:pPr>
        <w:spacing w:line="240" w:lineRule="auto" w:before="1"/>
        <w:ind w:left="4289" w:right="610" w:firstLine="2799"/>
        <w:jc w:val="right"/>
        <w:rPr>
          <w:sz w:val="52"/>
        </w:rPr>
      </w:pPr>
      <w:r>
        <w:rPr>
          <w:w w:val="95"/>
          <w:sz w:val="52"/>
        </w:rPr>
        <w:t>AGRARIAN </w:t>
      </w:r>
      <w:r>
        <w:rPr>
          <w:sz w:val="52"/>
        </w:rPr>
        <w:t>BULLETIN</w:t>
      </w:r>
      <w:r>
        <w:rPr>
          <w:spacing w:val="-1"/>
          <w:sz w:val="52"/>
        </w:rPr>
        <w:t> </w:t>
      </w:r>
      <w:r>
        <w:rPr>
          <w:sz w:val="52"/>
        </w:rPr>
        <w:t>OF</w:t>
      </w:r>
      <w:r>
        <w:rPr>
          <w:spacing w:val="-6"/>
          <w:sz w:val="52"/>
        </w:rPr>
        <w:t> </w:t>
      </w:r>
      <w:r>
        <w:rPr>
          <w:sz w:val="52"/>
        </w:rPr>
        <w:t>THE</w:t>
      </w:r>
      <w:r>
        <w:rPr>
          <w:w w:val="99"/>
          <w:sz w:val="52"/>
        </w:rPr>
        <w:t> </w:t>
      </w:r>
      <w:r>
        <w:rPr>
          <w:sz w:val="52"/>
        </w:rPr>
        <w:t>BLACK SEA</w:t>
      </w:r>
      <w:r>
        <w:rPr>
          <w:spacing w:val="-22"/>
          <w:sz w:val="52"/>
        </w:rPr>
        <w:t> </w:t>
      </w:r>
      <w:r>
        <w:rPr>
          <w:sz w:val="52"/>
        </w:rPr>
        <w:t>LITTORAL</w:t>
      </w:r>
    </w:p>
    <w:p>
      <w:pPr>
        <w:pStyle w:val="BodyText"/>
        <w:ind w:left="0"/>
        <w:jc w:val="left"/>
        <w:rPr>
          <w:sz w:val="56"/>
        </w:rPr>
      </w:pPr>
    </w:p>
    <w:p>
      <w:pPr>
        <w:pStyle w:val="BodyText"/>
        <w:ind w:left="0"/>
        <w:jc w:val="left"/>
        <w:rPr>
          <w:sz w:val="56"/>
        </w:rPr>
      </w:pPr>
    </w:p>
    <w:p>
      <w:pPr>
        <w:pStyle w:val="BodyText"/>
        <w:spacing w:before="5"/>
        <w:ind w:left="0"/>
        <w:jc w:val="left"/>
        <w:rPr>
          <w:sz w:val="56"/>
        </w:rPr>
      </w:pPr>
    </w:p>
    <w:p>
      <w:pPr>
        <w:spacing w:before="0"/>
        <w:ind w:left="186" w:right="603" w:firstLine="0"/>
        <w:jc w:val="center"/>
        <w:rPr>
          <w:sz w:val="36"/>
        </w:rPr>
      </w:pPr>
      <w:r>
        <w:rPr>
          <w:sz w:val="36"/>
        </w:rPr>
        <w:t>SCIENTIFIC JOURNAL</w:t>
      </w:r>
    </w:p>
    <w:p>
      <w:pPr>
        <w:pStyle w:val="BodyText"/>
        <w:ind w:left="0"/>
        <w:jc w:val="left"/>
        <w:rPr>
          <w:sz w:val="40"/>
        </w:rPr>
      </w:pPr>
    </w:p>
    <w:p>
      <w:pPr>
        <w:pStyle w:val="BodyText"/>
        <w:ind w:left="0"/>
        <w:jc w:val="left"/>
        <w:rPr>
          <w:sz w:val="40"/>
        </w:rPr>
      </w:pPr>
    </w:p>
    <w:p>
      <w:pPr>
        <w:pStyle w:val="BodyText"/>
        <w:ind w:left="0"/>
        <w:jc w:val="left"/>
        <w:rPr>
          <w:sz w:val="40"/>
        </w:rPr>
      </w:pPr>
    </w:p>
    <w:p>
      <w:pPr>
        <w:pStyle w:val="BodyText"/>
        <w:spacing w:before="230"/>
        <w:ind w:right="611"/>
        <w:jc w:val="right"/>
      </w:pPr>
      <w:r>
        <w:rPr/>
        <w:t>ISSUE 96</w:t>
      </w:r>
    </w:p>
    <w:p>
      <w:pPr>
        <w:spacing w:after="0"/>
        <w:jc w:val="right"/>
        <w:sectPr>
          <w:headerReference w:type="default" r:id="rId5"/>
          <w:type w:val="continuous"/>
          <w:pgSz w:w="11910" w:h="16840"/>
          <w:pgMar w:header="713" w:top="1140" w:bottom="280" w:left="940" w:right="520"/>
        </w:sectPr>
      </w:pPr>
    </w:p>
    <w:p>
      <w:pPr>
        <w:spacing w:line="240" w:lineRule="auto" w:before="100"/>
        <w:ind w:left="154" w:right="1" w:firstLine="729"/>
        <w:jc w:val="left"/>
        <w:rPr>
          <w:sz w:val="22"/>
        </w:rPr>
      </w:pPr>
      <w:r>
        <w:rPr>
          <w:b/>
          <w:sz w:val="22"/>
        </w:rPr>
        <w:t>«Аграрний вісник Причорномор’я» </w:t>
      </w:r>
      <w:r>
        <w:rPr>
          <w:sz w:val="22"/>
        </w:rPr>
        <w:t>входить до “Переліку наукових фахових видань України”, в яких можуть публікуватися результати дисертаційних робіт на здобуття наукових ступенів доктора і кандидата наук у галузі ветеринарних та сільськогосподарських наук (затверджено наказами Міністерства освіти і науки України № 886 від 02.07.2020).</w:t>
      </w:r>
    </w:p>
    <w:p>
      <w:pPr>
        <w:spacing w:line="242" w:lineRule="auto" w:before="0"/>
        <w:ind w:left="154" w:right="1" w:firstLine="422"/>
        <w:jc w:val="left"/>
        <w:rPr>
          <w:sz w:val="22"/>
        </w:rPr>
      </w:pPr>
      <w:r>
        <w:rPr>
          <w:sz w:val="22"/>
        </w:rPr>
        <w:t>Свідоцтво про державну реєстрацію КВ № 24151-13991 ПР від 11.10.2019 року.</w:t>
      </w:r>
    </w:p>
    <w:p>
      <w:pPr>
        <w:tabs>
          <w:tab w:pos="1444" w:val="left" w:leader="none"/>
          <w:tab w:pos="2332" w:val="left" w:leader="none"/>
          <w:tab w:pos="3084" w:val="left" w:leader="none"/>
          <w:tab w:pos="3478" w:val="left" w:leader="none"/>
          <w:tab w:pos="3957" w:val="left" w:leader="none"/>
        </w:tabs>
        <w:spacing w:line="240" w:lineRule="auto" w:before="100"/>
        <w:ind w:left="154" w:right="467" w:firstLine="163"/>
        <w:jc w:val="left"/>
        <w:rPr>
          <w:sz w:val="22"/>
        </w:rPr>
      </w:pPr>
      <w:r>
        <w:rPr/>
        <w:br w:type="column"/>
      </w:r>
      <w:r>
        <w:rPr>
          <w:b/>
          <w:sz w:val="22"/>
        </w:rPr>
        <w:t>«Agrarian Bulletin of the Black Sea Littoral» </w:t>
      </w:r>
      <w:r>
        <w:rPr>
          <w:sz w:val="22"/>
        </w:rPr>
        <w:t>includes in the “List </w:t>
      </w:r>
      <w:r>
        <w:rPr>
          <w:spacing w:val="-3"/>
          <w:sz w:val="22"/>
        </w:rPr>
        <w:t>of </w:t>
      </w:r>
      <w:r>
        <w:rPr>
          <w:sz w:val="22"/>
        </w:rPr>
        <w:t>scientific professional publications </w:t>
      </w:r>
      <w:r>
        <w:rPr>
          <w:spacing w:val="-3"/>
          <w:sz w:val="22"/>
        </w:rPr>
        <w:t>of </w:t>
      </w:r>
      <w:r>
        <w:rPr>
          <w:sz w:val="22"/>
        </w:rPr>
        <w:t>Ukraine”, which can be published the results </w:t>
      </w:r>
      <w:r>
        <w:rPr>
          <w:spacing w:val="-3"/>
          <w:sz w:val="22"/>
        </w:rPr>
        <w:t>of </w:t>
      </w:r>
      <w:r>
        <w:rPr>
          <w:sz w:val="22"/>
        </w:rPr>
        <w:t>dissertations </w:t>
      </w:r>
      <w:r>
        <w:rPr>
          <w:spacing w:val="-3"/>
          <w:sz w:val="22"/>
        </w:rPr>
        <w:t>for </w:t>
      </w:r>
      <w:r>
        <w:rPr>
          <w:sz w:val="22"/>
        </w:rPr>
        <w:t>the degree of doctor and candidate </w:t>
      </w:r>
      <w:r>
        <w:rPr>
          <w:spacing w:val="-3"/>
          <w:sz w:val="22"/>
        </w:rPr>
        <w:t>of </w:t>
      </w:r>
      <w:r>
        <w:rPr>
          <w:sz w:val="22"/>
        </w:rPr>
        <w:t>Science in Veterinary and Agricultural</w:t>
        <w:tab/>
        <w:t>Science</w:t>
        <w:tab/>
        <w:t>(order</w:t>
        <w:tab/>
      </w:r>
      <w:r>
        <w:rPr>
          <w:spacing w:val="-3"/>
          <w:sz w:val="22"/>
        </w:rPr>
        <w:t>of</w:t>
        <w:tab/>
      </w:r>
      <w:r>
        <w:rPr>
          <w:sz w:val="22"/>
        </w:rPr>
        <w:t>the</w:t>
        <w:tab/>
        <w:t>Ministry education </w:t>
      </w:r>
      <w:r>
        <w:rPr>
          <w:spacing w:val="-3"/>
          <w:sz w:val="22"/>
        </w:rPr>
        <w:t>of </w:t>
      </w:r>
      <w:r>
        <w:rPr>
          <w:sz w:val="22"/>
        </w:rPr>
        <w:t>Ukraine № 886 </w:t>
      </w:r>
      <w:r>
        <w:rPr>
          <w:spacing w:val="-3"/>
          <w:sz w:val="22"/>
        </w:rPr>
        <w:t>of</w:t>
      </w:r>
      <w:r>
        <w:rPr>
          <w:spacing w:val="8"/>
          <w:sz w:val="22"/>
        </w:rPr>
        <w:t> </w:t>
      </w:r>
      <w:r>
        <w:rPr>
          <w:sz w:val="22"/>
        </w:rPr>
        <w:t>02.07.2020)</w:t>
      </w:r>
    </w:p>
    <w:p>
      <w:pPr>
        <w:spacing w:line="237" w:lineRule="auto" w:before="0"/>
        <w:ind w:left="154" w:right="467" w:firstLine="316"/>
        <w:jc w:val="left"/>
        <w:rPr>
          <w:sz w:val="22"/>
        </w:rPr>
      </w:pPr>
      <w:r>
        <w:rPr/>
        <w:pict>
          <v:group style="position:absolute;margin-left:311.160004pt;margin-top:-88.493134pt;width:1.45pt;height:688.75pt;mso-position-horizontal-relative:page;mso-position-vertical-relative:paragraph;z-index:251658240" coordorigin="6223,-1770" coordsize="29,13775">
            <v:line style="position:absolute" from="6238,-1770" to="6238,1015" stroked="true" strokeweight="1.44pt" strokecolor="#000000">
              <v:stroke dashstyle="solid"/>
            </v:line>
            <v:line style="position:absolute" from="6238,1015" to="6238,1269" stroked="true" strokeweight="1.44pt" strokecolor="#000000">
              <v:stroke dashstyle="solid"/>
            </v:line>
            <v:line style="position:absolute" from="6238,1269" to="6238,9326" stroked="true" strokeweight="1.44pt" strokecolor="#000000">
              <v:stroke dashstyle="solid"/>
            </v:line>
            <v:line style="position:absolute" from="6238,9326" to="6238,10166" stroked="true" strokeweight="1.44pt" strokecolor="#000000">
              <v:stroke dashstyle="solid"/>
            </v:line>
            <v:line style="position:absolute" from="6238,10166" to="6238,11313" stroked="true" strokeweight="1.44pt" strokecolor="#000000">
              <v:stroke dashstyle="solid"/>
            </v:line>
            <v:line style="position:absolute" from="6238,11313" to="6238,12005" stroked="true" strokeweight="1.44pt" strokecolor="#000000">
              <v:stroke dashstyle="solid"/>
            </v:line>
            <w10:wrap type="none"/>
          </v:group>
        </w:pict>
      </w:r>
      <w:r>
        <w:rPr>
          <w:sz w:val="22"/>
        </w:rPr>
        <w:t>Certificate of registration of print media Series KV № 24151-13991 PR from 11.10.2019 year.</w:t>
      </w:r>
    </w:p>
    <w:p>
      <w:pPr>
        <w:spacing w:after="0" w:line="237" w:lineRule="auto"/>
        <w:jc w:val="left"/>
        <w:rPr>
          <w:sz w:val="22"/>
        </w:rPr>
        <w:sectPr>
          <w:pgSz w:w="11910" w:h="16840"/>
          <w:pgMar w:header="713" w:footer="0" w:top="1140" w:bottom="280" w:left="940" w:right="520"/>
          <w:cols w:num="2" w:equalWidth="0">
            <w:col w:w="5190" w:space="63"/>
            <w:col w:w="5197"/>
          </w:cols>
        </w:sectPr>
      </w:pPr>
    </w:p>
    <w:p>
      <w:pPr>
        <w:pStyle w:val="BodyText"/>
        <w:spacing w:before="8"/>
        <w:ind w:left="0"/>
        <w:jc w:val="left"/>
        <w:rPr>
          <w:sz w:val="13"/>
        </w:rPr>
      </w:pPr>
    </w:p>
    <w:p>
      <w:pPr>
        <w:spacing w:after="0"/>
        <w:jc w:val="left"/>
        <w:rPr>
          <w:sz w:val="13"/>
        </w:rPr>
        <w:sectPr>
          <w:type w:val="continuous"/>
          <w:pgSz w:w="11910" w:h="16840"/>
          <w:pgMar w:top="1140" w:bottom="280" w:left="940" w:right="520"/>
        </w:sectPr>
      </w:pPr>
    </w:p>
    <w:p>
      <w:pPr>
        <w:spacing w:line="251" w:lineRule="exact" w:before="92"/>
        <w:ind w:left="154" w:right="0" w:firstLine="0"/>
        <w:jc w:val="left"/>
        <w:rPr>
          <w:b/>
          <w:sz w:val="22"/>
        </w:rPr>
      </w:pPr>
      <w:r>
        <w:rPr>
          <w:b/>
          <w:sz w:val="22"/>
        </w:rPr>
        <w:t>РЕДАКЦІЙНА</w:t>
      </w:r>
      <w:r>
        <w:rPr>
          <w:b/>
          <w:spacing w:val="-10"/>
          <w:sz w:val="22"/>
        </w:rPr>
        <w:t> </w:t>
      </w:r>
      <w:r>
        <w:rPr>
          <w:b/>
          <w:sz w:val="22"/>
        </w:rPr>
        <w:t>КОЛЕГІЯ</w:t>
      </w:r>
    </w:p>
    <w:p>
      <w:pPr>
        <w:spacing w:line="242" w:lineRule="auto" w:before="0"/>
        <w:ind w:left="154" w:right="1894" w:firstLine="0"/>
        <w:jc w:val="left"/>
        <w:rPr>
          <w:b/>
          <w:sz w:val="22"/>
        </w:rPr>
      </w:pPr>
      <w:r>
        <w:rPr>
          <w:b/>
          <w:sz w:val="22"/>
        </w:rPr>
        <w:t>Голова редакційної колегії </w:t>
      </w:r>
      <w:r>
        <w:rPr>
          <w:sz w:val="22"/>
        </w:rPr>
        <w:t>О.В. ДАНЧУК, д.вет.н. (Україна) </w:t>
      </w:r>
      <w:r>
        <w:rPr>
          <w:b/>
          <w:sz w:val="22"/>
        </w:rPr>
        <w:t>Члени редакційної</w:t>
      </w:r>
      <w:r>
        <w:rPr>
          <w:b/>
          <w:spacing w:val="-1"/>
          <w:sz w:val="22"/>
        </w:rPr>
        <w:t> </w:t>
      </w:r>
      <w:r>
        <w:rPr>
          <w:b/>
          <w:sz w:val="22"/>
        </w:rPr>
        <w:t>колегії</w:t>
      </w:r>
    </w:p>
    <w:p>
      <w:pPr>
        <w:spacing w:line="242" w:lineRule="auto" w:before="0"/>
        <w:ind w:left="154" w:right="1280" w:firstLine="0"/>
        <w:jc w:val="left"/>
        <w:rPr>
          <w:sz w:val="22"/>
        </w:rPr>
      </w:pPr>
      <w:r>
        <w:rPr>
          <w:sz w:val="22"/>
        </w:rPr>
        <w:t>В.М. БАЛАЦЬКИЙ, д.с.-г.н. (Україна) І.Б. БАНЬКОВСЬКА, д.с.-г.н. (Україна)</w:t>
      </w:r>
    </w:p>
    <w:p>
      <w:pPr>
        <w:spacing w:line="240" w:lineRule="auto" w:before="0"/>
        <w:ind w:left="154" w:right="1602" w:firstLine="0"/>
        <w:jc w:val="left"/>
        <w:rPr>
          <w:sz w:val="22"/>
        </w:rPr>
      </w:pPr>
      <w:r>
        <w:rPr>
          <w:sz w:val="22"/>
        </w:rPr>
        <w:t>О.Ю. БРАІЛОВ, д.тех.н. (Україна) М.М. БРОШКОВ, д.вет.н. (Україна) О.М. ГАЛИЦЬКИЙ, д.е.н. (Україна) А.А. ГЕТЯ, д.с.-г.н. (Україна)</w:t>
      </w:r>
    </w:p>
    <w:p>
      <w:pPr>
        <w:spacing w:line="237" w:lineRule="auto" w:before="0"/>
        <w:ind w:left="154" w:right="1211" w:firstLine="0"/>
        <w:jc w:val="left"/>
        <w:rPr>
          <w:sz w:val="22"/>
        </w:rPr>
      </w:pPr>
      <w:r>
        <w:rPr>
          <w:sz w:val="22"/>
        </w:rPr>
        <w:t>Л.П. ГОРАЛЬСЬКИЙ, д.вет.н. (Україна) М. Дога-Мирзак, д.е.н. (Молдова)</w:t>
      </w:r>
    </w:p>
    <w:p>
      <w:pPr>
        <w:spacing w:before="0"/>
        <w:ind w:left="154" w:right="1835" w:firstLine="0"/>
        <w:jc w:val="left"/>
        <w:rPr>
          <w:sz w:val="22"/>
        </w:rPr>
      </w:pPr>
      <w:r>
        <w:rPr>
          <w:sz w:val="22"/>
        </w:rPr>
        <w:t>Ю.І. ЕНАКІЄВ, к.тех.н. (Україна) Й. СЛОНЕЦЬ, д.е.н. (Польща)</w:t>
      </w:r>
    </w:p>
    <w:p>
      <w:pPr>
        <w:spacing w:line="208" w:lineRule="auto" w:before="7"/>
        <w:ind w:left="154" w:right="1188" w:firstLine="0"/>
        <w:jc w:val="left"/>
        <w:rPr>
          <w:sz w:val="22"/>
        </w:rPr>
      </w:pPr>
      <w:r>
        <w:rPr>
          <w:sz w:val="22"/>
        </w:rPr>
        <w:t>А. М. КАЗАМБАЄВА, к.е.н. (Казахста</w:t>
      </w:r>
      <w:r>
        <w:rPr>
          <w:position w:val="-3"/>
          <w:sz w:val="22"/>
        </w:rPr>
        <w:t>́</w:t>
      </w:r>
      <w:r>
        <w:rPr>
          <w:sz w:val="22"/>
        </w:rPr>
        <w:t>н) І.І. КОВАЛЬЧУК, д.вет.н. (Україна)</w:t>
      </w:r>
    </w:p>
    <w:p>
      <w:pPr>
        <w:spacing w:line="240" w:lineRule="auto" w:before="8"/>
        <w:ind w:left="154" w:right="1745" w:firstLine="0"/>
        <w:jc w:val="left"/>
        <w:rPr>
          <w:sz w:val="22"/>
        </w:rPr>
      </w:pPr>
      <w:r>
        <w:rPr>
          <w:sz w:val="22"/>
        </w:rPr>
        <w:t>І.О. КРЮКОВА, д.е.н. (Україна) М.Д. КУХТИН, д.вет.н. (Україна) В.П. ЛАРШИН, д.тех.н. (Україна) Н.В. ЛІЩЕНКО, д.тех.н. (Україна) В. МАЧУК, д.с.-г.н. (Україна)</w:t>
      </w:r>
    </w:p>
    <w:p>
      <w:pPr>
        <w:spacing w:line="240" w:lineRule="auto" w:before="0"/>
        <w:ind w:left="154" w:right="1313" w:firstLine="0"/>
        <w:jc w:val="left"/>
        <w:rPr>
          <w:sz w:val="22"/>
        </w:rPr>
      </w:pPr>
      <w:r>
        <w:rPr>
          <w:sz w:val="22"/>
        </w:rPr>
        <w:t>І.П. ПАЛАМАРЧУК, д.тех.н. (Україна) К.Ф. ПОЧЕРНЯЄВ, д.с.-г.н. (Україна) К.О. РАДІОНОВА, к.вет.н. (Україна) А.М. САЄНКО, к.с.-г.н. (Україна)</w:t>
      </w:r>
    </w:p>
    <w:p>
      <w:pPr>
        <w:spacing w:before="0"/>
        <w:ind w:left="154" w:right="0" w:firstLine="0"/>
        <w:jc w:val="left"/>
        <w:rPr>
          <w:sz w:val="22"/>
        </w:rPr>
      </w:pPr>
      <w:r>
        <w:rPr>
          <w:sz w:val="22"/>
        </w:rPr>
        <w:t>Г. СОЛКАН, д.вет.н. (Румунія)</w:t>
      </w:r>
    </w:p>
    <w:p>
      <w:pPr>
        <w:spacing w:before="0"/>
        <w:ind w:left="154" w:right="0" w:firstLine="0"/>
        <w:jc w:val="left"/>
        <w:rPr>
          <w:sz w:val="22"/>
        </w:rPr>
      </w:pPr>
      <w:r>
        <w:rPr>
          <w:sz w:val="22"/>
        </w:rPr>
        <w:t>Г.М. СТАНКЕВИЧ, д.тех.н. (Україна)</w:t>
      </w:r>
    </w:p>
    <w:p>
      <w:pPr>
        <w:spacing w:line="251" w:lineRule="exact" w:before="2"/>
        <w:ind w:left="154" w:right="0" w:firstLine="0"/>
        <w:jc w:val="left"/>
        <w:rPr>
          <w:sz w:val="22"/>
        </w:rPr>
      </w:pPr>
      <w:r>
        <w:rPr>
          <w:sz w:val="22"/>
        </w:rPr>
        <w:t>С.С. СТОЯНОВА-КОВАЛЬ, д.е.н. (Україна)</w:t>
      </w:r>
    </w:p>
    <w:p>
      <w:pPr>
        <w:spacing w:line="240" w:lineRule="auto" w:before="0"/>
        <w:ind w:left="154" w:right="1417" w:firstLine="0"/>
        <w:jc w:val="left"/>
        <w:rPr>
          <w:sz w:val="22"/>
        </w:rPr>
      </w:pPr>
      <w:r>
        <w:rPr>
          <w:sz w:val="22"/>
        </w:rPr>
        <w:t>Л. О. ТАРАСЕНКО, д.вет.н. (Україна) О.М. ЦЕРЕНЮК, д.с.-г.н. (Україна) Т.С. ШАБАТУРА, к.е.н. (Україна) О.О. ЯКІМОВ, д.тех.н. (Україна)</w:t>
      </w:r>
    </w:p>
    <w:p>
      <w:pPr>
        <w:spacing w:before="211"/>
        <w:ind w:left="154" w:right="0" w:firstLine="0"/>
        <w:jc w:val="both"/>
        <w:rPr>
          <w:sz w:val="22"/>
        </w:rPr>
      </w:pPr>
      <w:r>
        <w:rPr>
          <w:sz w:val="22"/>
        </w:rPr>
        <w:t>Рекомендовано</w:t>
      </w:r>
      <w:r>
        <w:rPr>
          <w:spacing w:val="-20"/>
          <w:sz w:val="22"/>
        </w:rPr>
        <w:t> </w:t>
      </w:r>
      <w:r>
        <w:rPr>
          <w:sz w:val="22"/>
        </w:rPr>
        <w:t>Вченою</w:t>
      </w:r>
      <w:r>
        <w:rPr>
          <w:spacing w:val="-17"/>
          <w:sz w:val="22"/>
        </w:rPr>
        <w:t> </w:t>
      </w:r>
      <w:r>
        <w:rPr>
          <w:sz w:val="22"/>
        </w:rPr>
        <w:t>радою</w:t>
      </w:r>
      <w:r>
        <w:rPr>
          <w:spacing w:val="-17"/>
          <w:sz w:val="22"/>
        </w:rPr>
        <w:t> </w:t>
      </w:r>
      <w:r>
        <w:rPr>
          <w:sz w:val="22"/>
        </w:rPr>
        <w:t>Одеського</w:t>
      </w:r>
      <w:r>
        <w:rPr>
          <w:spacing w:val="-19"/>
          <w:sz w:val="22"/>
        </w:rPr>
        <w:t> </w:t>
      </w:r>
      <w:r>
        <w:rPr>
          <w:sz w:val="22"/>
        </w:rPr>
        <w:t>державного аграрного університету (протокол № 11 </w:t>
      </w:r>
      <w:r>
        <w:rPr>
          <w:spacing w:val="-3"/>
          <w:sz w:val="22"/>
        </w:rPr>
        <w:t>від </w:t>
      </w:r>
      <w:r>
        <w:rPr>
          <w:sz w:val="22"/>
        </w:rPr>
        <w:t>07.07.2020).</w:t>
      </w:r>
    </w:p>
    <w:p>
      <w:pPr>
        <w:spacing w:before="85"/>
        <w:ind w:left="154" w:right="0" w:firstLine="0"/>
        <w:jc w:val="both"/>
        <w:rPr>
          <w:sz w:val="20"/>
        </w:rPr>
      </w:pPr>
      <w:r>
        <w:rPr>
          <w:sz w:val="20"/>
        </w:rPr>
        <w:t>Адреса редакційної колегії:</w:t>
      </w:r>
    </w:p>
    <w:p>
      <w:pPr>
        <w:spacing w:line="228" w:lineRule="exact" w:before="1"/>
        <w:ind w:left="154" w:right="0" w:firstLine="0"/>
        <w:jc w:val="both"/>
        <w:rPr>
          <w:sz w:val="20"/>
        </w:rPr>
      </w:pPr>
      <w:r>
        <w:rPr>
          <w:sz w:val="20"/>
        </w:rPr>
        <w:t>Одеський державний аграрний університет.</w:t>
      </w:r>
    </w:p>
    <w:p>
      <w:pPr>
        <w:spacing w:line="240" w:lineRule="auto" w:before="0"/>
        <w:ind w:left="154" w:right="456" w:firstLine="0"/>
        <w:jc w:val="both"/>
        <w:rPr>
          <w:sz w:val="20"/>
        </w:rPr>
      </w:pPr>
      <w:r>
        <w:rPr>
          <w:sz w:val="20"/>
        </w:rPr>
        <w:t>вул. Пантелеймонівська, 13, м. Одеса, Україна, 65012 тел. +380482371609, Email: </w:t>
      </w:r>
      <w:hyperlink r:id="rId6">
        <w:r>
          <w:rPr>
            <w:sz w:val="20"/>
          </w:rPr>
          <w:t>zbirnyk_odau@ukr.net</w:t>
        </w:r>
      </w:hyperlink>
    </w:p>
    <w:p>
      <w:pPr>
        <w:spacing w:line="251" w:lineRule="exact" w:before="92"/>
        <w:ind w:left="154" w:right="0" w:firstLine="0"/>
        <w:jc w:val="left"/>
        <w:rPr>
          <w:b/>
          <w:sz w:val="22"/>
        </w:rPr>
      </w:pPr>
      <w:r>
        <w:rPr/>
        <w:br w:type="column"/>
      </w:r>
      <w:r>
        <w:rPr>
          <w:b/>
          <w:sz w:val="22"/>
        </w:rPr>
        <w:t>EDITORIAL BOARD</w:t>
      </w:r>
    </w:p>
    <w:p>
      <w:pPr>
        <w:spacing w:line="250" w:lineRule="exact" w:before="0"/>
        <w:ind w:left="154" w:right="0" w:firstLine="0"/>
        <w:jc w:val="left"/>
        <w:rPr>
          <w:b/>
          <w:sz w:val="22"/>
        </w:rPr>
      </w:pPr>
      <w:r>
        <w:rPr>
          <w:b/>
          <w:sz w:val="22"/>
        </w:rPr>
        <w:t>Editor-in-chief</w:t>
      </w:r>
    </w:p>
    <w:p>
      <w:pPr>
        <w:spacing w:line="251" w:lineRule="exact" w:before="0"/>
        <w:ind w:left="154" w:right="0" w:firstLine="0"/>
        <w:jc w:val="left"/>
        <w:rPr>
          <w:sz w:val="22"/>
        </w:rPr>
      </w:pPr>
      <w:r>
        <w:rPr>
          <w:sz w:val="22"/>
        </w:rPr>
        <w:t>O. Danchuk, Dr. Vet. Sci. (Ukraine)</w:t>
      </w:r>
    </w:p>
    <w:p>
      <w:pPr>
        <w:spacing w:line="249" w:lineRule="exact" w:before="6"/>
        <w:ind w:left="154" w:right="0" w:firstLine="0"/>
        <w:jc w:val="left"/>
        <w:rPr>
          <w:b/>
          <w:sz w:val="22"/>
        </w:rPr>
      </w:pPr>
      <w:r>
        <w:rPr>
          <w:b/>
          <w:sz w:val="22"/>
        </w:rPr>
        <w:t>Editorial board members</w:t>
      </w:r>
    </w:p>
    <w:p>
      <w:pPr>
        <w:spacing w:line="249" w:lineRule="exact" w:before="0"/>
        <w:ind w:left="154" w:right="0" w:firstLine="0"/>
        <w:jc w:val="left"/>
        <w:rPr>
          <w:sz w:val="22"/>
        </w:rPr>
      </w:pPr>
      <w:r>
        <w:rPr>
          <w:sz w:val="22"/>
        </w:rPr>
        <w:t>V. Balatsky, Dr. Agr. Scі. (Ukraine)</w:t>
      </w:r>
    </w:p>
    <w:p>
      <w:pPr>
        <w:spacing w:before="2"/>
        <w:ind w:left="154" w:right="0" w:firstLine="0"/>
        <w:jc w:val="left"/>
        <w:rPr>
          <w:sz w:val="22"/>
        </w:rPr>
      </w:pPr>
      <w:r>
        <w:rPr>
          <w:sz w:val="22"/>
        </w:rPr>
        <w:t>I. Bankovska, Dr. Agr. Scі., (Ukraine)</w:t>
      </w:r>
    </w:p>
    <w:p>
      <w:pPr>
        <w:spacing w:before="1"/>
        <w:ind w:left="154" w:right="0" w:firstLine="0"/>
        <w:jc w:val="left"/>
        <w:rPr>
          <w:sz w:val="22"/>
        </w:rPr>
      </w:pPr>
      <w:r>
        <w:rPr>
          <w:sz w:val="22"/>
        </w:rPr>
        <w:t>O. Brailov leksandr, Dr. Tech. Sci. (Ukraine)</w:t>
      </w:r>
    </w:p>
    <w:p>
      <w:pPr>
        <w:spacing w:line="252" w:lineRule="exact" w:before="1"/>
        <w:ind w:left="154" w:right="0" w:firstLine="0"/>
        <w:jc w:val="left"/>
        <w:rPr>
          <w:sz w:val="22"/>
        </w:rPr>
      </w:pPr>
      <w:r>
        <w:rPr>
          <w:sz w:val="22"/>
        </w:rPr>
        <w:t>M. Broshkov, Dr. Vet. Sci., Professor</w:t>
      </w:r>
    </w:p>
    <w:p>
      <w:pPr>
        <w:spacing w:line="252" w:lineRule="exact" w:before="0"/>
        <w:ind w:left="154" w:right="0" w:firstLine="0"/>
        <w:jc w:val="left"/>
        <w:rPr>
          <w:sz w:val="22"/>
        </w:rPr>
      </w:pPr>
      <w:r>
        <w:rPr>
          <w:sz w:val="22"/>
        </w:rPr>
        <w:t>O. Galytskyi, Dr. Econ. Sci. (Ukraine)</w:t>
      </w:r>
    </w:p>
    <w:p>
      <w:pPr>
        <w:spacing w:before="2"/>
        <w:ind w:left="154" w:right="0" w:firstLine="0"/>
        <w:jc w:val="left"/>
        <w:rPr>
          <w:sz w:val="22"/>
        </w:rPr>
      </w:pPr>
      <w:r>
        <w:rPr>
          <w:sz w:val="22"/>
        </w:rPr>
        <w:t>A. Getya, Dr. Agr. Scі. (Ukraine)</w:t>
      </w:r>
    </w:p>
    <w:p>
      <w:pPr>
        <w:pStyle w:val="ListParagraph"/>
        <w:numPr>
          <w:ilvl w:val="0"/>
          <w:numId w:val="1"/>
        </w:numPr>
        <w:tabs>
          <w:tab w:pos="405" w:val="left" w:leader="none"/>
        </w:tabs>
        <w:spacing w:line="251" w:lineRule="exact" w:before="1" w:after="0"/>
        <w:ind w:left="404" w:right="0" w:hanging="251"/>
        <w:jc w:val="left"/>
        <w:rPr>
          <w:sz w:val="22"/>
        </w:rPr>
      </w:pPr>
      <w:r>
        <w:rPr>
          <w:sz w:val="22"/>
        </w:rPr>
        <w:t>Goralsky, Dr. Vet. Sci.</w:t>
      </w:r>
      <w:r>
        <w:rPr>
          <w:spacing w:val="11"/>
          <w:sz w:val="22"/>
        </w:rPr>
        <w:t> </w:t>
      </w:r>
      <w:r>
        <w:rPr>
          <w:sz w:val="22"/>
        </w:rPr>
        <w:t>(Ukraine)</w:t>
      </w:r>
    </w:p>
    <w:p>
      <w:pPr>
        <w:pStyle w:val="ListParagraph"/>
        <w:numPr>
          <w:ilvl w:val="0"/>
          <w:numId w:val="1"/>
        </w:numPr>
        <w:tabs>
          <w:tab w:pos="467" w:val="left" w:leader="none"/>
        </w:tabs>
        <w:spacing w:line="251" w:lineRule="exact" w:before="0" w:after="0"/>
        <w:ind w:left="466" w:right="0" w:hanging="313"/>
        <w:jc w:val="left"/>
        <w:rPr>
          <w:sz w:val="22"/>
        </w:rPr>
      </w:pPr>
      <w:r>
        <w:rPr>
          <w:sz w:val="22"/>
        </w:rPr>
        <w:t>Doga-Mirzac, Dr. </w:t>
      </w:r>
      <w:r>
        <w:rPr>
          <w:spacing w:val="-3"/>
          <w:sz w:val="22"/>
        </w:rPr>
        <w:t>Econ. </w:t>
      </w:r>
      <w:r>
        <w:rPr>
          <w:sz w:val="22"/>
        </w:rPr>
        <w:t>Sci.</w:t>
      </w:r>
      <w:r>
        <w:rPr>
          <w:spacing w:val="14"/>
          <w:sz w:val="22"/>
        </w:rPr>
        <w:t> </w:t>
      </w:r>
      <w:r>
        <w:rPr>
          <w:sz w:val="22"/>
        </w:rPr>
        <w:t>(Moldova)</w:t>
      </w:r>
    </w:p>
    <w:p>
      <w:pPr>
        <w:spacing w:before="2"/>
        <w:ind w:left="154" w:right="0" w:firstLine="0"/>
        <w:jc w:val="left"/>
        <w:rPr>
          <w:sz w:val="22"/>
        </w:rPr>
      </w:pPr>
      <w:r>
        <w:rPr>
          <w:sz w:val="22"/>
        </w:rPr>
        <w:t>Y. Enakiev, Ph.D. Tech. Sci. (Ukraine)</w:t>
      </w:r>
    </w:p>
    <w:p>
      <w:pPr>
        <w:spacing w:line="251" w:lineRule="exact" w:before="1"/>
        <w:ind w:left="154" w:right="0" w:firstLine="0"/>
        <w:jc w:val="left"/>
        <w:rPr>
          <w:sz w:val="22"/>
        </w:rPr>
      </w:pPr>
      <w:r>
        <w:rPr>
          <w:sz w:val="22"/>
        </w:rPr>
        <w:t>J. Sloniec, Dr. Econ. Sci. (Ukraine)</w:t>
      </w:r>
    </w:p>
    <w:p>
      <w:pPr>
        <w:spacing w:line="251" w:lineRule="exact" w:before="0"/>
        <w:ind w:left="154" w:right="0" w:firstLine="0"/>
        <w:jc w:val="left"/>
        <w:rPr>
          <w:sz w:val="22"/>
        </w:rPr>
      </w:pPr>
      <w:r>
        <w:rPr>
          <w:sz w:val="22"/>
        </w:rPr>
        <w:t>A. Kazambayeva, Cand. Econ. Sci. (Kazakhstan)</w:t>
      </w:r>
    </w:p>
    <w:p>
      <w:pPr>
        <w:spacing w:before="2"/>
        <w:ind w:left="154" w:right="0" w:firstLine="0"/>
        <w:jc w:val="left"/>
        <w:rPr>
          <w:sz w:val="22"/>
        </w:rPr>
      </w:pPr>
      <w:r>
        <w:rPr>
          <w:sz w:val="22"/>
        </w:rPr>
        <w:t>I. Kovalchuk, Dr. Vet. Sci. (Ukraine)</w:t>
      </w:r>
    </w:p>
    <w:p>
      <w:pPr>
        <w:spacing w:before="1"/>
        <w:ind w:left="154" w:right="0" w:firstLine="0"/>
        <w:jc w:val="left"/>
        <w:rPr>
          <w:sz w:val="22"/>
        </w:rPr>
      </w:pPr>
      <w:r>
        <w:rPr>
          <w:sz w:val="22"/>
        </w:rPr>
        <w:t>I. Kryukova, Dr. Econ. Sci. (Ukraine)</w:t>
      </w:r>
    </w:p>
    <w:p>
      <w:pPr>
        <w:pStyle w:val="ListParagraph"/>
        <w:numPr>
          <w:ilvl w:val="0"/>
          <w:numId w:val="2"/>
        </w:numPr>
        <w:tabs>
          <w:tab w:pos="467" w:val="left" w:leader="none"/>
        </w:tabs>
        <w:spacing w:line="251" w:lineRule="exact" w:before="2" w:after="0"/>
        <w:ind w:left="466" w:right="0" w:hanging="313"/>
        <w:jc w:val="left"/>
        <w:rPr>
          <w:sz w:val="22"/>
        </w:rPr>
      </w:pPr>
      <w:r>
        <w:rPr>
          <w:spacing w:val="-3"/>
          <w:sz w:val="22"/>
        </w:rPr>
        <w:t>Kukhtyn, </w:t>
      </w:r>
      <w:r>
        <w:rPr>
          <w:sz w:val="22"/>
        </w:rPr>
        <w:t>Dr. Vet. Sci.</w:t>
      </w:r>
      <w:r>
        <w:rPr>
          <w:spacing w:val="16"/>
          <w:sz w:val="22"/>
        </w:rPr>
        <w:t> </w:t>
      </w:r>
      <w:r>
        <w:rPr>
          <w:sz w:val="22"/>
        </w:rPr>
        <w:t>(Ukraine)</w:t>
      </w:r>
    </w:p>
    <w:p>
      <w:pPr>
        <w:spacing w:line="251" w:lineRule="exact" w:before="0"/>
        <w:ind w:left="154" w:right="0" w:firstLine="0"/>
        <w:jc w:val="left"/>
        <w:rPr>
          <w:sz w:val="22"/>
        </w:rPr>
      </w:pPr>
      <w:r>
        <w:rPr>
          <w:sz w:val="22"/>
        </w:rPr>
        <w:t>V. Larshin, Dr. Tech. Sci. (Ukraine)</w:t>
      </w:r>
    </w:p>
    <w:p>
      <w:pPr>
        <w:pStyle w:val="ListParagraph"/>
        <w:numPr>
          <w:ilvl w:val="0"/>
          <w:numId w:val="2"/>
        </w:numPr>
        <w:tabs>
          <w:tab w:pos="429" w:val="left" w:leader="none"/>
        </w:tabs>
        <w:spacing w:line="240" w:lineRule="auto" w:before="1" w:after="0"/>
        <w:ind w:left="428" w:right="0" w:hanging="275"/>
        <w:jc w:val="left"/>
        <w:rPr>
          <w:sz w:val="22"/>
        </w:rPr>
      </w:pPr>
      <w:r>
        <w:rPr>
          <w:sz w:val="22"/>
        </w:rPr>
        <w:t>Lishchenko, Dr. Tech. Sci.</w:t>
      </w:r>
      <w:r>
        <w:rPr>
          <w:spacing w:val="4"/>
          <w:sz w:val="22"/>
        </w:rPr>
        <w:t> </w:t>
      </w:r>
      <w:r>
        <w:rPr>
          <w:sz w:val="22"/>
        </w:rPr>
        <w:t>(Ukraine)</w:t>
      </w:r>
    </w:p>
    <w:p>
      <w:pPr>
        <w:spacing w:line="251" w:lineRule="exact" w:before="2"/>
        <w:ind w:left="154" w:right="0" w:firstLine="0"/>
        <w:jc w:val="left"/>
        <w:rPr>
          <w:sz w:val="22"/>
        </w:rPr>
      </w:pPr>
      <w:r>
        <w:rPr>
          <w:sz w:val="22"/>
        </w:rPr>
        <w:t>V. Maciuc, Dr. Agr. Scі. (Ukraine)</w:t>
      </w:r>
    </w:p>
    <w:p>
      <w:pPr>
        <w:spacing w:line="251" w:lineRule="exact" w:before="0"/>
        <w:ind w:left="154" w:right="0" w:firstLine="0"/>
        <w:jc w:val="left"/>
        <w:rPr>
          <w:sz w:val="22"/>
        </w:rPr>
      </w:pPr>
      <w:r>
        <w:rPr>
          <w:sz w:val="22"/>
        </w:rPr>
        <w:t>I. Palamarchuk, Dr. Tech. Sci. (Ukraine)</w:t>
      </w:r>
    </w:p>
    <w:p>
      <w:pPr>
        <w:spacing w:before="1"/>
        <w:ind w:left="154" w:right="0" w:firstLine="0"/>
        <w:jc w:val="left"/>
        <w:rPr>
          <w:sz w:val="22"/>
        </w:rPr>
      </w:pPr>
      <w:r>
        <w:rPr>
          <w:sz w:val="22"/>
        </w:rPr>
        <w:t>K. Pochernyaev, Dr. Agr. Sc. (Ukraine)</w:t>
      </w:r>
    </w:p>
    <w:p>
      <w:pPr>
        <w:spacing w:line="251" w:lineRule="exact" w:before="2"/>
        <w:ind w:left="154" w:right="0" w:firstLine="0"/>
        <w:jc w:val="left"/>
        <w:rPr>
          <w:sz w:val="22"/>
        </w:rPr>
      </w:pPr>
      <w:r>
        <w:rPr>
          <w:sz w:val="22"/>
        </w:rPr>
        <w:t>K. Radіonova, Cand. Vet. Sci. (Ukraine)</w:t>
      </w:r>
    </w:p>
    <w:p>
      <w:pPr>
        <w:spacing w:line="251" w:lineRule="exact" w:before="0"/>
        <w:ind w:left="154" w:right="0" w:firstLine="0"/>
        <w:jc w:val="left"/>
        <w:rPr>
          <w:sz w:val="22"/>
        </w:rPr>
      </w:pPr>
      <w:r>
        <w:rPr>
          <w:sz w:val="22"/>
        </w:rPr>
        <w:t>A. Saienko, Cand. Agr. Sci. (Ukraine)</w:t>
      </w:r>
    </w:p>
    <w:p>
      <w:pPr>
        <w:spacing w:before="1"/>
        <w:ind w:left="154" w:right="0" w:firstLine="0"/>
        <w:jc w:val="left"/>
        <w:rPr>
          <w:sz w:val="22"/>
        </w:rPr>
      </w:pPr>
      <w:r>
        <w:rPr>
          <w:sz w:val="22"/>
        </w:rPr>
        <w:t>G. Solcan, Dr. Vet. Sci. (Romania)</w:t>
      </w:r>
    </w:p>
    <w:p>
      <w:pPr>
        <w:spacing w:before="2"/>
        <w:ind w:left="154" w:right="0" w:firstLine="0"/>
        <w:jc w:val="left"/>
        <w:rPr>
          <w:sz w:val="22"/>
        </w:rPr>
      </w:pPr>
      <w:r>
        <w:rPr>
          <w:sz w:val="22"/>
        </w:rPr>
        <w:t>G. Stankevych, Dr. Tech. Sci. (Ukraine)</w:t>
      </w:r>
    </w:p>
    <w:p>
      <w:pPr>
        <w:spacing w:line="251" w:lineRule="exact" w:before="1"/>
        <w:ind w:left="154" w:right="0" w:firstLine="0"/>
        <w:jc w:val="left"/>
        <w:rPr>
          <w:sz w:val="22"/>
        </w:rPr>
      </w:pPr>
      <w:r>
        <w:rPr>
          <w:sz w:val="22"/>
        </w:rPr>
        <w:t>S. Stoyanova-Koval, Dr. Econ. Sci. (Ukraine)</w:t>
      </w:r>
    </w:p>
    <w:p>
      <w:pPr>
        <w:spacing w:line="251" w:lineRule="exact" w:before="0"/>
        <w:ind w:left="154" w:right="0" w:firstLine="0"/>
        <w:jc w:val="left"/>
        <w:rPr>
          <w:sz w:val="22"/>
        </w:rPr>
      </w:pPr>
      <w:r>
        <w:rPr>
          <w:sz w:val="22"/>
        </w:rPr>
        <w:t>L. Tarasenko, Dr. Vet. Sci. (Ukraine)</w:t>
      </w:r>
    </w:p>
    <w:p>
      <w:pPr>
        <w:spacing w:before="2"/>
        <w:ind w:left="154" w:right="0" w:firstLine="0"/>
        <w:jc w:val="left"/>
        <w:rPr>
          <w:sz w:val="22"/>
        </w:rPr>
      </w:pPr>
      <w:r>
        <w:rPr>
          <w:sz w:val="22"/>
        </w:rPr>
        <w:t>O. Tsereniuk, Dr. Agr. Sc. (Ukraine)</w:t>
      </w:r>
    </w:p>
    <w:p>
      <w:pPr>
        <w:spacing w:line="251" w:lineRule="exact" w:before="2"/>
        <w:ind w:left="154" w:right="0" w:firstLine="0"/>
        <w:jc w:val="left"/>
        <w:rPr>
          <w:sz w:val="22"/>
        </w:rPr>
      </w:pPr>
      <w:r>
        <w:rPr>
          <w:sz w:val="22"/>
        </w:rPr>
        <w:t>T. Shabatura, Cand. Econ. Sci. (Ukraine)</w:t>
      </w:r>
    </w:p>
    <w:p>
      <w:pPr>
        <w:spacing w:line="251" w:lineRule="exact" w:before="0"/>
        <w:ind w:left="154" w:right="0" w:firstLine="0"/>
        <w:jc w:val="left"/>
        <w:rPr>
          <w:sz w:val="22"/>
        </w:rPr>
      </w:pPr>
      <w:r>
        <w:rPr>
          <w:sz w:val="22"/>
        </w:rPr>
        <w:t>O. Yakimov, Dr. Tech. Sci. (Ukraine)</w:t>
      </w:r>
    </w:p>
    <w:p>
      <w:pPr>
        <w:spacing w:before="212"/>
        <w:ind w:left="154" w:right="465" w:firstLine="0"/>
        <w:jc w:val="both"/>
        <w:rPr>
          <w:sz w:val="22"/>
        </w:rPr>
      </w:pPr>
      <w:r>
        <w:rPr>
          <w:sz w:val="22"/>
        </w:rPr>
        <w:t>Recommended by Academic Council of Odessa State Agrarian University (Minutes № 11 of 07.07.2020).</w:t>
      </w:r>
    </w:p>
    <w:p>
      <w:pPr>
        <w:spacing w:before="86"/>
        <w:ind w:left="154" w:right="0" w:firstLine="0"/>
        <w:jc w:val="both"/>
        <w:rPr>
          <w:sz w:val="20"/>
        </w:rPr>
      </w:pPr>
      <w:r>
        <w:rPr>
          <w:sz w:val="20"/>
        </w:rPr>
        <w:t>Editorial address:</w:t>
      </w:r>
    </w:p>
    <w:p>
      <w:pPr>
        <w:spacing w:line="228" w:lineRule="exact" w:before="0"/>
        <w:ind w:left="154" w:right="0" w:firstLine="0"/>
        <w:jc w:val="both"/>
        <w:rPr>
          <w:sz w:val="20"/>
        </w:rPr>
      </w:pPr>
      <w:r>
        <w:rPr>
          <w:sz w:val="20"/>
        </w:rPr>
        <w:t>Odessa State Agrarian University</w:t>
      </w:r>
    </w:p>
    <w:p>
      <w:pPr>
        <w:spacing w:line="240" w:lineRule="auto" w:before="0"/>
        <w:ind w:left="154" w:right="777" w:firstLine="0"/>
        <w:jc w:val="both"/>
        <w:rPr>
          <w:sz w:val="20"/>
        </w:rPr>
      </w:pPr>
      <w:r>
        <w:rPr>
          <w:sz w:val="20"/>
        </w:rPr>
        <w:t>st. Panteleimonovskaya, 13, Odessa, Ukraine, 65012, теl. +380482371609, Email: </w:t>
      </w:r>
      <w:hyperlink r:id="rId6">
        <w:r>
          <w:rPr>
            <w:sz w:val="20"/>
          </w:rPr>
          <w:t>zbirnyk_odau@ukr.net</w:t>
        </w:r>
      </w:hyperlink>
    </w:p>
    <w:p>
      <w:pPr>
        <w:spacing w:after="0" w:line="240" w:lineRule="auto"/>
        <w:jc w:val="both"/>
        <w:rPr>
          <w:sz w:val="20"/>
        </w:rPr>
        <w:sectPr>
          <w:type w:val="continuous"/>
          <w:pgSz w:w="11910" w:h="16840"/>
          <w:pgMar w:top="1140" w:bottom="280" w:left="940" w:right="520"/>
          <w:cols w:num="2" w:equalWidth="0">
            <w:col w:w="5190" w:space="63"/>
            <w:col w:w="5197"/>
          </w:cols>
        </w:sectPr>
      </w:pPr>
    </w:p>
    <w:p>
      <w:pPr>
        <w:pStyle w:val="BodyText"/>
        <w:spacing w:before="9"/>
        <w:ind w:left="0"/>
        <w:jc w:val="left"/>
        <w:rPr>
          <w:sz w:val="11"/>
        </w:rPr>
      </w:pPr>
    </w:p>
    <w:p>
      <w:pPr>
        <w:spacing w:after="0"/>
        <w:jc w:val="left"/>
        <w:rPr>
          <w:sz w:val="11"/>
        </w:rPr>
        <w:sectPr>
          <w:type w:val="continuous"/>
          <w:pgSz w:w="11910" w:h="16840"/>
          <w:pgMar w:top="1140" w:bottom="280" w:left="940" w:right="520"/>
        </w:sectPr>
      </w:pPr>
    </w:p>
    <w:p>
      <w:pPr>
        <w:spacing w:before="93"/>
        <w:ind w:left="154" w:right="20" w:firstLine="0"/>
        <w:jc w:val="left"/>
        <w:rPr>
          <w:sz w:val="20"/>
        </w:rPr>
      </w:pPr>
      <w:r>
        <w:rPr>
          <w:sz w:val="20"/>
        </w:rPr>
        <w:t>Автори статей відповідають за достовірність викладеного матеріалу, за правильне цитування джерел, посилання на них та інших відомостей.</w:t>
      </w:r>
    </w:p>
    <w:p>
      <w:pPr>
        <w:spacing w:before="93"/>
        <w:ind w:left="154" w:right="691" w:firstLine="0"/>
        <w:jc w:val="left"/>
        <w:rPr>
          <w:sz w:val="20"/>
        </w:rPr>
      </w:pPr>
      <w:r>
        <w:rPr/>
        <w:br w:type="column"/>
      </w:r>
      <w:r>
        <w:rPr>
          <w:sz w:val="20"/>
        </w:rPr>
        <w:t>The authors of the articles are responsible for the accuracy of the presented material, for correct citation sources, links to them, and other information.</w:t>
      </w:r>
    </w:p>
    <w:p>
      <w:pPr>
        <w:spacing w:after="0"/>
        <w:jc w:val="left"/>
        <w:rPr>
          <w:sz w:val="20"/>
        </w:rPr>
        <w:sectPr>
          <w:type w:val="continuous"/>
          <w:pgSz w:w="11910" w:h="16840"/>
          <w:pgMar w:top="1140" w:bottom="280" w:left="940" w:right="520"/>
          <w:cols w:num="2" w:equalWidth="0">
            <w:col w:w="5146" w:space="108"/>
            <w:col w:w="5196"/>
          </w:cols>
        </w:sectPr>
      </w:pPr>
    </w:p>
    <w:p>
      <w:pPr>
        <w:pStyle w:val="Heading1"/>
        <w:spacing w:before="96"/>
        <w:ind w:left="191"/>
      </w:pPr>
      <w:r>
        <w:rPr/>
        <w:t>ЗМІСТ</w:t>
      </w:r>
    </w:p>
    <w:p>
      <w:pPr>
        <w:pStyle w:val="BodyText"/>
        <w:spacing w:before="8"/>
        <w:ind w:left="0"/>
        <w:jc w:val="left"/>
        <w:rPr>
          <w:b/>
        </w:rPr>
      </w:pPr>
    </w:p>
    <w:tbl>
      <w:tblPr>
        <w:tblW w:w="0" w:type="auto"/>
        <w:jc w:val="left"/>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76"/>
        <w:gridCol w:w="960"/>
      </w:tblGrid>
      <w:tr>
        <w:trPr>
          <w:trHeight w:val="341" w:hRule="atLeast"/>
        </w:trPr>
        <w:tc>
          <w:tcPr>
            <w:tcW w:w="9276" w:type="dxa"/>
          </w:tcPr>
          <w:p>
            <w:pPr>
              <w:pStyle w:val="TableParagraph"/>
              <w:spacing w:line="313" w:lineRule="exact"/>
              <w:ind w:left="3073" w:right="2993"/>
              <w:jc w:val="center"/>
              <w:rPr>
                <w:b/>
                <w:sz w:val="28"/>
              </w:rPr>
            </w:pPr>
            <w:r>
              <w:rPr>
                <w:b/>
                <w:sz w:val="28"/>
              </w:rPr>
              <w:t>ВЕТЕРИНАРНІ НАУКИ</w:t>
            </w:r>
          </w:p>
        </w:tc>
        <w:tc>
          <w:tcPr>
            <w:tcW w:w="960" w:type="dxa"/>
          </w:tcPr>
          <w:p>
            <w:pPr>
              <w:pStyle w:val="TableParagraph"/>
              <w:spacing w:line="309" w:lineRule="exact"/>
              <w:ind w:left="83" w:right="176"/>
              <w:jc w:val="center"/>
              <w:rPr>
                <w:sz w:val="28"/>
              </w:rPr>
            </w:pPr>
            <w:r>
              <w:rPr>
                <w:sz w:val="28"/>
              </w:rPr>
              <w:t>Стор.</w:t>
            </w:r>
          </w:p>
        </w:tc>
      </w:tr>
      <w:tr>
        <w:trPr>
          <w:trHeight w:val="742" w:hRule="atLeast"/>
        </w:trPr>
        <w:tc>
          <w:tcPr>
            <w:tcW w:w="9276" w:type="dxa"/>
          </w:tcPr>
          <w:p>
            <w:pPr>
              <w:pStyle w:val="TableParagraph"/>
              <w:spacing w:before="15"/>
              <w:ind w:left="910"/>
              <w:rPr>
                <w:i/>
                <w:sz w:val="28"/>
              </w:rPr>
            </w:pPr>
            <w:r>
              <w:rPr>
                <w:b/>
                <w:i/>
                <w:sz w:val="28"/>
              </w:rPr>
              <w:t>М. Скрипка, А. Сєвастєєв </w:t>
            </w:r>
            <w:r>
              <w:rPr>
                <w:i/>
                <w:sz w:val="28"/>
              </w:rPr>
              <w:t>ТРАВМАТИЧНИЙ БОЛЬОВИЙ ШОК ЯК</w:t>
            </w:r>
          </w:p>
          <w:p>
            <w:pPr>
              <w:pStyle w:val="TableParagraph"/>
              <w:spacing w:before="53"/>
              <w:ind w:left="200"/>
              <w:rPr>
                <w:i/>
                <w:sz w:val="28"/>
              </w:rPr>
            </w:pPr>
            <w:r>
              <w:rPr>
                <w:i/>
                <w:sz w:val="28"/>
              </w:rPr>
              <w:t>ПРЕДМЕТ СУДОВО-ВЕТЕРИНАРНОЇ ЕКСПЕРТИЗИ</w:t>
            </w:r>
          </w:p>
        </w:tc>
        <w:tc>
          <w:tcPr>
            <w:tcW w:w="960" w:type="dxa"/>
          </w:tcPr>
          <w:p>
            <w:pPr>
              <w:pStyle w:val="TableParagraph"/>
              <w:spacing w:before="15"/>
              <w:ind w:right="90"/>
              <w:jc w:val="center"/>
              <w:rPr>
                <w:sz w:val="28"/>
              </w:rPr>
            </w:pPr>
            <w:r>
              <w:rPr>
                <w:w w:val="99"/>
                <w:sz w:val="28"/>
              </w:rPr>
              <w:t>3</w:t>
            </w:r>
          </w:p>
        </w:tc>
      </w:tr>
      <w:tr>
        <w:trPr>
          <w:trHeight w:val="1108" w:hRule="atLeast"/>
        </w:trPr>
        <w:tc>
          <w:tcPr>
            <w:tcW w:w="9276" w:type="dxa"/>
          </w:tcPr>
          <w:p>
            <w:pPr>
              <w:pStyle w:val="TableParagraph"/>
              <w:tabs>
                <w:tab w:pos="1683" w:val="left" w:leader="none"/>
                <w:tab w:pos="3323" w:val="left" w:leader="none"/>
                <w:tab w:pos="4042" w:val="left" w:leader="none"/>
                <w:tab w:pos="5530" w:val="left" w:leader="none"/>
                <w:tab w:pos="6297" w:val="left" w:leader="none"/>
                <w:tab w:pos="7568" w:val="left" w:leader="none"/>
                <w:tab w:pos="8287" w:val="left" w:leader="none"/>
              </w:tabs>
              <w:spacing w:before="22"/>
              <w:ind w:left="910"/>
              <w:rPr>
                <w:b/>
                <w:i/>
                <w:sz w:val="28"/>
              </w:rPr>
            </w:pPr>
            <w:r>
              <w:rPr>
                <w:b/>
                <w:i/>
                <w:sz w:val="28"/>
              </w:rPr>
              <w:t>Ж.</w:t>
              <w:tab/>
              <w:t>Коренєва,</w:t>
              <w:tab/>
              <w:t>О.</w:t>
              <w:tab/>
              <w:t>Ушаков,</w:t>
              <w:tab/>
              <w:t>М.</w:t>
              <w:tab/>
              <w:t>Хімич,</w:t>
              <w:tab/>
              <w:t>О.</w:t>
              <w:tab/>
              <w:t>Найдіч</w:t>
            </w:r>
          </w:p>
          <w:p>
            <w:pPr>
              <w:pStyle w:val="TableParagraph"/>
              <w:tabs>
                <w:tab w:pos="3393" w:val="left" w:leader="none"/>
                <w:tab w:pos="5288" w:val="left" w:leader="none"/>
                <w:tab w:pos="5926" w:val="left" w:leader="none"/>
                <w:tab w:pos="8295" w:val="left" w:leader="none"/>
              </w:tabs>
              <w:spacing w:line="370" w:lineRule="exact" w:before="8"/>
              <w:ind w:left="200" w:right="123"/>
              <w:rPr>
                <w:i/>
                <w:sz w:val="28"/>
              </w:rPr>
            </w:pPr>
            <w:r>
              <w:rPr>
                <w:i/>
                <w:sz w:val="28"/>
              </w:rPr>
              <w:t>ПАРАНЕОПЛАСТИЧНІ</w:t>
              <w:tab/>
              <w:t>СИНДРОМИ</w:t>
              <w:tab/>
              <w:t>ТА</w:t>
              <w:tab/>
              <w:t>УСКЛАДНЕННЯ</w:t>
              <w:tab/>
            </w:r>
            <w:r>
              <w:rPr>
                <w:i/>
                <w:spacing w:val="-3"/>
                <w:sz w:val="28"/>
              </w:rPr>
              <w:t>ПІСЛЯ </w:t>
            </w:r>
            <w:r>
              <w:rPr>
                <w:i/>
                <w:sz w:val="28"/>
              </w:rPr>
              <w:t>ХІМІОТЕРАПІЇ У ДРІБНИХ</w:t>
            </w:r>
            <w:r>
              <w:rPr>
                <w:i/>
                <w:spacing w:val="-2"/>
                <w:sz w:val="28"/>
              </w:rPr>
              <w:t> </w:t>
            </w:r>
            <w:r>
              <w:rPr>
                <w:i/>
                <w:sz w:val="28"/>
              </w:rPr>
              <w:t>ТВАРИН</w:t>
            </w:r>
          </w:p>
        </w:tc>
        <w:tc>
          <w:tcPr>
            <w:tcW w:w="960" w:type="dxa"/>
          </w:tcPr>
          <w:p>
            <w:pPr>
              <w:pStyle w:val="TableParagraph"/>
              <w:spacing w:before="17"/>
              <w:ind w:left="83" w:right="168"/>
              <w:jc w:val="center"/>
              <w:rPr>
                <w:sz w:val="28"/>
              </w:rPr>
            </w:pPr>
            <w:r>
              <w:rPr>
                <w:sz w:val="28"/>
              </w:rPr>
              <w:t>14</w:t>
            </w:r>
          </w:p>
        </w:tc>
      </w:tr>
      <w:tr>
        <w:trPr>
          <w:trHeight w:val="1483" w:hRule="atLeast"/>
        </w:trPr>
        <w:tc>
          <w:tcPr>
            <w:tcW w:w="9276" w:type="dxa"/>
          </w:tcPr>
          <w:p>
            <w:pPr>
              <w:pStyle w:val="TableParagraph"/>
              <w:spacing w:line="273" w:lineRule="auto" w:before="22"/>
              <w:ind w:left="200" w:right="103" w:firstLine="710"/>
              <w:jc w:val="both"/>
              <w:rPr>
                <w:i/>
                <w:sz w:val="28"/>
              </w:rPr>
            </w:pPr>
            <w:r>
              <w:rPr>
                <w:b/>
                <w:i/>
                <w:sz w:val="28"/>
              </w:rPr>
              <w:t>С. Усенко, A. Шостя, О. Мироненко, Б. Шаферівський, Г. Бірта, </w:t>
            </w:r>
            <w:r>
              <w:rPr>
                <w:b/>
                <w:i/>
                <w:sz w:val="28"/>
              </w:rPr>
              <w:t>Л. Флока </w:t>
            </w:r>
            <w:r>
              <w:rPr>
                <w:i/>
                <w:sz w:val="28"/>
              </w:rPr>
              <w:t>ФОРМУВАННЯ ПРООКСИДАНТНО-АНТИОКСИДАНТНОГО </w:t>
            </w:r>
            <w:r>
              <w:rPr>
                <w:i/>
                <w:sz w:val="28"/>
              </w:rPr>
              <w:t>ГОМЕОСТАЗУ В СВИНОК У ПЕРІОД СТАНОВЛЕННЯ</w:t>
            </w:r>
            <w:r>
              <w:rPr>
                <w:i/>
                <w:spacing w:val="54"/>
                <w:sz w:val="28"/>
              </w:rPr>
              <w:t> </w:t>
            </w:r>
            <w:r>
              <w:rPr>
                <w:i/>
                <w:sz w:val="28"/>
              </w:rPr>
              <w:t>СТАТЕВОЇ</w:t>
            </w:r>
          </w:p>
          <w:p>
            <w:pPr>
              <w:pStyle w:val="TableParagraph"/>
              <w:spacing w:before="8"/>
              <w:ind w:left="200"/>
              <w:jc w:val="both"/>
              <w:rPr>
                <w:i/>
                <w:sz w:val="28"/>
              </w:rPr>
            </w:pPr>
            <w:r>
              <w:rPr>
                <w:i/>
                <w:sz w:val="28"/>
              </w:rPr>
              <w:t>ФУНКЦІЇ ЗА КОРЕКЦІЇ ВІМІННОГО ЖИВЛЕННЯ</w:t>
            </w:r>
          </w:p>
        </w:tc>
        <w:tc>
          <w:tcPr>
            <w:tcW w:w="960" w:type="dxa"/>
          </w:tcPr>
          <w:p>
            <w:pPr>
              <w:pStyle w:val="TableParagraph"/>
              <w:spacing w:before="17"/>
              <w:ind w:left="83" w:right="168"/>
              <w:jc w:val="center"/>
              <w:rPr>
                <w:sz w:val="28"/>
              </w:rPr>
            </w:pPr>
            <w:r>
              <w:rPr>
                <w:sz w:val="28"/>
              </w:rPr>
              <w:t>25</w:t>
            </w:r>
          </w:p>
        </w:tc>
      </w:tr>
      <w:tr>
        <w:trPr>
          <w:trHeight w:val="1109" w:hRule="atLeast"/>
        </w:trPr>
        <w:tc>
          <w:tcPr>
            <w:tcW w:w="9276" w:type="dxa"/>
          </w:tcPr>
          <w:p>
            <w:pPr>
              <w:pStyle w:val="TableParagraph"/>
              <w:spacing w:line="276" w:lineRule="auto" w:before="17"/>
              <w:ind w:left="200" w:right="123" w:firstLine="710"/>
              <w:rPr>
                <w:i/>
                <w:sz w:val="28"/>
              </w:rPr>
            </w:pPr>
            <w:r>
              <w:rPr>
                <w:b/>
                <w:i/>
                <w:sz w:val="28"/>
              </w:rPr>
              <w:t>А. Лисенко </w:t>
            </w:r>
            <w:r>
              <w:rPr>
                <w:i/>
                <w:sz w:val="28"/>
              </w:rPr>
              <w:t>ВПЛИВ ФІТОДОБАВОК «КАРДІОФІЛ» І «ФІТОХОЛ» </w:t>
            </w:r>
            <w:r>
              <w:rPr>
                <w:i/>
                <w:sz w:val="28"/>
              </w:rPr>
              <w:t>НА БІОХІМІЧНІ ПОКАЗНИКИ КРОВІ КОТІВ ЗА УМОВ ІЗОЛЯЦІЙНОГО</w:t>
            </w:r>
          </w:p>
          <w:p>
            <w:pPr>
              <w:pStyle w:val="TableParagraph"/>
              <w:spacing w:line="321" w:lineRule="exact"/>
              <w:ind w:left="200"/>
              <w:rPr>
                <w:i/>
                <w:sz w:val="28"/>
              </w:rPr>
            </w:pPr>
            <w:r>
              <w:rPr>
                <w:i/>
                <w:sz w:val="28"/>
              </w:rPr>
              <w:t>СТРЕСУ</w:t>
            </w:r>
          </w:p>
        </w:tc>
        <w:tc>
          <w:tcPr>
            <w:tcW w:w="960" w:type="dxa"/>
          </w:tcPr>
          <w:p>
            <w:pPr>
              <w:pStyle w:val="TableParagraph"/>
              <w:spacing w:before="17"/>
              <w:ind w:left="83" w:right="168"/>
              <w:jc w:val="center"/>
              <w:rPr>
                <w:sz w:val="28"/>
              </w:rPr>
            </w:pPr>
            <w:r>
              <w:rPr>
                <w:sz w:val="28"/>
              </w:rPr>
              <w:t>34</w:t>
            </w:r>
          </w:p>
        </w:tc>
      </w:tr>
      <w:tr>
        <w:trPr>
          <w:trHeight w:val="1483" w:hRule="atLeast"/>
        </w:trPr>
        <w:tc>
          <w:tcPr>
            <w:tcW w:w="9276" w:type="dxa"/>
          </w:tcPr>
          <w:p>
            <w:pPr>
              <w:pStyle w:val="TableParagraph"/>
              <w:spacing w:line="276" w:lineRule="auto" w:before="17"/>
              <w:ind w:left="200" w:right="107" w:firstLine="710"/>
              <w:jc w:val="both"/>
              <w:rPr>
                <w:i/>
                <w:sz w:val="28"/>
              </w:rPr>
            </w:pPr>
            <w:r>
              <w:rPr>
                <w:b/>
                <w:i/>
                <w:sz w:val="28"/>
              </w:rPr>
              <w:t>В. Чепурна, Т. Супрович, О. Віщур, В. Мізик </w:t>
            </w:r>
            <w:r>
              <w:rPr>
                <w:i/>
                <w:sz w:val="28"/>
              </w:rPr>
              <w:t>СТАН Т- і В- </w:t>
            </w:r>
            <w:r>
              <w:rPr>
                <w:i/>
                <w:sz w:val="28"/>
              </w:rPr>
              <w:t>КЛІТИННОЇ ЛАНОК ІМУНІТЕТУ КОРІВ . ХВОРИХ НА СУБКЛІНІЧНУ ФОРМУ МАСТИТУ. ЗА ВИКОРИСТАННЯ ЛІПОСОМАЛЬНОГО</w:t>
            </w:r>
          </w:p>
          <w:p>
            <w:pPr>
              <w:pStyle w:val="TableParagraph"/>
              <w:spacing w:before="3"/>
              <w:ind w:left="200"/>
              <w:rPr>
                <w:i/>
                <w:sz w:val="28"/>
              </w:rPr>
            </w:pPr>
            <w:r>
              <w:rPr>
                <w:i/>
                <w:sz w:val="28"/>
              </w:rPr>
              <w:t>ПРЕПАРАТУ</w:t>
            </w:r>
          </w:p>
        </w:tc>
        <w:tc>
          <w:tcPr>
            <w:tcW w:w="960" w:type="dxa"/>
          </w:tcPr>
          <w:p>
            <w:pPr>
              <w:pStyle w:val="TableParagraph"/>
              <w:spacing w:before="17"/>
              <w:ind w:left="83" w:right="168"/>
              <w:jc w:val="center"/>
              <w:rPr>
                <w:sz w:val="28"/>
              </w:rPr>
            </w:pPr>
            <w:r>
              <w:rPr>
                <w:sz w:val="28"/>
              </w:rPr>
              <w:t>44</w:t>
            </w:r>
          </w:p>
        </w:tc>
      </w:tr>
      <w:tr>
        <w:trPr>
          <w:trHeight w:val="1231" w:hRule="atLeast"/>
        </w:trPr>
        <w:tc>
          <w:tcPr>
            <w:tcW w:w="9276" w:type="dxa"/>
          </w:tcPr>
          <w:p>
            <w:pPr>
              <w:pStyle w:val="TableParagraph"/>
              <w:spacing w:line="276" w:lineRule="auto" w:before="17"/>
              <w:ind w:left="200" w:right="114" w:firstLine="710"/>
              <w:jc w:val="both"/>
              <w:rPr>
                <w:i/>
                <w:sz w:val="28"/>
              </w:rPr>
            </w:pPr>
            <w:r>
              <w:rPr>
                <w:b/>
                <w:i/>
                <w:sz w:val="28"/>
              </w:rPr>
              <w:t>М. Тодоров , В. Кушнір </w:t>
            </w:r>
            <w:r>
              <w:rPr>
                <w:i/>
                <w:sz w:val="28"/>
              </w:rPr>
              <w:t>ВПЛИВ ВВЕДЕННЯ ДО РАЦІОНУ КОРІВ </w:t>
            </w:r>
            <w:r>
              <w:rPr>
                <w:i/>
                <w:sz w:val="28"/>
              </w:rPr>
              <w:t>ПРОПІЛЕНГЛІКОЛЮ ТА СТА-ХОЛу НА ДЕЯКІ БІОХІМІЧНІ ПОКАЗНИКИ ПЛАЗМИ КРОВІ</w:t>
            </w:r>
          </w:p>
        </w:tc>
        <w:tc>
          <w:tcPr>
            <w:tcW w:w="960" w:type="dxa"/>
          </w:tcPr>
          <w:p>
            <w:pPr>
              <w:pStyle w:val="TableParagraph"/>
              <w:spacing w:before="17"/>
              <w:ind w:left="83" w:right="168"/>
              <w:jc w:val="center"/>
              <w:rPr>
                <w:sz w:val="28"/>
              </w:rPr>
            </w:pPr>
            <w:r>
              <w:rPr>
                <w:sz w:val="28"/>
              </w:rPr>
              <w:t>52</w:t>
            </w:r>
          </w:p>
        </w:tc>
      </w:tr>
      <w:tr>
        <w:trPr>
          <w:trHeight w:val="489" w:hRule="atLeast"/>
        </w:trPr>
        <w:tc>
          <w:tcPr>
            <w:tcW w:w="9276" w:type="dxa"/>
          </w:tcPr>
          <w:p>
            <w:pPr>
              <w:pStyle w:val="TableParagraph"/>
              <w:spacing w:before="140"/>
              <w:ind w:left="2572"/>
              <w:rPr>
                <w:b/>
                <w:sz w:val="28"/>
              </w:rPr>
            </w:pPr>
            <w:r>
              <w:rPr>
                <w:b/>
                <w:sz w:val="28"/>
              </w:rPr>
              <w:t>СІЛЬСЬКОГОСПОДАРСЬКІ НАУКИ</w:t>
            </w:r>
          </w:p>
        </w:tc>
        <w:tc>
          <w:tcPr>
            <w:tcW w:w="960" w:type="dxa"/>
          </w:tcPr>
          <w:p>
            <w:pPr>
              <w:pStyle w:val="TableParagraph"/>
              <w:rPr>
                <w:sz w:val="26"/>
              </w:rPr>
            </w:pPr>
          </w:p>
        </w:tc>
      </w:tr>
      <w:tr>
        <w:trPr>
          <w:trHeight w:val="1111" w:hRule="atLeast"/>
        </w:trPr>
        <w:tc>
          <w:tcPr>
            <w:tcW w:w="9276" w:type="dxa"/>
          </w:tcPr>
          <w:p>
            <w:pPr>
              <w:pStyle w:val="TableParagraph"/>
              <w:spacing w:line="276" w:lineRule="auto" w:before="15"/>
              <w:ind w:left="200" w:firstLine="710"/>
              <w:rPr>
                <w:i/>
                <w:sz w:val="28"/>
              </w:rPr>
            </w:pPr>
            <w:r>
              <w:rPr>
                <w:b/>
                <w:i/>
                <w:sz w:val="28"/>
              </w:rPr>
              <w:t>О. Карунський, Т. Воронюк </w:t>
            </w:r>
            <w:r>
              <w:rPr>
                <w:i/>
                <w:sz w:val="28"/>
              </w:rPr>
              <w:t>ВПЛИВ СУСПЕНЗІЇ ХЛОРЕЛИ НА </w:t>
            </w:r>
            <w:r>
              <w:rPr>
                <w:i/>
                <w:sz w:val="28"/>
              </w:rPr>
              <w:t>ПРОДУКТИВНІСТЬ ТА ЯКІСТЬ М'ЯСА СВИНЕЙ, ЩО</w:t>
            </w:r>
            <w:r>
              <w:rPr>
                <w:i/>
                <w:spacing w:val="68"/>
                <w:sz w:val="28"/>
              </w:rPr>
              <w:t> </w:t>
            </w:r>
            <w:r>
              <w:rPr>
                <w:i/>
                <w:sz w:val="28"/>
              </w:rPr>
              <w:t>ЗНАХОДЯТЬСЯ</w:t>
            </w:r>
          </w:p>
          <w:p>
            <w:pPr>
              <w:pStyle w:val="TableParagraph"/>
              <w:spacing w:before="3"/>
              <w:ind w:left="200"/>
              <w:rPr>
                <w:i/>
                <w:sz w:val="28"/>
              </w:rPr>
            </w:pPr>
            <w:r>
              <w:rPr>
                <w:i/>
                <w:sz w:val="28"/>
              </w:rPr>
              <w:t>НА ВІДГОДІВЛІ</w:t>
            </w:r>
          </w:p>
        </w:tc>
        <w:tc>
          <w:tcPr>
            <w:tcW w:w="960" w:type="dxa"/>
          </w:tcPr>
          <w:p>
            <w:pPr>
              <w:pStyle w:val="TableParagraph"/>
              <w:spacing w:before="15"/>
              <w:ind w:left="83" w:right="168"/>
              <w:jc w:val="center"/>
              <w:rPr>
                <w:sz w:val="28"/>
              </w:rPr>
            </w:pPr>
            <w:r>
              <w:rPr>
                <w:sz w:val="28"/>
              </w:rPr>
              <w:t>59</w:t>
            </w:r>
          </w:p>
        </w:tc>
      </w:tr>
      <w:tr>
        <w:trPr>
          <w:trHeight w:val="739" w:hRule="atLeast"/>
        </w:trPr>
        <w:tc>
          <w:tcPr>
            <w:tcW w:w="9276" w:type="dxa"/>
          </w:tcPr>
          <w:p>
            <w:pPr>
              <w:pStyle w:val="TableParagraph"/>
              <w:spacing w:before="17"/>
              <w:ind w:left="910"/>
              <w:rPr>
                <w:i/>
                <w:sz w:val="28"/>
              </w:rPr>
            </w:pPr>
            <w:r>
              <w:rPr>
                <w:b/>
                <w:i/>
                <w:sz w:val="28"/>
              </w:rPr>
              <w:t>Шалімов М.О. </w:t>
            </w:r>
            <w:r>
              <w:rPr>
                <w:i/>
                <w:sz w:val="28"/>
              </w:rPr>
              <w:t>БІОТЕХНОЛОГІЯ ОДЕРЖАННЯ ДОБРОЯКІСНОЇ</w:t>
            </w:r>
          </w:p>
          <w:p>
            <w:pPr>
              <w:pStyle w:val="TableParagraph"/>
              <w:spacing w:before="48"/>
              <w:ind w:left="200"/>
              <w:rPr>
                <w:i/>
                <w:sz w:val="28"/>
              </w:rPr>
            </w:pPr>
            <w:r>
              <w:rPr>
                <w:i/>
                <w:sz w:val="28"/>
              </w:rPr>
              <w:t>«ЧИСТОЇ» ПРОДУКЦІЇ ТВАРИННИЦТВА</w:t>
            </w:r>
          </w:p>
        </w:tc>
        <w:tc>
          <w:tcPr>
            <w:tcW w:w="960" w:type="dxa"/>
          </w:tcPr>
          <w:p>
            <w:pPr>
              <w:pStyle w:val="TableParagraph"/>
              <w:spacing w:before="17"/>
              <w:ind w:left="83" w:right="168"/>
              <w:jc w:val="center"/>
              <w:rPr>
                <w:sz w:val="28"/>
              </w:rPr>
            </w:pPr>
            <w:r>
              <w:rPr>
                <w:sz w:val="28"/>
              </w:rPr>
              <w:t>65</w:t>
            </w:r>
          </w:p>
        </w:tc>
      </w:tr>
      <w:tr>
        <w:trPr>
          <w:trHeight w:val="739" w:hRule="atLeast"/>
        </w:trPr>
        <w:tc>
          <w:tcPr>
            <w:tcW w:w="9276" w:type="dxa"/>
          </w:tcPr>
          <w:p>
            <w:pPr>
              <w:pStyle w:val="TableParagraph"/>
              <w:spacing w:before="17"/>
              <w:ind w:left="910"/>
              <w:rPr>
                <w:i/>
                <w:sz w:val="28"/>
              </w:rPr>
            </w:pPr>
            <w:r>
              <w:rPr>
                <w:b/>
                <w:i/>
                <w:sz w:val="28"/>
              </w:rPr>
              <w:t>К. Хамід, Т. Пушкар, Є. Гурко </w:t>
            </w:r>
            <w:r>
              <w:rPr>
                <w:i/>
                <w:sz w:val="28"/>
              </w:rPr>
              <w:t>СУЧАСНІ ПРОБЛЕМИ ЯКОСТІ ТА</w:t>
            </w:r>
          </w:p>
          <w:p>
            <w:pPr>
              <w:pStyle w:val="TableParagraph"/>
              <w:spacing w:before="48"/>
              <w:ind w:left="200"/>
              <w:rPr>
                <w:i/>
                <w:sz w:val="28"/>
              </w:rPr>
            </w:pPr>
            <w:r>
              <w:rPr>
                <w:i/>
                <w:sz w:val="28"/>
              </w:rPr>
              <w:t>БЕЗПЕЧНОСТІ МЕДУ НАТУРАЛЬНОГО</w:t>
            </w:r>
          </w:p>
        </w:tc>
        <w:tc>
          <w:tcPr>
            <w:tcW w:w="960" w:type="dxa"/>
          </w:tcPr>
          <w:p>
            <w:pPr>
              <w:pStyle w:val="TableParagraph"/>
              <w:spacing w:before="17"/>
              <w:ind w:left="83" w:right="168"/>
              <w:jc w:val="center"/>
              <w:rPr>
                <w:sz w:val="28"/>
              </w:rPr>
            </w:pPr>
            <w:r>
              <w:rPr>
                <w:sz w:val="28"/>
              </w:rPr>
              <w:t>77</w:t>
            </w:r>
          </w:p>
        </w:tc>
      </w:tr>
      <w:tr>
        <w:trPr>
          <w:trHeight w:val="739" w:hRule="atLeast"/>
        </w:trPr>
        <w:tc>
          <w:tcPr>
            <w:tcW w:w="9276" w:type="dxa"/>
          </w:tcPr>
          <w:p>
            <w:pPr>
              <w:pStyle w:val="TableParagraph"/>
              <w:spacing w:before="17"/>
              <w:ind w:left="910"/>
              <w:rPr>
                <w:i/>
                <w:sz w:val="28"/>
              </w:rPr>
            </w:pPr>
            <w:r>
              <w:rPr>
                <w:b/>
                <w:i/>
                <w:sz w:val="28"/>
              </w:rPr>
              <w:t>В. Ясько , Н. Кірович </w:t>
            </w:r>
            <w:r>
              <w:rPr>
                <w:i/>
                <w:sz w:val="28"/>
              </w:rPr>
              <w:t>ІННОВАЦІЙНІ ПІДХОДИ ДО ТЕХНОЛОГІЇ</w:t>
            </w:r>
          </w:p>
          <w:p>
            <w:pPr>
              <w:pStyle w:val="TableParagraph"/>
              <w:spacing w:before="48"/>
              <w:ind w:left="200"/>
              <w:rPr>
                <w:i/>
                <w:sz w:val="28"/>
              </w:rPr>
            </w:pPr>
            <w:r>
              <w:rPr>
                <w:i/>
                <w:sz w:val="28"/>
              </w:rPr>
              <w:t>ВИРОБНИЦТВА М'ЯСА ПЕРЕПЕЛІВ</w:t>
            </w:r>
          </w:p>
        </w:tc>
        <w:tc>
          <w:tcPr>
            <w:tcW w:w="960" w:type="dxa"/>
          </w:tcPr>
          <w:p>
            <w:pPr>
              <w:pStyle w:val="TableParagraph"/>
              <w:spacing w:before="17"/>
              <w:ind w:left="83" w:right="168"/>
              <w:jc w:val="center"/>
              <w:rPr>
                <w:sz w:val="28"/>
              </w:rPr>
            </w:pPr>
            <w:r>
              <w:rPr>
                <w:sz w:val="28"/>
              </w:rPr>
              <w:t>84</w:t>
            </w:r>
          </w:p>
        </w:tc>
      </w:tr>
      <w:tr>
        <w:trPr>
          <w:trHeight w:val="1483" w:hRule="atLeast"/>
        </w:trPr>
        <w:tc>
          <w:tcPr>
            <w:tcW w:w="9276" w:type="dxa"/>
          </w:tcPr>
          <w:p>
            <w:pPr>
              <w:pStyle w:val="TableParagraph"/>
              <w:spacing w:line="278" w:lineRule="auto" w:before="17"/>
              <w:ind w:left="200" w:right="108" w:firstLine="710"/>
              <w:jc w:val="both"/>
              <w:rPr>
                <w:i/>
                <w:sz w:val="28"/>
              </w:rPr>
            </w:pPr>
            <w:r>
              <w:rPr>
                <w:b/>
                <w:i/>
                <w:sz w:val="28"/>
              </w:rPr>
              <w:t>В. Чігірьов, С. Бесягіна, К. Мажиловська, Д. Тихонов </w:t>
            </w:r>
            <w:r>
              <w:rPr>
                <w:i/>
                <w:sz w:val="28"/>
              </w:rPr>
              <w:t>ОЦІНКА </w:t>
            </w:r>
            <w:r>
              <w:rPr>
                <w:i/>
                <w:sz w:val="28"/>
              </w:rPr>
              <w:t>ОСНОВНИХ СЕЛЕКЦІЙНО-ГЕНЕТИЧНИХ ОЗНАК ПРОДУКТИВНОСТІ ОВЕЦЬ ОДЕСЬКОГО ТИПУ АСКАНІЙСЬКОЇ М'ЯСО-ВОВНОВОЇ</w:t>
            </w:r>
          </w:p>
          <w:p>
            <w:pPr>
              <w:pStyle w:val="TableParagraph"/>
              <w:spacing w:line="315" w:lineRule="exact"/>
              <w:ind w:left="200"/>
              <w:jc w:val="both"/>
              <w:rPr>
                <w:i/>
                <w:sz w:val="28"/>
              </w:rPr>
            </w:pPr>
            <w:r>
              <w:rPr>
                <w:i/>
                <w:sz w:val="28"/>
              </w:rPr>
              <w:t>ПОРОДИ РІЗНИХ ЕТОЛОГІЧНИХ ТИПІВ</w:t>
            </w:r>
          </w:p>
        </w:tc>
        <w:tc>
          <w:tcPr>
            <w:tcW w:w="960" w:type="dxa"/>
          </w:tcPr>
          <w:p>
            <w:pPr>
              <w:pStyle w:val="TableParagraph"/>
              <w:spacing w:before="17"/>
              <w:ind w:left="83" w:right="168"/>
              <w:jc w:val="center"/>
              <w:rPr>
                <w:sz w:val="28"/>
              </w:rPr>
            </w:pPr>
            <w:r>
              <w:rPr>
                <w:sz w:val="28"/>
              </w:rPr>
              <w:t>89</w:t>
            </w:r>
          </w:p>
        </w:tc>
      </w:tr>
      <w:tr>
        <w:trPr>
          <w:trHeight w:val="709" w:hRule="atLeast"/>
        </w:trPr>
        <w:tc>
          <w:tcPr>
            <w:tcW w:w="9276" w:type="dxa"/>
          </w:tcPr>
          <w:p>
            <w:pPr>
              <w:pStyle w:val="TableParagraph"/>
              <w:spacing w:before="17"/>
              <w:ind w:left="910"/>
              <w:rPr>
                <w:i/>
                <w:sz w:val="28"/>
              </w:rPr>
            </w:pPr>
            <w:r>
              <w:rPr>
                <w:b/>
                <w:i/>
                <w:sz w:val="28"/>
              </w:rPr>
              <w:t>Р. Сусол, О. Тацій </w:t>
            </w:r>
            <w:r>
              <w:rPr>
                <w:i/>
                <w:sz w:val="28"/>
              </w:rPr>
              <w:t>ГОСПОДАРСЬКО-КОРИСНІ ОЗНАКИ СВИНЕЙ</w:t>
            </w:r>
          </w:p>
          <w:p>
            <w:pPr>
              <w:pStyle w:val="TableParagraph"/>
              <w:spacing w:line="302" w:lineRule="exact" w:before="48"/>
              <w:ind w:left="200"/>
              <w:rPr>
                <w:i/>
                <w:sz w:val="28"/>
              </w:rPr>
            </w:pPr>
            <w:r>
              <w:rPr>
                <w:i/>
                <w:sz w:val="28"/>
              </w:rPr>
              <w:t>ПОРОДИ П’ЄТРЕН В УМОВАХ ПІВДНЯ УКРАЇНИ</w:t>
            </w:r>
          </w:p>
        </w:tc>
        <w:tc>
          <w:tcPr>
            <w:tcW w:w="960" w:type="dxa"/>
          </w:tcPr>
          <w:p>
            <w:pPr>
              <w:pStyle w:val="TableParagraph"/>
              <w:spacing w:before="17"/>
              <w:ind w:left="83" w:right="168"/>
              <w:jc w:val="center"/>
              <w:rPr>
                <w:sz w:val="28"/>
              </w:rPr>
            </w:pPr>
            <w:r>
              <w:rPr>
                <w:sz w:val="28"/>
              </w:rPr>
              <w:t>96</w:t>
            </w:r>
          </w:p>
        </w:tc>
      </w:tr>
    </w:tbl>
    <w:p>
      <w:pPr>
        <w:spacing w:after="0"/>
        <w:jc w:val="center"/>
        <w:rPr>
          <w:sz w:val="28"/>
        </w:rPr>
        <w:sectPr>
          <w:pgSz w:w="11910" w:h="16840"/>
          <w:pgMar w:header="713" w:footer="0" w:top="1140" w:bottom="280" w:left="940" w:right="520"/>
        </w:sectPr>
      </w:pPr>
    </w:p>
    <w:p>
      <w:pPr>
        <w:pStyle w:val="BodyText"/>
        <w:spacing w:before="1"/>
        <w:ind w:left="0"/>
        <w:jc w:val="left"/>
        <w:rPr>
          <w:sz w:val="9"/>
        </w:rPr>
      </w:pPr>
    </w:p>
    <w:tbl>
      <w:tblPr>
        <w:tblW w:w="0" w:type="auto"/>
        <w:jc w:val="left"/>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333"/>
        <w:gridCol w:w="785"/>
      </w:tblGrid>
      <w:tr>
        <w:trPr>
          <w:trHeight w:val="1452" w:hRule="atLeast"/>
        </w:trPr>
        <w:tc>
          <w:tcPr>
            <w:tcW w:w="9333" w:type="dxa"/>
          </w:tcPr>
          <w:p>
            <w:pPr>
              <w:pStyle w:val="TableParagraph"/>
              <w:spacing w:line="276" w:lineRule="auto"/>
              <w:ind w:left="200" w:right="168" w:firstLine="710"/>
              <w:jc w:val="both"/>
              <w:rPr>
                <w:i/>
                <w:sz w:val="28"/>
              </w:rPr>
            </w:pPr>
            <w:r>
              <w:rPr>
                <w:b/>
                <w:i/>
                <w:sz w:val="28"/>
              </w:rPr>
              <w:t>О. Безалтична </w:t>
            </w:r>
            <w:r>
              <w:rPr>
                <w:i/>
                <w:sz w:val="28"/>
              </w:rPr>
              <w:t>ПОРІВНЯЛЬНА ХАРАКТЕРИСТИКА </w:t>
            </w:r>
            <w:r>
              <w:rPr>
                <w:i/>
                <w:sz w:val="28"/>
              </w:rPr>
              <w:t>СЕЛЕКЦІЙНО-ГОСПОДАРСЬКИХ ОЗНАК КОРІВ РІЗНИХ ЛІНІЙ УКРАЇНСЬКОЇ</w:t>
            </w:r>
            <w:r>
              <w:rPr>
                <w:i/>
                <w:spacing w:val="-26"/>
                <w:sz w:val="28"/>
              </w:rPr>
              <w:t> </w:t>
            </w:r>
            <w:r>
              <w:rPr>
                <w:i/>
                <w:sz w:val="28"/>
              </w:rPr>
              <w:t>ЧЕРВОНОЇ</w:t>
            </w:r>
            <w:r>
              <w:rPr>
                <w:i/>
                <w:spacing w:val="-26"/>
                <w:sz w:val="28"/>
              </w:rPr>
              <w:t> </w:t>
            </w:r>
            <w:r>
              <w:rPr>
                <w:i/>
                <w:sz w:val="28"/>
              </w:rPr>
              <w:t>МОЛОЧНОЇ</w:t>
            </w:r>
            <w:r>
              <w:rPr>
                <w:i/>
                <w:spacing w:val="-22"/>
                <w:sz w:val="28"/>
              </w:rPr>
              <w:t> </w:t>
            </w:r>
            <w:r>
              <w:rPr>
                <w:i/>
                <w:sz w:val="28"/>
              </w:rPr>
              <w:t>ПОРОДИ</w:t>
            </w:r>
            <w:r>
              <w:rPr>
                <w:i/>
                <w:spacing w:val="-25"/>
                <w:sz w:val="28"/>
              </w:rPr>
              <w:t> </w:t>
            </w:r>
            <w:r>
              <w:rPr>
                <w:i/>
                <w:sz w:val="28"/>
              </w:rPr>
              <w:t>ЖИРНОМОЛОЧНОГО</w:t>
            </w:r>
          </w:p>
          <w:p>
            <w:pPr>
              <w:pStyle w:val="TableParagraph"/>
              <w:ind w:left="200"/>
              <w:rPr>
                <w:i/>
                <w:sz w:val="28"/>
              </w:rPr>
            </w:pPr>
            <w:r>
              <w:rPr>
                <w:i/>
                <w:sz w:val="28"/>
              </w:rPr>
              <w:t>ТИПУ</w:t>
            </w:r>
          </w:p>
        </w:tc>
        <w:tc>
          <w:tcPr>
            <w:tcW w:w="785" w:type="dxa"/>
          </w:tcPr>
          <w:p>
            <w:pPr>
              <w:pStyle w:val="TableParagraph"/>
              <w:spacing w:line="309" w:lineRule="exact"/>
              <w:ind w:left="167"/>
              <w:rPr>
                <w:sz w:val="28"/>
              </w:rPr>
            </w:pPr>
            <w:r>
              <w:rPr>
                <w:sz w:val="28"/>
              </w:rPr>
              <w:t>103</w:t>
            </w:r>
          </w:p>
        </w:tc>
      </w:tr>
      <w:tr>
        <w:trPr>
          <w:trHeight w:val="741" w:hRule="atLeast"/>
        </w:trPr>
        <w:tc>
          <w:tcPr>
            <w:tcW w:w="9333" w:type="dxa"/>
          </w:tcPr>
          <w:p>
            <w:pPr>
              <w:pStyle w:val="TableParagraph"/>
              <w:spacing w:before="17"/>
              <w:ind w:left="910"/>
              <w:rPr>
                <w:i/>
                <w:sz w:val="28"/>
              </w:rPr>
            </w:pPr>
            <w:r>
              <w:rPr>
                <w:b/>
                <w:i/>
                <w:sz w:val="28"/>
              </w:rPr>
              <w:t>А. Штірбу, Н. Сівак </w:t>
            </w:r>
            <w:r>
              <w:rPr>
                <w:i/>
                <w:sz w:val="28"/>
              </w:rPr>
              <w:t>ВПЛИВ ГІБЕРЕЛІНУ НА ВРОЖАЙНІСТЬ ТА</w:t>
            </w:r>
          </w:p>
          <w:p>
            <w:pPr>
              <w:pStyle w:val="TableParagraph"/>
              <w:spacing w:before="48"/>
              <w:ind w:left="200"/>
              <w:rPr>
                <w:i/>
                <w:sz w:val="28"/>
              </w:rPr>
            </w:pPr>
            <w:r>
              <w:rPr>
                <w:i/>
                <w:sz w:val="28"/>
              </w:rPr>
              <w:t>ВИЗРІВАННЯ ЛОЗИ СТОЛОВИХ СОРТІВ ВИНОГРАДУ</w:t>
            </w:r>
          </w:p>
        </w:tc>
        <w:tc>
          <w:tcPr>
            <w:tcW w:w="785" w:type="dxa"/>
          </w:tcPr>
          <w:p>
            <w:pPr>
              <w:pStyle w:val="TableParagraph"/>
              <w:spacing w:before="17"/>
              <w:ind w:left="167"/>
              <w:rPr>
                <w:sz w:val="28"/>
              </w:rPr>
            </w:pPr>
            <w:r>
              <w:rPr>
                <w:sz w:val="28"/>
              </w:rPr>
              <w:t>111</w:t>
            </w:r>
          </w:p>
        </w:tc>
      </w:tr>
      <w:tr>
        <w:trPr>
          <w:trHeight w:val="369" w:hRule="atLeast"/>
        </w:trPr>
        <w:tc>
          <w:tcPr>
            <w:tcW w:w="9333" w:type="dxa"/>
          </w:tcPr>
          <w:p>
            <w:pPr>
              <w:pStyle w:val="TableParagraph"/>
              <w:spacing w:before="19"/>
              <w:ind w:left="3482" w:right="2746"/>
              <w:jc w:val="center"/>
              <w:rPr>
                <w:b/>
                <w:sz w:val="28"/>
              </w:rPr>
            </w:pPr>
            <w:r>
              <w:rPr>
                <w:b/>
                <w:sz w:val="28"/>
              </w:rPr>
              <w:t>ЕКОНОМІЧНІ НАУКИ</w:t>
            </w:r>
          </w:p>
        </w:tc>
        <w:tc>
          <w:tcPr>
            <w:tcW w:w="785" w:type="dxa"/>
          </w:tcPr>
          <w:p>
            <w:pPr>
              <w:pStyle w:val="TableParagraph"/>
              <w:rPr>
                <w:sz w:val="26"/>
              </w:rPr>
            </w:pPr>
          </w:p>
        </w:tc>
      </w:tr>
      <w:tr>
        <w:trPr>
          <w:trHeight w:val="737" w:hRule="atLeast"/>
        </w:trPr>
        <w:tc>
          <w:tcPr>
            <w:tcW w:w="9333" w:type="dxa"/>
          </w:tcPr>
          <w:p>
            <w:pPr>
              <w:pStyle w:val="TableParagraph"/>
              <w:spacing w:before="15"/>
              <w:ind w:left="910"/>
              <w:rPr>
                <w:i/>
                <w:sz w:val="28"/>
              </w:rPr>
            </w:pPr>
            <w:r>
              <w:rPr>
                <w:b/>
                <w:i/>
                <w:sz w:val="28"/>
              </w:rPr>
              <w:t>Г. Дідур </w:t>
            </w:r>
            <w:r>
              <w:rPr>
                <w:i/>
                <w:sz w:val="28"/>
              </w:rPr>
              <w:t>ПІДВИЩЕННЯ ЕФЕКТИВНОСТІ ФУНКЦІОНУВАННЯ</w:t>
            </w:r>
          </w:p>
          <w:p>
            <w:pPr>
              <w:pStyle w:val="TableParagraph"/>
              <w:spacing w:before="48"/>
              <w:ind w:left="200"/>
              <w:rPr>
                <w:i/>
                <w:sz w:val="28"/>
              </w:rPr>
            </w:pPr>
            <w:r>
              <w:rPr>
                <w:i/>
                <w:sz w:val="28"/>
              </w:rPr>
              <w:t>ФЕРМЕРСЬКИХ ГОСПОДАРСТВ</w:t>
            </w:r>
          </w:p>
        </w:tc>
        <w:tc>
          <w:tcPr>
            <w:tcW w:w="785" w:type="dxa"/>
          </w:tcPr>
          <w:p>
            <w:pPr>
              <w:pStyle w:val="TableParagraph"/>
              <w:spacing w:before="15"/>
              <w:ind w:left="167"/>
              <w:rPr>
                <w:sz w:val="28"/>
              </w:rPr>
            </w:pPr>
            <w:r>
              <w:rPr>
                <w:sz w:val="28"/>
              </w:rPr>
              <w:t>118</w:t>
            </w:r>
          </w:p>
        </w:tc>
      </w:tr>
      <w:tr>
        <w:trPr>
          <w:trHeight w:val="1113" w:hRule="atLeast"/>
        </w:trPr>
        <w:tc>
          <w:tcPr>
            <w:tcW w:w="9333" w:type="dxa"/>
          </w:tcPr>
          <w:p>
            <w:pPr>
              <w:pStyle w:val="TableParagraph"/>
              <w:spacing w:before="17"/>
              <w:ind w:left="200" w:firstLine="710"/>
              <w:rPr>
                <w:i/>
                <w:sz w:val="28"/>
              </w:rPr>
            </w:pPr>
            <w:r>
              <w:rPr>
                <w:b/>
                <w:i/>
                <w:sz w:val="28"/>
              </w:rPr>
              <w:t>В. Артемов , Т. Мовчан, Е. Бахчеван, Т. Данько </w:t>
            </w:r>
            <w:r>
              <w:rPr>
                <w:i/>
                <w:sz w:val="28"/>
              </w:rPr>
              <w:t>ПРИНЦИПИ</w:t>
            </w:r>
          </w:p>
          <w:p>
            <w:pPr>
              <w:pStyle w:val="TableParagraph"/>
              <w:spacing w:line="370" w:lineRule="atLeast" w:before="4"/>
              <w:ind w:left="200"/>
              <w:rPr>
                <w:i/>
                <w:sz w:val="28"/>
              </w:rPr>
            </w:pPr>
            <w:r>
              <w:rPr>
                <w:i/>
                <w:sz w:val="28"/>
              </w:rPr>
              <w:t>ЦИФРОВОЇ ТРАНСФОРМАЦІЇ І ВПРОВАДЖЕННЯ ЇЇ В ГЕОДЕЗІЇ ТА </w:t>
            </w:r>
            <w:r>
              <w:rPr>
                <w:i/>
                <w:sz w:val="28"/>
              </w:rPr>
              <w:t>ЗЕМЛЕУСТРОЇ</w:t>
            </w:r>
          </w:p>
        </w:tc>
        <w:tc>
          <w:tcPr>
            <w:tcW w:w="785" w:type="dxa"/>
          </w:tcPr>
          <w:p>
            <w:pPr>
              <w:pStyle w:val="TableParagraph"/>
              <w:spacing w:before="17"/>
              <w:ind w:left="167"/>
              <w:rPr>
                <w:sz w:val="28"/>
              </w:rPr>
            </w:pPr>
            <w:r>
              <w:rPr>
                <w:sz w:val="28"/>
              </w:rPr>
              <w:t>129</w:t>
            </w:r>
          </w:p>
        </w:tc>
      </w:tr>
      <w:tr>
        <w:trPr>
          <w:trHeight w:val="1109" w:hRule="atLeast"/>
        </w:trPr>
        <w:tc>
          <w:tcPr>
            <w:tcW w:w="9333" w:type="dxa"/>
          </w:tcPr>
          <w:p>
            <w:pPr>
              <w:pStyle w:val="TableParagraph"/>
              <w:tabs>
                <w:tab w:pos="1457" w:val="left" w:leader="none"/>
                <w:tab w:pos="3035" w:val="left" w:leader="none"/>
                <w:tab w:pos="3505" w:val="left" w:leader="none"/>
                <w:tab w:pos="4977" w:val="left" w:leader="none"/>
                <w:tab w:pos="7208" w:val="left" w:leader="none"/>
              </w:tabs>
              <w:spacing w:before="17"/>
              <w:ind w:left="200" w:firstLine="710"/>
              <w:rPr>
                <w:i/>
                <w:sz w:val="28"/>
              </w:rPr>
            </w:pPr>
            <w:r>
              <w:rPr>
                <w:b/>
                <w:i/>
                <w:sz w:val="28"/>
              </w:rPr>
              <w:t>А.</w:t>
              <w:tab/>
              <w:t>Ногінська,</w:t>
              <w:tab/>
              <w:t>І.</w:t>
              <w:tab/>
              <w:t>Федорова</w:t>
              <w:tab/>
            </w:r>
            <w:r>
              <w:rPr>
                <w:i/>
                <w:sz w:val="28"/>
              </w:rPr>
              <w:t>ФОРМУВАННЯ</w:t>
              <w:tab/>
              <w:t>ПРОФЕСІЙНО-</w:t>
            </w:r>
          </w:p>
          <w:p>
            <w:pPr>
              <w:pStyle w:val="TableParagraph"/>
              <w:spacing w:line="370" w:lineRule="atLeast"/>
              <w:ind w:left="200" w:right="94"/>
              <w:rPr>
                <w:i/>
                <w:sz w:val="28"/>
              </w:rPr>
            </w:pPr>
            <w:r>
              <w:rPr>
                <w:i/>
                <w:sz w:val="28"/>
              </w:rPr>
              <w:t>ЕТИЧНОЇ КОМПЕТЕНТНОСТІ У МАЙБУТНІХ ЛІКАРІВ ВЕТЕРИНАРНОЇ </w:t>
            </w:r>
            <w:r>
              <w:rPr>
                <w:i/>
                <w:sz w:val="28"/>
              </w:rPr>
              <w:t>МЕДИЦИНИ З ЗАСТОСУВАННЯМ МЕТОДУ «СИМВОЛДРАМИ»</w:t>
            </w:r>
          </w:p>
        </w:tc>
        <w:tc>
          <w:tcPr>
            <w:tcW w:w="785" w:type="dxa"/>
          </w:tcPr>
          <w:p>
            <w:pPr>
              <w:pStyle w:val="TableParagraph"/>
              <w:spacing w:before="17"/>
              <w:ind w:left="167"/>
              <w:rPr>
                <w:sz w:val="28"/>
              </w:rPr>
            </w:pPr>
            <w:r>
              <w:rPr>
                <w:sz w:val="28"/>
              </w:rPr>
              <w:t>139</w:t>
            </w:r>
          </w:p>
        </w:tc>
      </w:tr>
      <w:tr>
        <w:trPr>
          <w:trHeight w:val="1113" w:hRule="atLeast"/>
        </w:trPr>
        <w:tc>
          <w:tcPr>
            <w:tcW w:w="9333" w:type="dxa"/>
          </w:tcPr>
          <w:p>
            <w:pPr>
              <w:pStyle w:val="TableParagraph"/>
              <w:tabs>
                <w:tab w:pos="1567" w:val="left" w:leader="none"/>
                <w:tab w:pos="3311" w:val="left" w:leader="none"/>
                <w:tab w:pos="3905" w:val="left" w:leader="none"/>
                <w:tab w:pos="5083" w:val="left" w:leader="none"/>
                <w:tab w:pos="6843" w:val="left" w:leader="none"/>
              </w:tabs>
              <w:spacing w:line="276" w:lineRule="auto" w:before="17"/>
              <w:ind w:left="200" w:right="165" w:firstLine="710"/>
              <w:rPr>
                <w:i/>
                <w:sz w:val="28"/>
              </w:rPr>
            </w:pPr>
            <w:r>
              <w:rPr>
                <w:b/>
                <w:i/>
                <w:sz w:val="28"/>
              </w:rPr>
              <w:t>М.</w:t>
              <w:tab/>
              <w:t>Сахацький,</w:t>
              <w:tab/>
              <w:t>А.</w:t>
              <w:tab/>
              <w:t>Белоус</w:t>
              <w:tab/>
            </w:r>
            <w:r>
              <w:rPr>
                <w:i/>
                <w:sz w:val="28"/>
              </w:rPr>
              <w:t>РОЗВИТОК</w:t>
              <w:tab/>
            </w:r>
            <w:r>
              <w:rPr>
                <w:i/>
                <w:w w:val="95"/>
                <w:sz w:val="28"/>
              </w:rPr>
              <w:t>МАРКЕТИНГОВОЇ </w:t>
            </w:r>
            <w:r>
              <w:rPr>
                <w:i/>
                <w:sz w:val="28"/>
              </w:rPr>
              <w:t>ТОВАРНО-АСОРТИМЕНТНОЇ ПОЛІТИКИ ВИНОГРАДУ</w:t>
            </w:r>
            <w:r>
              <w:rPr>
                <w:i/>
                <w:spacing w:val="36"/>
                <w:sz w:val="28"/>
              </w:rPr>
              <w:t> </w:t>
            </w:r>
            <w:r>
              <w:rPr>
                <w:i/>
                <w:sz w:val="28"/>
              </w:rPr>
              <w:t>СТОЛОВОГО</w:t>
            </w:r>
          </w:p>
          <w:p>
            <w:pPr>
              <w:pStyle w:val="TableParagraph"/>
              <w:spacing w:before="3"/>
              <w:ind w:left="200"/>
              <w:rPr>
                <w:i/>
                <w:sz w:val="28"/>
              </w:rPr>
            </w:pPr>
            <w:r>
              <w:rPr>
                <w:i/>
                <w:sz w:val="28"/>
              </w:rPr>
              <w:t>НАПРЯМУ</w:t>
            </w:r>
          </w:p>
        </w:tc>
        <w:tc>
          <w:tcPr>
            <w:tcW w:w="785" w:type="dxa"/>
          </w:tcPr>
          <w:p>
            <w:pPr>
              <w:pStyle w:val="TableParagraph"/>
              <w:spacing w:before="17"/>
              <w:ind w:left="167"/>
              <w:rPr>
                <w:sz w:val="28"/>
              </w:rPr>
            </w:pPr>
            <w:r>
              <w:rPr>
                <w:sz w:val="28"/>
              </w:rPr>
              <w:t>148</w:t>
            </w:r>
          </w:p>
        </w:tc>
      </w:tr>
      <w:tr>
        <w:trPr>
          <w:trHeight w:val="861" w:hRule="atLeast"/>
        </w:trPr>
        <w:tc>
          <w:tcPr>
            <w:tcW w:w="9333" w:type="dxa"/>
          </w:tcPr>
          <w:p>
            <w:pPr>
              <w:pStyle w:val="TableParagraph"/>
              <w:spacing w:line="276" w:lineRule="auto" w:before="17"/>
              <w:ind w:left="200" w:right="165" w:firstLine="710"/>
              <w:rPr>
                <w:i/>
                <w:sz w:val="28"/>
              </w:rPr>
            </w:pPr>
            <w:r>
              <w:rPr>
                <w:b/>
                <w:i/>
                <w:sz w:val="28"/>
              </w:rPr>
              <w:t>А. Шевченко, К. Данкогло </w:t>
            </w:r>
            <w:r>
              <w:rPr>
                <w:i/>
                <w:sz w:val="28"/>
              </w:rPr>
              <w:t>АГРОІННОВАЦІЇ ЯК ПЕРСПЕКТИВА </w:t>
            </w:r>
            <w:r>
              <w:rPr>
                <w:i/>
                <w:sz w:val="28"/>
              </w:rPr>
              <w:t>ДО РОЗВИТКУ АГРАРНИХ ПІДПРИЄМСТВ</w:t>
            </w:r>
          </w:p>
        </w:tc>
        <w:tc>
          <w:tcPr>
            <w:tcW w:w="785" w:type="dxa"/>
          </w:tcPr>
          <w:p>
            <w:pPr>
              <w:pStyle w:val="TableParagraph"/>
              <w:spacing w:before="17"/>
              <w:ind w:left="167"/>
              <w:rPr>
                <w:sz w:val="28"/>
              </w:rPr>
            </w:pPr>
            <w:r>
              <w:rPr>
                <w:sz w:val="28"/>
              </w:rPr>
              <w:t>158</w:t>
            </w:r>
          </w:p>
        </w:tc>
      </w:tr>
      <w:tr>
        <w:trPr>
          <w:trHeight w:val="489" w:hRule="atLeast"/>
        </w:trPr>
        <w:tc>
          <w:tcPr>
            <w:tcW w:w="9333" w:type="dxa"/>
          </w:tcPr>
          <w:p>
            <w:pPr>
              <w:pStyle w:val="TableParagraph"/>
              <w:spacing w:before="139"/>
              <w:ind w:left="3482" w:right="2742"/>
              <w:jc w:val="center"/>
              <w:rPr>
                <w:b/>
                <w:sz w:val="28"/>
              </w:rPr>
            </w:pPr>
            <w:r>
              <w:rPr>
                <w:b/>
                <w:sz w:val="28"/>
              </w:rPr>
              <w:t>ТЕХНІЧНІ НАУКИ</w:t>
            </w:r>
          </w:p>
        </w:tc>
        <w:tc>
          <w:tcPr>
            <w:tcW w:w="785" w:type="dxa"/>
          </w:tcPr>
          <w:p>
            <w:pPr>
              <w:pStyle w:val="TableParagraph"/>
              <w:rPr>
                <w:sz w:val="26"/>
              </w:rPr>
            </w:pPr>
          </w:p>
        </w:tc>
      </w:tr>
      <w:tr>
        <w:trPr>
          <w:trHeight w:val="1106" w:hRule="atLeast"/>
        </w:trPr>
        <w:tc>
          <w:tcPr>
            <w:tcW w:w="9333" w:type="dxa"/>
          </w:tcPr>
          <w:p>
            <w:pPr>
              <w:pStyle w:val="TableParagraph"/>
              <w:tabs>
                <w:tab w:pos="1525" w:val="left" w:leader="none"/>
                <w:tab w:pos="4265" w:val="left" w:leader="none"/>
                <w:tab w:pos="6419" w:val="left" w:leader="none"/>
                <w:tab w:pos="7263" w:val="left" w:leader="none"/>
              </w:tabs>
              <w:spacing w:line="271" w:lineRule="auto" w:before="19"/>
              <w:ind w:left="200" w:right="168" w:firstLine="710"/>
              <w:rPr>
                <w:i/>
                <w:sz w:val="28"/>
              </w:rPr>
            </w:pPr>
            <w:r>
              <w:rPr>
                <w:b/>
                <w:i/>
                <w:sz w:val="28"/>
              </w:rPr>
              <w:t>С. Уминський, В. Макарчук , М. Королькова, С. Дмитрієва, С. </w:t>
            </w:r>
            <w:r>
              <w:rPr>
                <w:b/>
                <w:i/>
                <w:sz w:val="28"/>
              </w:rPr>
              <w:t>Житков</w:t>
              <w:tab/>
            </w:r>
            <w:r>
              <w:rPr>
                <w:i/>
                <w:sz w:val="28"/>
              </w:rPr>
              <w:t>ГІДРОДИНАМІЧНЕ</w:t>
              <w:tab/>
              <w:t>ОБЛАДНАННЯ</w:t>
              <w:tab/>
              <w:t>ДЛЯ</w:t>
              <w:tab/>
              <w:t>ДЕЗОДОРАЦІЯ</w:t>
            </w:r>
          </w:p>
          <w:p>
            <w:pPr>
              <w:pStyle w:val="TableParagraph"/>
              <w:spacing w:before="8"/>
              <w:ind w:left="200"/>
              <w:rPr>
                <w:i/>
                <w:sz w:val="28"/>
              </w:rPr>
            </w:pPr>
            <w:r>
              <w:rPr>
                <w:i/>
                <w:sz w:val="28"/>
              </w:rPr>
              <w:t>РОСЛИННОЇ ОЛІЇ</w:t>
            </w:r>
          </w:p>
        </w:tc>
        <w:tc>
          <w:tcPr>
            <w:tcW w:w="785" w:type="dxa"/>
          </w:tcPr>
          <w:p>
            <w:pPr>
              <w:pStyle w:val="TableParagraph"/>
              <w:spacing w:before="15"/>
              <w:ind w:left="167"/>
              <w:rPr>
                <w:sz w:val="28"/>
              </w:rPr>
            </w:pPr>
            <w:r>
              <w:rPr>
                <w:sz w:val="28"/>
              </w:rPr>
              <w:t>168</w:t>
            </w:r>
          </w:p>
        </w:tc>
      </w:tr>
      <w:tr>
        <w:trPr>
          <w:trHeight w:val="1113" w:hRule="atLeast"/>
        </w:trPr>
        <w:tc>
          <w:tcPr>
            <w:tcW w:w="9333" w:type="dxa"/>
          </w:tcPr>
          <w:p>
            <w:pPr>
              <w:pStyle w:val="TableParagraph"/>
              <w:tabs>
                <w:tab w:pos="1428" w:val="left" w:leader="none"/>
                <w:tab w:pos="2245" w:val="left" w:leader="none"/>
                <w:tab w:pos="3944" w:val="left" w:leader="none"/>
                <w:tab w:pos="4576" w:val="left" w:leader="none"/>
                <w:tab w:pos="5368" w:val="left" w:leader="none"/>
                <w:tab w:pos="6648" w:val="left" w:leader="none"/>
                <w:tab w:pos="7276" w:val="left" w:leader="none"/>
                <w:tab w:pos="8595" w:val="left" w:leader="none"/>
              </w:tabs>
              <w:spacing w:before="17"/>
              <w:ind w:left="200" w:firstLine="710"/>
              <w:rPr>
                <w:i/>
                <w:sz w:val="28"/>
              </w:rPr>
            </w:pPr>
            <w:r>
              <w:rPr>
                <w:b/>
                <w:i/>
                <w:sz w:val="28"/>
              </w:rPr>
              <w:t>A.</w:t>
              <w:tab/>
              <w:t>Ilina</w:t>
              <w:tab/>
            </w:r>
            <w:r>
              <w:rPr>
                <w:i/>
                <w:sz w:val="28"/>
              </w:rPr>
              <w:t>MODELING</w:t>
              <w:tab/>
            </w:r>
            <w:r>
              <w:rPr>
                <w:i/>
                <w:spacing w:val="2"/>
                <w:sz w:val="28"/>
              </w:rPr>
              <w:t>OF</w:t>
              <w:tab/>
            </w:r>
            <w:r>
              <w:rPr>
                <w:i/>
                <w:sz w:val="28"/>
              </w:rPr>
              <w:t>THE</w:t>
              <w:tab/>
              <w:t>EFFECT</w:t>
              <w:tab/>
            </w:r>
            <w:r>
              <w:rPr>
                <w:i/>
                <w:spacing w:val="2"/>
                <w:sz w:val="28"/>
              </w:rPr>
              <w:t>OF</w:t>
              <w:tab/>
            </w:r>
            <w:r>
              <w:rPr>
                <w:i/>
                <w:sz w:val="28"/>
              </w:rPr>
              <w:t>SOWING</w:t>
              <w:tab/>
              <w:t>AND</w:t>
            </w:r>
          </w:p>
          <w:p>
            <w:pPr>
              <w:pStyle w:val="TableParagraph"/>
              <w:spacing w:line="370" w:lineRule="atLeast" w:before="4"/>
              <w:ind w:left="200"/>
              <w:rPr>
                <w:i/>
                <w:sz w:val="28"/>
              </w:rPr>
            </w:pPr>
            <w:r>
              <w:rPr>
                <w:i/>
                <w:sz w:val="28"/>
              </w:rPr>
              <w:t>SATISFACTION OF GROUND ON GROWTH OF OATS DEVELOPMENT IN </w:t>
            </w:r>
            <w:r>
              <w:rPr>
                <w:i/>
                <w:sz w:val="28"/>
              </w:rPr>
              <w:t>THE CONDITIONS OF ODESA REGION</w:t>
            </w:r>
          </w:p>
        </w:tc>
        <w:tc>
          <w:tcPr>
            <w:tcW w:w="785" w:type="dxa"/>
          </w:tcPr>
          <w:p>
            <w:pPr>
              <w:pStyle w:val="TableParagraph"/>
              <w:spacing w:before="17"/>
              <w:ind w:left="167"/>
              <w:rPr>
                <w:sz w:val="28"/>
              </w:rPr>
            </w:pPr>
            <w:r>
              <w:rPr>
                <w:sz w:val="28"/>
              </w:rPr>
              <w:t>173</w:t>
            </w:r>
          </w:p>
        </w:tc>
      </w:tr>
      <w:tr>
        <w:trPr>
          <w:trHeight w:val="739" w:hRule="atLeast"/>
        </w:trPr>
        <w:tc>
          <w:tcPr>
            <w:tcW w:w="9333" w:type="dxa"/>
          </w:tcPr>
          <w:p>
            <w:pPr>
              <w:pStyle w:val="TableParagraph"/>
              <w:tabs>
                <w:tab w:pos="1476" w:val="left" w:leader="none"/>
                <w:tab w:pos="3032" w:val="left" w:leader="none"/>
                <w:tab w:pos="5445" w:val="left" w:leader="none"/>
                <w:tab w:pos="6562" w:val="left" w:leader="none"/>
                <w:tab w:pos="8971" w:val="left" w:leader="none"/>
              </w:tabs>
              <w:spacing w:before="17"/>
              <w:ind w:left="910"/>
              <w:rPr>
                <w:i/>
                <w:sz w:val="28"/>
              </w:rPr>
            </w:pPr>
            <w:r>
              <w:rPr>
                <w:b/>
                <w:i/>
                <w:sz w:val="28"/>
              </w:rPr>
              <w:t>С.</w:t>
              <w:tab/>
              <w:t>Перетяка</w:t>
              <w:tab/>
            </w:r>
            <w:r>
              <w:rPr>
                <w:i/>
                <w:sz w:val="28"/>
              </w:rPr>
              <w:t>ЗАБЕЗПЕЧЕННЯ</w:t>
              <w:tab/>
              <w:t>НОРМ</w:t>
              <w:tab/>
              <w:t>МІКРОКЛІМАТУ</w:t>
              <w:tab/>
              <w:t>У</w:t>
            </w:r>
          </w:p>
          <w:p>
            <w:pPr>
              <w:pStyle w:val="TableParagraph"/>
              <w:spacing w:before="48"/>
              <w:ind w:left="200"/>
              <w:rPr>
                <w:i/>
                <w:sz w:val="28"/>
              </w:rPr>
            </w:pPr>
            <w:r>
              <w:rPr>
                <w:i/>
                <w:sz w:val="28"/>
              </w:rPr>
              <w:t>НАВЧАЛЬНИХ ЗАКЛАДАХ</w:t>
            </w:r>
          </w:p>
        </w:tc>
        <w:tc>
          <w:tcPr>
            <w:tcW w:w="785" w:type="dxa"/>
          </w:tcPr>
          <w:p>
            <w:pPr>
              <w:pStyle w:val="TableParagraph"/>
              <w:spacing w:before="17"/>
              <w:ind w:left="167"/>
              <w:rPr>
                <w:sz w:val="28"/>
              </w:rPr>
            </w:pPr>
            <w:r>
              <w:rPr>
                <w:sz w:val="28"/>
              </w:rPr>
              <w:t>178</w:t>
            </w:r>
          </w:p>
        </w:tc>
      </w:tr>
      <w:tr>
        <w:trPr>
          <w:trHeight w:val="739" w:hRule="atLeast"/>
        </w:trPr>
        <w:tc>
          <w:tcPr>
            <w:tcW w:w="9333" w:type="dxa"/>
          </w:tcPr>
          <w:p>
            <w:pPr>
              <w:pStyle w:val="TableParagraph"/>
              <w:spacing w:before="17"/>
              <w:ind w:left="910"/>
              <w:rPr>
                <w:i/>
                <w:sz w:val="28"/>
              </w:rPr>
            </w:pPr>
            <w:r>
              <w:rPr>
                <w:b/>
                <w:i/>
                <w:sz w:val="28"/>
              </w:rPr>
              <w:t>І .Саченко , Г. Вовкодав </w:t>
            </w:r>
            <w:r>
              <w:rPr>
                <w:i/>
                <w:sz w:val="28"/>
              </w:rPr>
              <w:t>ОЦІНКА ЯКОСТІ ВОД ТУЗЛОВСЬКИХ</w:t>
            </w:r>
          </w:p>
          <w:p>
            <w:pPr>
              <w:pStyle w:val="TableParagraph"/>
              <w:spacing w:before="48"/>
              <w:ind w:left="200"/>
              <w:rPr>
                <w:i/>
                <w:sz w:val="28"/>
              </w:rPr>
            </w:pPr>
            <w:r>
              <w:rPr>
                <w:i/>
                <w:sz w:val="28"/>
              </w:rPr>
              <w:t>ЛИМАНІВ ЗА ІНДЕКСОМ ЗАБРУДНЕННЯ ВОДИ (ІЗВ)</w:t>
            </w:r>
          </w:p>
        </w:tc>
        <w:tc>
          <w:tcPr>
            <w:tcW w:w="785" w:type="dxa"/>
          </w:tcPr>
          <w:p>
            <w:pPr>
              <w:pStyle w:val="TableParagraph"/>
              <w:spacing w:before="17"/>
              <w:ind w:left="167"/>
              <w:rPr>
                <w:sz w:val="28"/>
              </w:rPr>
            </w:pPr>
            <w:r>
              <w:rPr>
                <w:sz w:val="28"/>
              </w:rPr>
              <w:t>190</w:t>
            </w:r>
          </w:p>
        </w:tc>
      </w:tr>
      <w:tr>
        <w:trPr>
          <w:trHeight w:val="744" w:hRule="atLeast"/>
        </w:trPr>
        <w:tc>
          <w:tcPr>
            <w:tcW w:w="9333" w:type="dxa"/>
          </w:tcPr>
          <w:p>
            <w:pPr>
              <w:pStyle w:val="TableParagraph"/>
              <w:spacing w:before="22"/>
              <w:ind w:left="910"/>
              <w:rPr>
                <w:b/>
                <w:i/>
                <w:sz w:val="28"/>
              </w:rPr>
            </w:pPr>
            <w:r>
              <w:rPr>
                <w:b/>
                <w:i/>
                <w:sz w:val="28"/>
              </w:rPr>
              <w:t>С. Уминський, В. Макарчук , М. Королькова, С. Дмитрієва, С.</w:t>
            </w:r>
          </w:p>
          <w:p>
            <w:pPr>
              <w:pStyle w:val="TableParagraph"/>
              <w:spacing w:before="48"/>
              <w:ind w:left="200"/>
              <w:rPr>
                <w:i/>
                <w:sz w:val="28"/>
              </w:rPr>
            </w:pPr>
            <w:r>
              <w:rPr>
                <w:b/>
                <w:i/>
                <w:sz w:val="28"/>
              </w:rPr>
              <w:t>Житков </w:t>
            </w:r>
            <w:r>
              <w:rPr>
                <w:i/>
                <w:sz w:val="28"/>
              </w:rPr>
              <w:t>ГІДРОДИНАМІЧНЕ ДИСПЕРГУВАННЯ ДИЗЕЛЬНИХ ПАЛИВ</w:t>
            </w:r>
          </w:p>
        </w:tc>
        <w:tc>
          <w:tcPr>
            <w:tcW w:w="785" w:type="dxa"/>
          </w:tcPr>
          <w:p>
            <w:pPr>
              <w:pStyle w:val="TableParagraph"/>
              <w:spacing w:before="17"/>
              <w:ind w:left="167"/>
              <w:rPr>
                <w:sz w:val="28"/>
              </w:rPr>
            </w:pPr>
            <w:r>
              <w:rPr>
                <w:sz w:val="28"/>
              </w:rPr>
              <w:t>194</w:t>
            </w:r>
          </w:p>
        </w:tc>
      </w:tr>
      <w:tr>
        <w:trPr>
          <w:trHeight w:val="708" w:hRule="atLeast"/>
        </w:trPr>
        <w:tc>
          <w:tcPr>
            <w:tcW w:w="9333" w:type="dxa"/>
          </w:tcPr>
          <w:p>
            <w:pPr>
              <w:pStyle w:val="TableParagraph"/>
              <w:spacing w:before="17"/>
              <w:ind w:left="910"/>
              <w:rPr>
                <w:i/>
                <w:sz w:val="28"/>
              </w:rPr>
            </w:pPr>
            <w:r>
              <w:rPr>
                <w:b/>
                <w:i/>
                <w:sz w:val="28"/>
              </w:rPr>
              <w:t>В. Ільіна, Г. Вовкодав </w:t>
            </w:r>
            <w:r>
              <w:rPr>
                <w:i/>
                <w:sz w:val="28"/>
              </w:rPr>
              <w:t>МОДЕЛЮВАННЯ БАЛАНСУ БІОГЕННИХ</w:t>
            </w:r>
          </w:p>
          <w:p>
            <w:pPr>
              <w:pStyle w:val="TableParagraph"/>
              <w:spacing w:line="302" w:lineRule="exact" w:before="48"/>
              <w:ind w:left="200"/>
              <w:rPr>
                <w:i/>
                <w:sz w:val="28"/>
              </w:rPr>
            </w:pPr>
            <w:r>
              <w:rPr>
                <w:i/>
                <w:sz w:val="28"/>
              </w:rPr>
              <w:t>ЕЛЕМЕНТІВ В УМОВАХ ПІВДНЯ УКРАЇНИ</w:t>
            </w:r>
          </w:p>
        </w:tc>
        <w:tc>
          <w:tcPr>
            <w:tcW w:w="785" w:type="dxa"/>
          </w:tcPr>
          <w:p>
            <w:pPr>
              <w:pStyle w:val="TableParagraph"/>
              <w:spacing w:before="17"/>
              <w:ind w:left="167"/>
              <w:rPr>
                <w:sz w:val="28"/>
              </w:rPr>
            </w:pPr>
            <w:r>
              <w:rPr>
                <w:sz w:val="28"/>
              </w:rPr>
              <w:t>199</w:t>
            </w:r>
          </w:p>
        </w:tc>
      </w:tr>
    </w:tbl>
    <w:p>
      <w:pPr>
        <w:spacing w:after="0"/>
        <w:rPr>
          <w:sz w:val="28"/>
        </w:rPr>
        <w:sectPr>
          <w:pgSz w:w="11910" w:h="16840"/>
          <w:pgMar w:header="713" w:footer="0" w:top="1140" w:bottom="280" w:left="940" w:right="520"/>
        </w:sectPr>
      </w:pPr>
    </w:p>
    <w:p>
      <w:pPr>
        <w:spacing w:before="96"/>
        <w:ind w:left="186" w:right="603" w:firstLine="0"/>
        <w:jc w:val="center"/>
        <w:rPr>
          <w:b/>
          <w:sz w:val="28"/>
        </w:rPr>
      </w:pPr>
      <w:r>
        <w:rPr>
          <w:b/>
          <w:sz w:val="28"/>
        </w:rPr>
        <w:t>ВЕТЕРИНАРНІ НАУКИ</w:t>
      </w:r>
    </w:p>
    <w:p>
      <w:pPr>
        <w:pStyle w:val="BodyText"/>
        <w:ind w:left="0"/>
        <w:jc w:val="left"/>
        <w:rPr>
          <w:b/>
          <w:sz w:val="30"/>
        </w:rPr>
      </w:pPr>
    </w:p>
    <w:p>
      <w:pPr>
        <w:pStyle w:val="BodyText"/>
        <w:spacing w:before="11"/>
        <w:ind w:left="0"/>
        <w:jc w:val="left"/>
        <w:rPr>
          <w:b/>
          <w:sz w:val="25"/>
        </w:rPr>
      </w:pPr>
    </w:p>
    <w:p>
      <w:pPr>
        <w:tabs>
          <w:tab w:pos="5859" w:val="left" w:leader="none"/>
        </w:tabs>
        <w:spacing w:before="0"/>
        <w:ind w:left="1134" w:right="799" w:hanging="942"/>
        <w:jc w:val="left"/>
        <w:rPr>
          <w:b/>
          <w:sz w:val="28"/>
        </w:rPr>
      </w:pPr>
      <w:r>
        <w:rPr>
          <w:b/>
          <w:sz w:val="28"/>
        </w:rPr>
        <w:t>УДК</w:t>
      </w:r>
      <w:r>
        <w:rPr>
          <w:b/>
          <w:spacing w:val="-2"/>
          <w:sz w:val="28"/>
        </w:rPr>
        <w:t> </w:t>
      </w:r>
      <w:r>
        <w:rPr>
          <w:b/>
          <w:sz w:val="28"/>
        </w:rPr>
        <w:t>619:</w:t>
      </w:r>
      <w:hyperlink r:id="rId8">
        <w:r>
          <w:rPr>
            <w:b/>
            <w:sz w:val="28"/>
          </w:rPr>
          <w:t>616-001.36</w:t>
        </w:r>
      </w:hyperlink>
      <w:r>
        <w:rPr>
          <w:b/>
          <w:sz w:val="28"/>
        </w:rPr>
        <w:tab/>
        <w:t>DOI: 10.37000/abbsl.2020.96.01 ТРАВМАТИЧНИЙ БОЛЬОВИЙ ШОК ЯК ПРЕДМЕТ</w:t>
      </w:r>
      <w:r>
        <w:rPr>
          <w:b/>
          <w:spacing w:val="-8"/>
          <w:sz w:val="28"/>
        </w:rPr>
        <w:t> </w:t>
      </w:r>
      <w:r>
        <w:rPr>
          <w:b/>
          <w:sz w:val="28"/>
        </w:rPr>
        <w:t>СУДОВО-</w:t>
      </w:r>
    </w:p>
    <w:p>
      <w:pPr>
        <w:spacing w:line="322" w:lineRule="exact" w:before="4"/>
        <w:ind w:left="2872" w:right="0" w:firstLine="0"/>
        <w:jc w:val="left"/>
        <w:rPr>
          <w:b/>
          <w:sz w:val="28"/>
        </w:rPr>
      </w:pPr>
      <w:r>
        <w:rPr>
          <w:b/>
          <w:sz w:val="28"/>
        </w:rPr>
        <w:t>ВЕТЕРИНАРНОЇ ЕКСПЕРТИЗИ</w:t>
      </w:r>
    </w:p>
    <w:p>
      <w:pPr>
        <w:spacing w:line="319" w:lineRule="exact" w:before="0"/>
        <w:ind w:left="745" w:right="603" w:firstLine="0"/>
        <w:jc w:val="center"/>
        <w:rPr>
          <w:b/>
          <w:sz w:val="28"/>
        </w:rPr>
      </w:pPr>
      <w:r>
        <w:rPr>
          <w:b/>
          <w:sz w:val="28"/>
        </w:rPr>
        <w:t>М. Скрипка, А. Сєвастєєв</w:t>
      </w:r>
    </w:p>
    <w:p>
      <w:pPr>
        <w:spacing w:line="319" w:lineRule="exact" w:before="0"/>
        <w:ind w:left="742" w:right="603" w:firstLine="0"/>
        <w:jc w:val="center"/>
        <w:rPr>
          <w:i/>
          <w:sz w:val="28"/>
        </w:rPr>
      </w:pPr>
      <w:r>
        <w:rPr>
          <w:i/>
          <w:sz w:val="28"/>
        </w:rPr>
        <w:t>Одеський державний аграрний університет</w:t>
      </w:r>
    </w:p>
    <w:p>
      <w:pPr>
        <w:pStyle w:val="Heading1"/>
        <w:spacing w:line="319" w:lineRule="exact" w:before="5"/>
        <w:ind w:left="745"/>
      </w:pPr>
      <w:r>
        <w:rPr/>
        <w:t>І. Яценко, В. Панікар</w:t>
      </w:r>
    </w:p>
    <w:p>
      <w:pPr>
        <w:spacing w:line="319" w:lineRule="exact" w:before="0"/>
        <w:ind w:left="734" w:right="603" w:firstLine="0"/>
        <w:jc w:val="center"/>
        <w:rPr>
          <w:i/>
          <w:sz w:val="28"/>
        </w:rPr>
      </w:pPr>
      <w:r>
        <w:rPr>
          <w:i/>
          <w:sz w:val="28"/>
        </w:rPr>
        <w:t>Харківська державна зооветеринарна академія</w:t>
      </w:r>
    </w:p>
    <w:p>
      <w:pPr>
        <w:pStyle w:val="BodyText"/>
        <w:spacing w:before="11"/>
        <w:ind w:left="0"/>
        <w:jc w:val="left"/>
        <w:rPr>
          <w:i/>
          <w:sz w:val="27"/>
        </w:rPr>
      </w:pPr>
    </w:p>
    <w:p>
      <w:pPr>
        <w:spacing w:line="240" w:lineRule="auto" w:before="0"/>
        <w:ind w:left="193" w:right="610" w:firstLine="710"/>
        <w:jc w:val="both"/>
        <w:rPr>
          <w:i/>
          <w:sz w:val="28"/>
        </w:rPr>
      </w:pPr>
      <w:r>
        <w:rPr>
          <w:i/>
          <w:sz w:val="28"/>
        </w:rPr>
        <w:t>За матеріалами судових справ та результатами проведених судово- </w:t>
      </w:r>
      <w:r>
        <w:rPr>
          <w:i/>
          <w:sz w:val="28"/>
        </w:rPr>
        <w:t>ветеринарних досліджень трупів тварин з ознаками тілесних ушкоджень, в кожному окремому випадку було визначено, до розвитку якого шокового стану призвела та чи інша механічна травма. Термін «травматичний шок» є узагальненням механізмів реакції організму тварин на ті чи інші пошкодження. Враховуючи</w:t>
      </w:r>
      <w:r>
        <w:rPr>
          <w:i/>
          <w:spacing w:val="-8"/>
          <w:sz w:val="28"/>
        </w:rPr>
        <w:t> </w:t>
      </w:r>
      <w:r>
        <w:rPr>
          <w:i/>
          <w:sz w:val="28"/>
        </w:rPr>
        <w:t>різноманітність</w:t>
      </w:r>
      <w:r>
        <w:rPr>
          <w:i/>
          <w:spacing w:val="-10"/>
          <w:sz w:val="28"/>
        </w:rPr>
        <w:t> </w:t>
      </w:r>
      <w:r>
        <w:rPr>
          <w:i/>
          <w:sz w:val="28"/>
        </w:rPr>
        <w:t>класифікацій</w:t>
      </w:r>
      <w:r>
        <w:rPr>
          <w:i/>
          <w:spacing w:val="-9"/>
          <w:sz w:val="28"/>
        </w:rPr>
        <w:t> </w:t>
      </w:r>
      <w:r>
        <w:rPr>
          <w:i/>
          <w:sz w:val="28"/>
        </w:rPr>
        <w:t>видів</w:t>
      </w:r>
      <w:r>
        <w:rPr>
          <w:i/>
          <w:spacing w:val="-10"/>
          <w:sz w:val="28"/>
        </w:rPr>
        <w:t> </w:t>
      </w:r>
      <w:r>
        <w:rPr>
          <w:i/>
          <w:sz w:val="28"/>
        </w:rPr>
        <w:t>шоку,</w:t>
      </w:r>
      <w:r>
        <w:rPr>
          <w:i/>
          <w:spacing w:val="-6"/>
          <w:sz w:val="28"/>
        </w:rPr>
        <w:t> </w:t>
      </w:r>
      <w:r>
        <w:rPr>
          <w:i/>
          <w:sz w:val="28"/>
        </w:rPr>
        <w:t>можна</w:t>
      </w:r>
      <w:r>
        <w:rPr>
          <w:i/>
          <w:spacing w:val="-8"/>
          <w:sz w:val="28"/>
        </w:rPr>
        <w:t> </w:t>
      </w:r>
      <w:r>
        <w:rPr>
          <w:i/>
          <w:sz w:val="28"/>
        </w:rPr>
        <w:t>з</w:t>
      </w:r>
      <w:r>
        <w:rPr>
          <w:i/>
          <w:spacing w:val="-7"/>
          <w:sz w:val="28"/>
        </w:rPr>
        <w:t> </w:t>
      </w:r>
      <w:r>
        <w:rPr>
          <w:i/>
          <w:sz w:val="28"/>
        </w:rPr>
        <w:t>стверджувати, що залежно від виду травми патогенез, а відповідно і патоморфологічні зміни за шокового стану, будуть мати свої</w:t>
      </w:r>
      <w:r>
        <w:rPr>
          <w:i/>
          <w:spacing w:val="3"/>
          <w:sz w:val="28"/>
        </w:rPr>
        <w:t> </w:t>
      </w:r>
      <w:r>
        <w:rPr>
          <w:i/>
          <w:sz w:val="28"/>
        </w:rPr>
        <w:t>особливості.</w:t>
      </w:r>
    </w:p>
    <w:p>
      <w:pPr>
        <w:spacing w:before="2"/>
        <w:ind w:left="193" w:right="622" w:firstLine="710"/>
        <w:jc w:val="both"/>
        <w:rPr>
          <w:i/>
          <w:sz w:val="28"/>
        </w:rPr>
      </w:pPr>
      <w:r>
        <w:rPr>
          <w:b/>
          <w:i/>
          <w:sz w:val="28"/>
        </w:rPr>
        <w:t>Ключові слова: </w:t>
      </w:r>
      <w:r>
        <w:rPr>
          <w:i/>
          <w:sz w:val="28"/>
        </w:rPr>
        <w:t>шок, травма, пошкодження, патоморфологічні зміни, </w:t>
      </w:r>
      <w:r>
        <w:rPr>
          <w:i/>
          <w:sz w:val="28"/>
        </w:rPr>
        <w:t>судова справа.</w:t>
      </w:r>
    </w:p>
    <w:p>
      <w:pPr>
        <w:pStyle w:val="BodyText"/>
        <w:ind w:left="0"/>
        <w:jc w:val="left"/>
        <w:rPr>
          <w:i/>
        </w:rPr>
      </w:pPr>
    </w:p>
    <w:p>
      <w:pPr>
        <w:pStyle w:val="BodyText"/>
        <w:ind w:right="608" w:firstLine="710"/>
      </w:pPr>
      <w:r>
        <w:rPr>
          <w:b/>
        </w:rPr>
        <w:t>Постановка проблеми. </w:t>
      </w:r>
      <w:r>
        <w:rPr/>
        <w:t>З кожним роком в усьому світі зростає увага до питання захисту тварин на рівні законодавчої бази, відпрацьовуються правові механізми захисту прав як домашніх, так і диких тварин. Захист прав тварин знайшло своє відображення і в законодавчій базі України [1–8]. Нині в Україні діє Закон «Про захист тварин від жорстокого поводження» від 15 грудня 2009 року № 1759-VI. Цей Закон спрямований на захист від страждань і загибелі тварин унаслідок жорстокого поводження з ними [4].</w:t>
      </w:r>
    </w:p>
    <w:p>
      <w:pPr>
        <w:pStyle w:val="BodyText"/>
        <w:ind w:right="610" w:firstLine="710"/>
      </w:pPr>
      <w:r>
        <w:rPr/>
        <w:t>Відповідальність за жорстоке поводження з тваринами встановлюється Кодексом України про адміністративні правопорушення [9] та Кримінальним кодексом (далі – ККУ) [8]. Кримінальна відповідальність за порушення законодавства</w:t>
      </w:r>
      <w:r>
        <w:rPr>
          <w:spacing w:val="-10"/>
        </w:rPr>
        <w:t> </w:t>
      </w:r>
      <w:r>
        <w:rPr/>
        <w:t>в</w:t>
      </w:r>
      <w:r>
        <w:rPr>
          <w:spacing w:val="-13"/>
        </w:rPr>
        <w:t> </w:t>
      </w:r>
      <w:r>
        <w:rPr/>
        <w:t>галузі</w:t>
      </w:r>
      <w:r>
        <w:rPr>
          <w:spacing w:val="-12"/>
        </w:rPr>
        <w:t> </w:t>
      </w:r>
      <w:r>
        <w:rPr/>
        <w:t>використання</w:t>
      </w:r>
      <w:r>
        <w:rPr>
          <w:spacing w:val="-10"/>
        </w:rPr>
        <w:t> </w:t>
      </w:r>
      <w:r>
        <w:rPr/>
        <w:t>тваринного</w:t>
      </w:r>
      <w:r>
        <w:rPr>
          <w:spacing w:val="-10"/>
        </w:rPr>
        <w:t> </w:t>
      </w:r>
      <w:r>
        <w:rPr/>
        <w:t>світу</w:t>
      </w:r>
      <w:r>
        <w:rPr>
          <w:spacing w:val="-16"/>
        </w:rPr>
        <w:t> </w:t>
      </w:r>
      <w:r>
        <w:rPr/>
        <w:t>зазначена</w:t>
      </w:r>
      <w:r>
        <w:rPr>
          <w:spacing w:val="-6"/>
        </w:rPr>
        <w:t> </w:t>
      </w:r>
      <w:r>
        <w:rPr/>
        <w:t>і</w:t>
      </w:r>
      <w:r>
        <w:rPr>
          <w:spacing w:val="-12"/>
        </w:rPr>
        <w:t> </w:t>
      </w:r>
      <w:r>
        <w:rPr/>
        <w:t>у</w:t>
      </w:r>
      <w:r>
        <w:rPr>
          <w:spacing w:val="-15"/>
        </w:rPr>
        <w:t> </w:t>
      </w:r>
      <w:r>
        <w:rPr/>
        <w:t>ст.</w:t>
      </w:r>
      <w:r>
        <w:rPr>
          <w:spacing w:val="-9"/>
        </w:rPr>
        <w:t> </w:t>
      </w:r>
      <w:r>
        <w:rPr/>
        <w:t>63</w:t>
      </w:r>
      <w:r>
        <w:rPr>
          <w:spacing w:val="-11"/>
        </w:rPr>
        <w:t> </w:t>
      </w:r>
      <w:r>
        <w:rPr>
          <w:spacing w:val="2"/>
        </w:rPr>
        <w:t>Закону </w:t>
      </w:r>
      <w:r>
        <w:rPr/>
        <w:t>України</w:t>
      </w:r>
      <w:r>
        <w:rPr>
          <w:spacing w:val="-11"/>
        </w:rPr>
        <w:t> </w:t>
      </w:r>
      <w:r>
        <w:rPr/>
        <w:t>«Про</w:t>
      </w:r>
      <w:r>
        <w:rPr>
          <w:spacing w:val="-15"/>
        </w:rPr>
        <w:t> </w:t>
      </w:r>
      <w:r>
        <w:rPr/>
        <w:t>тваринний</w:t>
      </w:r>
      <w:r>
        <w:rPr>
          <w:spacing w:val="-14"/>
        </w:rPr>
        <w:t> </w:t>
      </w:r>
      <w:r>
        <w:rPr/>
        <w:t>світ»</w:t>
      </w:r>
      <w:r>
        <w:rPr>
          <w:spacing w:val="-19"/>
        </w:rPr>
        <w:t> </w:t>
      </w:r>
      <w:r>
        <w:rPr/>
        <w:t>[5].</w:t>
      </w:r>
      <w:r>
        <w:rPr>
          <w:spacing w:val="-13"/>
        </w:rPr>
        <w:t> </w:t>
      </w:r>
      <w:r>
        <w:rPr/>
        <w:t>Проте</w:t>
      </w:r>
      <w:r>
        <w:rPr>
          <w:spacing w:val="-9"/>
        </w:rPr>
        <w:t> </w:t>
      </w:r>
      <w:r>
        <w:rPr/>
        <w:t>з</w:t>
      </w:r>
      <w:r>
        <w:rPr>
          <w:spacing w:val="-15"/>
        </w:rPr>
        <w:t> </w:t>
      </w:r>
      <w:r>
        <w:rPr/>
        <w:t>кожним</w:t>
      </w:r>
      <w:r>
        <w:rPr>
          <w:spacing w:val="-13"/>
        </w:rPr>
        <w:t> </w:t>
      </w:r>
      <w:r>
        <w:rPr/>
        <w:t>роком</w:t>
      </w:r>
      <w:r>
        <w:rPr>
          <w:spacing w:val="-14"/>
        </w:rPr>
        <w:t> </w:t>
      </w:r>
      <w:r>
        <w:rPr/>
        <w:t>в</w:t>
      </w:r>
      <w:r>
        <w:rPr>
          <w:spacing w:val="-16"/>
        </w:rPr>
        <w:t> </w:t>
      </w:r>
      <w:r>
        <w:rPr/>
        <w:t>Україні</w:t>
      </w:r>
      <w:r>
        <w:rPr>
          <w:spacing w:val="-19"/>
        </w:rPr>
        <w:t> </w:t>
      </w:r>
      <w:r>
        <w:rPr/>
        <w:t>збільшується кількість судових справ, пов’язаних з ветеринарною сферою, зокрема </w:t>
      </w:r>
      <w:r>
        <w:rPr>
          <w:spacing w:val="-3"/>
        </w:rPr>
        <w:t>із </w:t>
      </w:r>
      <w:r>
        <w:rPr/>
        <w:t>жорстоким поводженням з тваринами, встановленням причин смерті тварин під час або після лікування, порушення умов їх утримання та експлуатації</w:t>
      </w:r>
      <w:r>
        <w:rPr>
          <w:spacing w:val="-16"/>
        </w:rPr>
        <w:t> </w:t>
      </w:r>
      <w:r>
        <w:rPr/>
        <w:t>[10].</w:t>
      </w:r>
    </w:p>
    <w:p>
      <w:pPr>
        <w:pStyle w:val="BodyText"/>
        <w:ind w:right="616" w:firstLine="710"/>
      </w:pPr>
      <w:r>
        <w:rPr>
          <w:spacing w:val="-3"/>
        </w:rPr>
        <w:t>Не</w:t>
      </w:r>
      <w:r>
        <w:rPr>
          <w:spacing w:val="-13"/>
        </w:rPr>
        <w:t> </w:t>
      </w:r>
      <w:r>
        <w:rPr/>
        <w:t>рідко,</w:t>
      </w:r>
      <w:r>
        <w:rPr>
          <w:spacing w:val="-12"/>
        </w:rPr>
        <w:t> </w:t>
      </w:r>
      <w:r>
        <w:rPr/>
        <w:t>травматизм</w:t>
      </w:r>
      <w:r>
        <w:rPr>
          <w:spacing w:val="-13"/>
        </w:rPr>
        <w:t> </w:t>
      </w:r>
      <w:r>
        <w:rPr/>
        <w:t>тварин,</w:t>
      </w:r>
      <w:r>
        <w:rPr>
          <w:spacing w:val="-12"/>
        </w:rPr>
        <w:t> </w:t>
      </w:r>
      <w:r>
        <w:rPr/>
        <w:t>а,</w:t>
      </w:r>
      <w:r>
        <w:rPr>
          <w:spacing w:val="-12"/>
        </w:rPr>
        <w:t> </w:t>
      </w:r>
      <w:r>
        <w:rPr/>
        <w:t>відповідно,</w:t>
      </w:r>
      <w:r>
        <w:rPr>
          <w:spacing w:val="-11"/>
        </w:rPr>
        <w:t> </w:t>
      </w:r>
      <w:r>
        <w:rPr/>
        <w:t>і</w:t>
      </w:r>
      <w:r>
        <w:rPr>
          <w:spacing w:val="-19"/>
        </w:rPr>
        <w:t> </w:t>
      </w:r>
      <w:r>
        <w:rPr/>
        <w:t>питання</w:t>
      </w:r>
      <w:r>
        <w:rPr>
          <w:spacing w:val="-12"/>
        </w:rPr>
        <w:t> </w:t>
      </w:r>
      <w:r>
        <w:rPr/>
        <w:t>травматичного</w:t>
      </w:r>
      <w:r>
        <w:rPr>
          <w:spacing w:val="-14"/>
        </w:rPr>
        <w:t> </w:t>
      </w:r>
      <w:r>
        <w:rPr/>
        <w:t>шоку, є ключовою ланкою в судовій ветеринарній практиці під час розгляду питань щодо</w:t>
      </w:r>
      <w:r>
        <w:rPr>
          <w:spacing w:val="-14"/>
        </w:rPr>
        <w:t> </w:t>
      </w:r>
      <w:r>
        <w:rPr/>
        <w:t>жорстокого</w:t>
      </w:r>
      <w:r>
        <w:rPr>
          <w:spacing w:val="-14"/>
        </w:rPr>
        <w:t> </w:t>
      </w:r>
      <w:r>
        <w:rPr/>
        <w:t>поводження</w:t>
      </w:r>
      <w:r>
        <w:rPr>
          <w:spacing w:val="-12"/>
        </w:rPr>
        <w:t> </w:t>
      </w:r>
      <w:r>
        <w:rPr/>
        <w:t>з</w:t>
      </w:r>
      <w:r>
        <w:rPr>
          <w:spacing w:val="-14"/>
        </w:rPr>
        <w:t> </w:t>
      </w:r>
      <w:r>
        <w:rPr/>
        <w:t>тваринами.</w:t>
      </w:r>
      <w:r>
        <w:rPr>
          <w:spacing w:val="-8"/>
        </w:rPr>
        <w:t> </w:t>
      </w:r>
      <w:r>
        <w:rPr/>
        <w:t>Визначення</w:t>
      </w:r>
      <w:r>
        <w:rPr>
          <w:spacing w:val="-13"/>
        </w:rPr>
        <w:t> </w:t>
      </w:r>
      <w:r>
        <w:rPr/>
        <w:t>тривалості</w:t>
      </w:r>
      <w:r>
        <w:rPr>
          <w:spacing w:val="-18"/>
        </w:rPr>
        <w:t> </w:t>
      </w:r>
      <w:r>
        <w:rPr/>
        <w:t>життя</w:t>
      </w:r>
      <w:r>
        <w:rPr>
          <w:spacing w:val="-13"/>
        </w:rPr>
        <w:t> </w:t>
      </w:r>
      <w:r>
        <w:rPr/>
        <w:t>тварин при різних видах смерті надає істотну допомогу судовим і слідчим органам для встановлення істини під час розкриття і розслідування</w:t>
      </w:r>
      <w:r>
        <w:rPr>
          <w:spacing w:val="7"/>
        </w:rPr>
        <w:t> </w:t>
      </w:r>
      <w:r>
        <w:rPr/>
        <w:t>злочинів.</w:t>
      </w:r>
    </w:p>
    <w:p>
      <w:pPr>
        <w:spacing w:before="0"/>
        <w:ind w:left="193" w:right="613" w:firstLine="710"/>
        <w:jc w:val="both"/>
        <w:rPr>
          <w:sz w:val="28"/>
        </w:rPr>
      </w:pPr>
      <w:r>
        <w:rPr>
          <w:b/>
          <w:sz w:val="28"/>
        </w:rPr>
        <w:t>Аналіз останніх наукових досліджень та публікацій. </w:t>
      </w:r>
      <w:r>
        <w:rPr>
          <w:sz w:val="28"/>
        </w:rPr>
        <w:t>Досить часто травматизація</w:t>
      </w:r>
      <w:r>
        <w:rPr>
          <w:spacing w:val="-9"/>
          <w:sz w:val="28"/>
        </w:rPr>
        <w:t> </w:t>
      </w:r>
      <w:r>
        <w:rPr>
          <w:sz w:val="28"/>
        </w:rPr>
        <w:t>органів</w:t>
      </w:r>
      <w:r>
        <w:rPr>
          <w:spacing w:val="-11"/>
          <w:sz w:val="28"/>
        </w:rPr>
        <w:t> </w:t>
      </w:r>
      <w:r>
        <w:rPr>
          <w:sz w:val="28"/>
        </w:rPr>
        <w:t>призводить</w:t>
      </w:r>
      <w:r>
        <w:rPr>
          <w:spacing w:val="-13"/>
          <w:sz w:val="28"/>
        </w:rPr>
        <w:t> </w:t>
      </w:r>
      <w:r>
        <w:rPr>
          <w:sz w:val="28"/>
        </w:rPr>
        <w:t>до</w:t>
      </w:r>
      <w:r>
        <w:rPr>
          <w:spacing w:val="-9"/>
          <w:sz w:val="28"/>
        </w:rPr>
        <w:t> </w:t>
      </w:r>
      <w:r>
        <w:rPr>
          <w:sz w:val="28"/>
        </w:rPr>
        <w:t>порушення</w:t>
      </w:r>
      <w:r>
        <w:rPr>
          <w:spacing w:val="-10"/>
          <w:sz w:val="28"/>
        </w:rPr>
        <w:t> </w:t>
      </w:r>
      <w:r>
        <w:rPr>
          <w:sz w:val="28"/>
        </w:rPr>
        <w:t>цілісності</w:t>
      </w:r>
      <w:r>
        <w:rPr>
          <w:spacing w:val="-15"/>
          <w:sz w:val="28"/>
        </w:rPr>
        <w:t> </w:t>
      </w:r>
      <w:r>
        <w:rPr>
          <w:sz w:val="28"/>
        </w:rPr>
        <w:t>кровоносних</w:t>
      </w:r>
      <w:r>
        <w:rPr>
          <w:spacing w:val="-14"/>
          <w:sz w:val="28"/>
        </w:rPr>
        <w:t> </w:t>
      </w:r>
      <w:r>
        <w:rPr>
          <w:sz w:val="28"/>
        </w:rPr>
        <w:t>судин</w:t>
      </w:r>
      <w:r>
        <w:rPr>
          <w:spacing w:val="-10"/>
          <w:sz w:val="28"/>
        </w:rPr>
        <w:t> </w:t>
      </w:r>
      <w:r>
        <w:rPr>
          <w:spacing w:val="-3"/>
          <w:sz w:val="28"/>
        </w:rPr>
        <w:t>і,</w:t>
      </w:r>
    </w:p>
    <w:p>
      <w:pPr>
        <w:spacing w:after="0"/>
        <w:jc w:val="both"/>
        <w:rPr>
          <w:sz w:val="28"/>
        </w:rPr>
        <w:sectPr>
          <w:footerReference w:type="default" r:id="rId7"/>
          <w:pgSz w:w="11910" w:h="16840"/>
          <w:pgMar w:footer="778" w:header="713" w:top="1140" w:bottom="960" w:left="940" w:right="520"/>
          <w:pgNumType w:start="3"/>
        </w:sectPr>
      </w:pPr>
    </w:p>
    <w:p>
      <w:pPr>
        <w:pStyle w:val="BodyText"/>
        <w:spacing w:before="92"/>
        <w:ind w:right="615"/>
      </w:pPr>
      <w:r>
        <w:rPr/>
        <w:t>відповідно, до крововтрати. В цих випадках може виникнути питання про ступінь страждання тварини і який саме шоковий стан призвів до смерті: гіповолемічний, дистрибутивний (розподільний), кардіогенний, обструктивний. Все це об’єктивно зумовило необхідність дослідження морфологічних змін за різних видів насильницької смерті з проявом шокового стану організму на дію механічних факторів, що порушують цілісність органів і тканин.</w:t>
      </w:r>
    </w:p>
    <w:p>
      <w:pPr>
        <w:pStyle w:val="BodyText"/>
        <w:spacing w:before="3"/>
        <w:ind w:right="614" w:firstLine="710"/>
      </w:pPr>
      <w:r>
        <w:rPr/>
        <w:t>Для</w:t>
      </w:r>
      <w:r>
        <w:rPr>
          <w:spacing w:val="-11"/>
        </w:rPr>
        <w:t> </w:t>
      </w:r>
      <w:r>
        <w:rPr/>
        <w:t>правильної,</w:t>
      </w:r>
      <w:r>
        <w:rPr>
          <w:spacing w:val="-11"/>
        </w:rPr>
        <w:t> </w:t>
      </w:r>
      <w:r>
        <w:rPr/>
        <w:t>обґрунтованої,</w:t>
      </w:r>
      <w:r>
        <w:rPr>
          <w:spacing w:val="-10"/>
        </w:rPr>
        <w:t> </w:t>
      </w:r>
      <w:r>
        <w:rPr/>
        <w:t>всебічної</w:t>
      </w:r>
      <w:r>
        <w:rPr>
          <w:spacing w:val="-18"/>
        </w:rPr>
        <w:t> </w:t>
      </w:r>
      <w:r>
        <w:rPr/>
        <w:t>оцінки</w:t>
      </w:r>
      <w:r>
        <w:rPr>
          <w:spacing w:val="-12"/>
        </w:rPr>
        <w:t> </w:t>
      </w:r>
      <w:r>
        <w:rPr/>
        <w:t>жорстокого</w:t>
      </w:r>
      <w:r>
        <w:rPr>
          <w:spacing w:val="-13"/>
        </w:rPr>
        <w:t> </w:t>
      </w:r>
      <w:r>
        <w:rPr/>
        <w:t>поводження</w:t>
      </w:r>
      <w:r>
        <w:rPr>
          <w:spacing w:val="-11"/>
        </w:rPr>
        <w:t> </w:t>
      </w:r>
      <w:r>
        <w:rPr/>
        <w:t>з тваринами, під час проведення судово-ветеринарних експертиз, виникає необхідність розглянути цю проблему в морфологічному аспекті </w:t>
      </w:r>
      <w:r>
        <w:rPr>
          <w:spacing w:val="-3"/>
        </w:rPr>
        <w:t>із </w:t>
      </w:r>
      <w:r>
        <w:rPr/>
        <w:t>визначенням критеріїв,</w:t>
      </w:r>
      <w:r>
        <w:rPr>
          <w:spacing w:val="-10"/>
        </w:rPr>
        <w:t> </w:t>
      </w:r>
      <w:r>
        <w:rPr/>
        <w:t>що</w:t>
      </w:r>
      <w:r>
        <w:rPr>
          <w:spacing w:val="-11"/>
        </w:rPr>
        <w:t> </w:t>
      </w:r>
      <w:r>
        <w:rPr/>
        <w:t>обумовлюють</w:t>
      </w:r>
      <w:r>
        <w:rPr>
          <w:spacing w:val="-13"/>
        </w:rPr>
        <w:t> </w:t>
      </w:r>
      <w:r>
        <w:rPr/>
        <w:t>такі</w:t>
      </w:r>
      <w:r>
        <w:rPr>
          <w:spacing w:val="-15"/>
        </w:rPr>
        <w:t> </w:t>
      </w:r>
      <w:r>
        <w:rPr/>
        <w:t>ознаки</w:t>
      </w:r>
      <w:r>
        <w:rPr>
          <w:spacing w:val="-12"/>
        </w:rPr>
        <w:t> </w:t>
      </w:r>
      <w:r>
        <w:rPr>
          <w:spacing w:val="3"/>
        </w:rPr>
        <w:t>як</w:t>
      </w:r>
      <w:r>
        <w:rPr>
          <w:spacing w:val="-12"/>
        </w:rPr>
        <w:t> </w:t>
      </w:r>
      <w:r>
        <w:rPr/>
        <w:t>ступінь</w:t>
      </w:r>
      <w:r>
        <w:rPr>
          <w:spacing w:val="-12"/>
        </w:rPr>
        <w:t> </w:t>
      </w:r>
      <w:r>
        <w:rPr/>
        <w:t>травматизації</w:t>
      </w:r>
      <w:r>
        <w:rPr>
          <w:spacing w:val="-12"/>
        </w:rPr>
        <w:t> </w:t>
      </w:r>
      <w:r>
        <w:rPr/>
        <w:t>і</w:t>
      </w:r>
      <w:r>
        <w:rPr>
          <w:spacing w:val="-16"/>
        </w:rPr>
        <w:t> </w:t>
      </w:r>
      <w:r>
        <w:rPr/>
        <w:t>больовий</w:t>
      </w:r>
      <w:r>
        <w:rPr>
          <w:spacing w:val="-11"/>
        </w:rPr>
        <w:t> </w:t>
      </w:r>
      <w:r>
        <w:rPr/>
        <w:t>шок, що і підтверджує актуальність нашої</w:t>
      </w:r>
      <w:r>
        <w:rPr>
          <w:spacing w:val="-8"/>
        </w:rPr>
        <w:t> </w:t>
      </w:r>
      <w:r>
        <w:rPr/>
        <w:t>роботи.</w:t>
      </w:r>
    </w:p>
    <w:p>
      <w:pPr>
        <w:pStyle w:val="BodyText"/>
        <w:ind w:right="615" w:firstLine="710"/>
      </w:pPr>
      <w:r>
        <w:rPr>
          <w:b/>
        </w:rPr>
        <w:t>Мета роботи </w:t>
      </w:r>
      <w:r>
        <w:rPr/>
        <w:t>визначити критерії судово-ветеринарної діагностики посттравматичного шоку тварин, які постраждали від жорстокого поводження.</w:t>
      </w:r>
    </w:p>
    <w:p>
      <w:pPr>
        <w:pStyle w:val="BodyText"/>
        <w:ind w:right="610" w:firstLine="710"/>
      </w:pPr>
      <w:r>
        <w:rPr>
          <w:b/>
        </w:rPr>
        <w:t>Матеріали та методи. </w:t>
      </w:r>
      <w:r>
        <w:rPr/>
        <w:t>В роботі використані матеріали судово- ветеринарної експертизи, яка проводилася в Бюро судово-ветеринарних досліджень при Харківській державній зооветеринарній академії та результатів патоморфологічного дослідження трупів тварин, що було проведено на кафедрі нормальної і патологічної анатомії та патофізіології Одеському державному аграрному університеті. Теоретичною базою дослідження були чинні законодавчі акти України, які регламентують судово-експертну діяльність [11, 12], а також навчально-методичні посібники з цього питання [13, 14].</w:t>
      </w:r>
    </w:p>
    <w:p>
      <w:pPr>
        <w:pStyle w:val="BodyText"/>
        <w:ind w:right="614" w:firstLine="710"/>
      </w:pPr>
      <w:r>
        <w:rPr>
          <w:b/>
        </w:rPr>
        <w:t>Результати досліджень. </w:t>
      </w:r>
      <w:r>
        <w:rPr/>
        <w:t>Визначення тривалості життя при різних видах насильницької і ненасильницької смерті надає істотну допомогу</w:t>
      </w:r>
      <w:r>
        <w:rPr>
          <w:spacing w:val="-48"/>
        </w:rPr>
        <w:t> </w:t>
      </w:r>
      <w:r>
        <w:rPr/>
        <w:t>судово-слідчим органам при встановленні істини під час розкриття і розслідування злочинів. Уміння</w:t>
      </w:r>
      <w:r>
        <w:rPr>
          <w:spacing w:val="-5"/>
        </w:rPr>
        <w:t> </w:t>
      </w:r>
      <w:r>
        <w:rPr/>
        <w:t>визначати</w:t>
      </w:r>
      <w:r>
        <w:rPr>
          <w:spacing w:val="-5"/>
        </w:rPr>
        <w:t> </w:t>
      </w:r>
      <w:r>
        <w:rPr/>
        <w:t>тривалість</w:t>
      </w:r>
      <w:r>
        <w:rPr>
          <w:spacing w:val="-3"/>
        </w:rPr>
        <w:t> </w:t>
      </w:r>
      <w:r>
        <w:rPr/>
        <w:t>і</w:t>
      </w:r>
      <w:r>
        <w:rPr>
          <w:spacing w:val="-7"/>
        </w:rPr>
        <w:t> </w:t>
      </w:r>
      <w:r>
        <w:rPr/>
        <w:t>темп</w:t>
      </w:r>
      <w:r>
        <w:rPr>
          <w:spacing w:val="-1"/>
        </w:rPr>
        <w:t> </w:t>
      </w:r>
      <w:r>
        <w:rPr/>
        <w:t>вмирання</w:t>
      </w:r>
      <w:r>
        <w:rPr>
          <w:spacing w:val="-5"/>
        </w:rPr>
        <w:t> </w:t>
      </w:r>
      <w:r>
        <w:rPr/>
        <w:t>в</w:t>
      </w:r>
      <w:r>
        <w:rPr>
          <w:spacing w:val="-8"/>
        </w:rPr>
        <w:t> </w:t>
      </w:r>
      <w:r>
        <w:rPr/>
        <w:t>тому</w:t>
      </w:r>
      <w:r>
        <w:rPr>
          <w:spacing w:val="-10"/>
        </w:rPr>
        <w:t> </w:t>
      </w:r>
      <w:r>
        <w:rPr/>
        <w:t>числі</w:t>
      </w:r>
      <w:r>
        <w:rPr>
          <w:spacing w:val="-6"/>
        </w:rPr>
        <w:t> </w:t>
      </w:r>
      <w:r>
        <w:rPr/>
        <w:t>визначенні</w:t>
      </w:r>
      <w:r>
        <w:rPr>
          <w:spacing w:val="-11"/>
        </w:rPr>
        <w:t> </w:t>
      </w:r>
      <w:r>
        <w:rPr/>
        <w:t>шокового стану за механічної травми є невід'ємною частиною диференціальної діагностики.</w:t>
      </w:r>
    </w:p>
    <w:p>
      <w:pPr>
        <w:pStyle w:val="BodyText"/>
        <w:ind w:right="616" w:firstLine="710"/>
      </w:pPr>
      <w:r>
        <w:rPr/>
        <w:t>Травматичний шок є патологічним процесом, типовим для самого раннього періоду тяжкої форми травматичної хвороби. Він не характеризує розвиток травматичної хвороби повністю, оскільки одночасно виникають і розвиваються й інші процеси: порушення функцій безпосередньо ушкоджених внутрішніх органів, зміни в діяльності опорно-рухового апарату при його ушкодженні, явище токсикозу та ін.</w:t>
      </w:r>
    </w:p>
    <w:p>
      <w:pPr>
        <w:pStyle w:val="BodyText"/>
        <w:spacing w:before="2"/>
        <w:ind w:right="609" w:firstLine="710"/>
      </w:pPr>
      <w:r>
        <w:rPr>
          <w:spacing w:val="-3"/>
        </w:rPr>
        <w:t>Не </w:t>
      </w:r>
      <w:r>
        <w:rPr/>
        <w:t>будь-яке механічне пошкодження необхідно ідентифікувати </w:t>
      </w:r>
      <w:r>
        <w:rPr>
          <w:spacing w:val="-3"/>
        </w:rPr>
        <w:t>із </w:t>
      </w:r>
      <w:r>
        <w:rPr/>
        <w:t>травматичною хворобою. Травматичний шок, що виникає при масивному розтрощенні м’яких тканин відноситься до ранніх проявів синдрому тривалого здавлення,</w:t>
      </w:r>
      <w:r>
        <w:rPr>
          <w:spacing w:val="-19"/>
        </w:rPr>
        <w:t> </w:t>
      </w:r>
      <w:r>
        <w:rPr/>
        <w:t>гостра</w:t>
      </w:r>
      <w:r>
        <w:rPr>
          <w:spacing w:val="-19"/>
        </w:rPr>
        <w:t> </w:t>
      </w:r>
      <w:r>
        <w:rPr/>
        <w:t>крововтрата</w:t>
      </w:r>
      <w:r>
        <w:rPr>
          <w:spacing w:val="-15"/>
        </w:rPr>
        <w:t> </w:t>
      </w:r>
      <w:r>
        <w:rPr/>
        <w:t>–</w:t>
      </w:r>
      <w:r>
        <w:rPr>
          <w:spacing w:val="-20"/>
        </w:rPr>
        <w:t> </w:t>
      </w:r>
      <w:r>
        <w:rPr/>
        <w:t>до</w:t>
      </w:r>
      <w:r>
        <w:rPr>
          <w:spacing w:val="-25"/>
        </w:rPr>
        <w:t> </w:t>
      </w:r>
      <w:r>
        <w:rPr/>
        <w:t>основного</w:t>
      </w:r>
      <w:r>
        <w:rPr>
          <w:spacing w:val="-20"/>
        </w:rPr>
        <w:t> </w:t>
      </w:r>
      <w:r>
        <w:rPr/>
        <w:t>фактору</w:t>
      </w:r>
      <w:r>
        <w:rPr>
          <w:spacing w:val="-24"/>
        </w:rPr>
        <w:t> </w:t>
      </w:r>
      <w:r>
        <w:rPr/>
        <w:t>патогенезу</w:t>
      </w:r>
      <w:r>
        <w:rPr>
          <w:spacing w:val="-20"/>
        </w:rPr>
        <w:t> </w:t>
      </w:r>
      <w:r>
        <w:rPr/>
        <w:t>травматичного шоку [15, 16].</w:t>
      </w:r>
    </w:p>
    <w:p>
      <w:pPr>
        <w:pStyle w:val="BodyText"/>
        <w:ind w:right="617" w:firstLine="710"/>
      </w:pPr>
      <w:r>
        <w:rPr/>
        <w:t>Нижче наведено аналіз результатів судово-ветеринарного дослідження трупів домашніх тварин, загибель яких супроводжувалась травматизацією і крововтратою різною за ступенем.</w:t>
      </w:r>
    </w:p>
    <w:p>
      <w:pPr>
        <w:spacing w:before="0"/>
        <w:ind w:left="193" w:right="608" w:firstLine="710"/>
        <w:jc w:val="both"/>
        <w:rPr>
          <w:i/>
          <w:sz w:val="28"/>
        </w:rPr>
      </w:pPr>
      <w:r>
        <w:rPr>
          <w:i/>
          <w:sz w:val="28"/>
          <w:u w:val="single"/>
        </w:rPr>
        <w:t>Дослідження трупу собаки на прізвисько «Жужа», віком 4–6 місяців що</w:t>
      </w:r>
      <w:r>
        <w:rPr>
          <w:i/>
          <w:sz w:val="28"/>
        </w:rPr>
        <w:t> </w:t>
      </w:r>
      <w:r>
        <w:rPr>
          <w:i/>
          <w:sz w:val="28"/>
          <w:u w:val="single"/>
        </w:rPr>
        <w:t>загинула внаслідок проникаючого колото-різаного поранення грудної клітки.</w:t>
      </w:r>
    </w:p>
    <w:p>
      <w:pPr>
        <w:pStyle w:val="BodyText"/>
        <w:spacing w:line="322" w:lineRule="exact"/>
        <w:ind w:left="903"/>
      </w:pPr>
      <w:r>
        <w:rPr/>
        <w:t>Із ухвали слідчого судді відомо, що під час проведення огляду місця події</w:t>
      </w:r>
    </w:p>
    <w:p>
      <w:pPr>
        <w:spacing w:after="0" w:line="322" w:lineRule="exact"/>
        <w:sectPr>
          <w:pgSz w:w="11910" w:h="16840"/>
          <w:pgMar w:header="713" w:footer="778" w:top="1140" w:bottom="960" w:left="940" w:right="520"/>
        </w:sectPr>
      </w:pPr>
    </w:p>
    <w:p>
      <w:pPr>
        <w:pStyle w:val="BodyText"/>
        <w:spacing w:before="92" w:after="8"/>
        <w:ind w:right="614"/>
      </w:pPr>
      <w:r>
        <w:rPr/>
        <w:t>у приміщенні будинку виявлено та вилучено труп тварини, на хутрі якої знаходилися плями бурого кольору. Виявлено різану (довжиною 13 см., глибиною 7–8 см.) рану Т-подібної форми з лівої вентро-латеральної частини шиї, яка переходить на підлопаткову (підпахвинну) частину тулубу. Краї рани нерівні, помірно просочені кров’ю. Між 4 та 5 ребрами, в ділянці пошкодження, виявлено проникаючу, з чітко окресленими краями, рану в грудну порожнину. Ширина рани становить 1 см, довжина – 3 см. В грудній порожнині міститься великий</w:t>
      </w:r>
      <w:r>
        <w:rPr>
          <w:spacing w:val="-10"/>
        </w:rPr>
        <w:t> </w:t>
      </w:r>
      <w:r>
        <w:rPr/>
        <w:t>згусток</w:t>
      </w:r>
      <w:r>
        <w:rPr>
          <w:spacing w:val="-10"/>
        </w:rPr>
        <w:t> </w:t>
      </w:r>
      <w:r>
        <w:rPr/>
        <w:t>крові.</w:t>
      </w:r>
      <w:r>
        <w:rPr>
          <w:spacing w:val="-2"/>
        </w:rPr>
        <w:t> </w:t>
      </w:r>
      <w:r>
        <w:rPr/>
        <w:t>Перерізана</w:t>
      </w:r>
      <w:r>
        <w:rPr>
          <w:spacing w:val="-9"/>
        </w:rPr>
        <w:t> </w:t>
      </w:r>
      <w:r>
        <w:rPr/>
        <w:t>грудна</w:t>
      </w:r>
      <w:r>
        <w:rPr>
          <w:spacing w:val="-9"/>
        </w:rPr>
        <w:t> </w:t>
      </w:r>
      <w:r>
        <w:rPr/>
        <w:t>аорта.</w:t>
      </w:r>
      <w:r>
        <w:rPr>
          <w:spacing w:val="-8"/>
        </w:rPr>
        <w:t> </w:t>
      </w:r>
      <w:r>
        <w:rPr/>
        <w:t>Стінка</w:t>
      </w:r>
      <w:r>
        <w:rPr>
          <w:spacing w:val="-9"/>
        </w:rPr>
        <w:t> </w:t>
      </w:r>
      <w:r>
        <w:rPr/>
        <w:t>аорти</w:t>
      </w:r>
      <w:r>
        <w:rPr>
          <w:spacing w:val="-9"/>
        </w:rPr>
        <w:t> </w:t>
      </w:r>
      <w:r>
        <w:rPr/>
        <w:t>просочена</w:t>
      </w:r>
      <w:r>
        <w:rPr>
          <w:spacing w:val="-9"/>
        </w:rPr>
        <w:t> </w:t>
      </w:r>
      <w:r>
        <w:rPr/>
        <w:t>кров’ю.</w:t>
      </w:r>
    </w:p>
    <w:p>
      <w:pPr>
        <w:tabs>
          <w:tab w:pos="5064" w:val="left" w:leader="none"/>
        </w:tabs>
        <w:spacing w:line="240" w:lineRule="auto"/>
        <w:ind w:left="194" w:right="0" w:firstLine="0"/>
        <w:rPr>
          <w:sz w:val="20"/>
        </w:rPr>
      </w:pPr>
      <w:r>
        <w:rPr>
          <w:position w:val="7"/>
          <w:sz w:val="20"/>
        </w:rPr>
        <w:drawing>
          <wp:inline distT="0" distB="0" distL="0" distR="0">
            <wp:extent cx="2926914" cy="2189988"/>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9" cstate="print"/>
                    <a:stretch>
                      <a:fillRect/>
                    </a:stretch>
                  </pic:blipFill>
                  <pic:spPr>
                    <a:xfrm>
                      <a:off x="0" y="0"/>
                      <a:ext cx="2926914" cy="2189988"/>
                    </a:xfrm>
                    <a:prstGeom prst="rect">
                      <a:avLst/>
                    </a:prstGeom>
                  </pic:spPr>
                </pic:pic>
              </a:graphicData>
            </a:graphic>
          </wp:inline>
        </w:drawing>
      </w:r>
      <w:r>
        <w:rPr>
          <w:position w:val="7"/>
          <w:sz w:val="20"/>
        </w:rPr>
      </w:r>
      <w:r>
        <w:rPr>
          <w:position w:val="7"/>
          <w:sz w:val="20"/>
        </w:rPr>
        <w:tab/>
      </w:r>
      <w:r>
        <w:rPr>
          <w:sz w:val="20"/>
        </w:rPr>
        <w:drawing>
          <wp:inline distT="0" distB="0" distL="0" distR="0">
            <wp:extent cx="2948429" cy="2208276"/>
            <wp:effectExtent l="0" t="0" r="0" b="0"/>
            <wp:docPr id="3" name="image2.jpeg"/>
            <wp:cNvGraphicFramePr>
              <a:graphicFrameLocks noChangeAspect="1"/>
            </wp:cNvGraphicFramePr>
            <a:graphic>
              <a:graphicData uri="http://schemas.openxmlformats.org/drawingml/2006/picture">
                <pic:pic>
                  <pic:nvPicPr>
                    <pic:cNvPr id="4" name="image2.jpeg"/>
                    <pic:cNvPicPr/>
                  </pic:nvPicPr>
                  <pic:blipFill>
                    <a:blip r:embed="rId10" cstate="print"/>
                    <a:stretch>
                      <a:fillRect/>
                    </a:stretch>
                  </pic:blipFill>
                  <pic:spPr>
                    <a:xfrm>
                      <a:off x="0" y="0"/>
                      <a:ext cx="2948429" cy="2208276"/>
                    </a:xfrm>
                    <a:prstGeom prst="rect">
                      <a:avLst/>
                    </a:prstGeom>
                  </pic:spPr>
                </pic:pic>
              </a:graphicData>
            </a:graphic>
          </wp:inline>
        </w:drawing>
      </w:r>
      <w:r>
        <w:rPr>
          <w:sz w:val="20"/>
        </w:rPr>
      </w:r>
    </w:p>
    <w:p>
      <w:pPr>
        <w:pStyle w:val="BodyText"/>
        <w:spacing w:before="256"/>
        <w:ind w:right="622" w:firstLine="710"/>
      </w:pPr>
      <w:r>
        <w:rPr>
          <w:b/>
        </w:rPr>
        <w:t>Рис. 1. </w:t>
      </w:r>
      <w:r>
        <w:rPr/>
        <w:t>Проникаюча рана в груднупорожнину (ширина рани становить 1 см, довжина рани – 3 см. Макрофото.</w:t>
      </w:r>
    </w:p>
    <w:p>
      <w:pPr>
        <w:pStyle w:val="BodyText"/>
        <w:spacing w:before="4"/>
        <w:ind w:left="0"/>
        <w:jc w:val="left"/>
      </w:pPr>
    </w:p>
    <w:p>
      <w:pPr>
        <w:pStyle w:val="BodyText"/>
        <w:ind w:right="618" w:firstLine="710"/>
      </w:pPr>
      <w:r>
        <w:rPr/>
        <w:t>Перикард, в ділянці лівого передсердя, містив ділянку пошкодження за формою у вигляді трикутника (з довжиною стінок до 0,5 см.), стінка легеневої вени перерізана, стінка судини в місті пошкодження вкрита згустком крові. Перикард навколо ділянки ушкодження плямистого червоного забарвлення.</w:t>
      </w:r>
    </w:p>
    <w:p>
      <w:pPr>
        <w:pStyle w:val="BodyText"/>
        <w:ind w:right="610" w:firstLine="710"/>
      </w:pPr>
      <w:r>
        <w:rPr/>
        <w:t>Край</w:t>
      </w:r>
      <w:r>
        <w:rPr>
          <w:spacing w:val="-11"/>
        </w:rPr>
        <w:t> </w:t>
      </w:r>
      <w:r>
        <w:rPr/>
        <w:t>лівої</w:t>
      </w:r>
      <w:r>
        <w:rPr>
          <w:spacing w:val="-16"/>
        </w:rPr>
        <w:t> </w:t>
      </w:r>
      <w:r>
        <w:rPr/>
        <w:t>кардіальної</w:t>
      </w:r>
      <w:r>
        <w:rPr>
          <w:spacing w:val="-16"/>
        </w:rPr>
        <w:t> </w:t>
      </w:r>
      <w:r>
        <w:rPr/>
        <w:t>частки</w:t>
      </w:r>
      <w:r>
        <w:rPr>
          <w:spacing w:val="-11"/>
        </w:rPr>
        <w:t> </w:t>
      </w:r>
      <w:r>
        <w:rPr/>
        <w:t>лівої</w:t>
      </w:r>
      <w:r>
        <w:rPr>
          <w:spacing w:val="-16"/>
        </w:rPr>
        <w:t> </w:t>
      </w:r>
      <w:r>
        <w:rPr/>
        <w:t>легені</w:t>
      </w:r>
      <w:r>
        <w:rPr>
          <w:spacing w:val="-16"/>
        </w:rPr>
        <w:t> </w:t>
      </w:r>
      <w:r>
        <w:rPr/>
        <w:t>містить</w:t>
      </w:r>
      <w:r>
        <w:rPr>
          <w:spacing w:val="-13"/>
        </w:rPr>
        <w:t> </w:t>
      </w:r>
      <w:r>
        <w:rPr/>
        <w:t>розріз</w:t>
      </w:r>
      <w:r>
        <w:rPr>
          <w:spacing w:val="-11"/>
        </w:rPr>
        <w:t> </w:t>
      </w:r>
      <w:r>
        <w:rPr/>
        <w:t>глибиною</w:t>
      </w:r>
      <w:r>
        <w:rPr>
          <w:spacing w:val="-13"/>
        </w:rPr>
        <w:t> </w:t>
      </w:r>
      <w:r>
        <w:rPr/>
        <w:t>до</w:t>
      </w:r>
      <w:r>
        <w:rPr>
          <w:spacing w:val="-11"/>
        </w:rPr>
        <w:t> </w:t>
      </w:r>
      <w:r>
        <w:rPr/>
        <w:t>1</w:t>
      </w:r>
      <w:r>
        <w:rPr>
          <w:spacing w:val="12"/>
        </w:rPr>
        <w:t> </w:t>
      </w:r>
      <w:r>
        <w:rPr/>
        <w:t>см. Краї розрізу і ділянка тканини навколо нього темно-червоного забарвлення. Серозні оболонки органів та тканин черевної порожнини анемічні. Кровоносні судини брижі не містять</w:t>
      </w:r>
      <w:r>
        <w:rPr>
          <w:spacing w:val="-3"/>
        </w:rPr>
        <w:t> </w:t>
      </w:r>
      <w:r>
        <w:rPr/>
        <w:t>крові.</w:t>
      </w:r>
    </w:p>
    <w:p>
      <w:pPr>
        <w:pStyle w:val="BodyText"/>
        <w:ind w:right="609" w:firstLine="710"/>
      </w:pPr>
      <w:r>
        <w:rPr/>
        <w:t>Ушкодження, виявлені в трупі собаки, зокрема поступове зменшення в напрямку грудної клітки діаметру ранового каналу, а також за лінією розрізу шкіри та м’язів з лівої вентро-латеральної частини шиї та підлопаткової (підпахвинної) ділянки тіла утворилися від дії колючо-ріжучого предмета, яким міг бути ніж.</w:t>
      </w:r>
    </w:p>
    <w:p>
      <w:pPr>
        <w:pStyle w:val="BodyText"/>
        <w:spacing w:before="1"/>
        <w:ind w:right="618" w:firstLine="710"/>
      </w:pPr>
      <w:r>
        <w:rPr/>
        <w:t>Гістологічним дослідженням не було виявлено морфологічних ознак коагуляції крові та тромбоутворення кровоносних судин ділянки механічного пошкодження. Гіпоксія не набувала ступеню необхідного для розвитку тотального некрозу епітелію звивистих канальців нирок, а зміни обмежувались різко вираженою білковою дистрофією і частковою десквамацією нефроцитів. Був відсутній набряк інтерстицію легенів, нирок, печінки. Дослідженням м’язів з ділянки пошкодження було встановлено виразний набряк та масивні крововиливи. Відсутність набряку тканин (шкіри, підшкірної клітковини та скелетних м’язів), розташованих навколо осередку пошкодження, відсутність</w:t>
      </w:r>
    </w:p>
    <w:p>
      <w:pPr>
        <w:spacing w:after="0"/>
        <w:sectPr>
          <w:pgSz w:w="11910" w:h="16840"/>
          <w:pgMar w:header="713" w:footer="778" w:top="1140" w:bottom="960" w:left="940" w:right="520"/>
        </w:sectPr>
      </w:pPr>
    </w:p>
    <w:p>
      <w:pPr>
        <w:pStyle w:val="BodyText"/>
        <w:spacing w:before="92"/>
        <w:ind w:right="611"/>
      </w:pPr>
      <w:r>
        <w:rPr/>
        <w:t>морфологічних ознак розвитку стазу, сладж-феномену, синдрому диссемінованого внутрисудинного згортання крові (відповідно не виявлено мікротромбів</w:t>
      </w:r>
      <w:r>
        <w:rPr>
          <w:spacing w:val="-13"/>
        </w:rPr>
        <w:t> </w:t>
      </w:r>
      <w:r>
        <w:rPr/>
        <w:t>в</w:t>
      </w:r>
      <w:r>
        <w:rPr>
          <w:spacing w:val="-12"/>
        </w:rPr>
        <w:t> </w:t>
      </w:r>
      <w:r>
        <w:rPr/>
        <w:t>капілярах</w:t>
      </w:r>
      <w:r>
        <w:rPr>
          <w:spacing w:val="-15"/>
        </w:rPr>
        <w:t> </w:t>
      </w:r>
      <w:r>
        <w:rPr/>
        <w:t>різних</w:t>
      </w:r>
      <w:r>
        <w:rPr>
          <w:spacing w:val="-15"/>
        </w:rPr>
        <w:t> </w:t>
      </w:r>
      <w:r>
        <w:rPr/>
        <w:t>органів,</w:t>
      </w:r>
      <w:r>
        <w:rPr>
          <w:spacing w:val="-8"/>
        </w:rPr>
        <w:t> </w:t>
      </w:r>
      <w:r>
        <w:rPr/>
        <w:t>геморагії)</w:t>
      </w:r>
      <w:r>
        <w:rPr>
          <w:spacing w:val="-4"/>
        </w:rPr>
        <w:t> </w:t>
      </w:r>
      <w:r>
        <w:rPr/>
        <w:t>на</w:t>
      </w:r>
      <w:r>
        <w:rPr>
          <w:spacing w:val="-1"/>
        </w:rPr>
        <w:t> </w:t>
      </w:r>
      <w:r>
        <w:rPr>
          <w:spacing w:val="3"/>
        </w:rPr>
        <w:t>трупі, </w:t>
      </w:r>
      <w:r>
        <w:rPr/>
        <w:t>свідчить</w:t>
      </w:r>
      <w:r>
        <w:rPr>
          <w:spacing w:val="-12"/>
        </w:rPr>
        <w:t> </w:t>
      </w:r>
      <w:r>
        <w:rPr/>
        <w:t>що</w:t>
      </w:r>
      <w:r>
        <w:rPr>
          <w:spacing w:val="-10"/>
        </w:rPr>
        <w:t> </w:t>
      </w:r>
      <w:r>
        <w:rPr/>
        <w:t>процес від моменту нанесення пошкодження до настання смерті </w:t>
      </w:r>
      <w:r>
        <w:rPr>
          <w:spacing w:val="3"/>
        </w:rPr>
        <w:t>собаки</w:t>
      </w:r>
      <w:r>
        <w:rPr>
          <w:spacing w:val="55"/>
        </w:rPr>
        <w:t> </w:t>
      </w:r>
      <w:r>
        <w:rPr/>
        <w:t>на </w:t>
      </w:r>
      <w:r>
        <w:rPr>
          <w:spacing w:val="4"/>
        </w:rPr>
        <w:t>прізвисько</w:t>
      </w:r>
    </w:p>
    <w:p>
      <w:pPr>
        <w:pStyle w:val="BodyText"/>
        <w:spacing w:line="321" w:lineRule="exact" w:after="10"/>
      </w:pPr>
      <w:r>
        <w:rPr/>
        <w:t>«Жужа» зайняв не більше 2–3 хвилин.</w:t>
      </w:r>
    </w:p>
    <w:p>
      <w:pPr>
        <w:pStyle w:val="BodyText"/>
        <w:ind w:left="728"/>
        <w:jc w:val="left"/>
        <w:rPr>
          <w:sz w:val="20"/>
        </w:rPr>
      </w:pPr>
      <w:r>
        <w:rPr>
          <w:sz w:val="20"/>
        </w:rPr>
        <w:pict>
          <v:group style="width:428.55pt;height:134.9pt;mso-position-horizontal-relative:char;mso-position-vertical-relative:line" coordorigin="0,0" coordsize="8571,2698">
            <v:shape style="position:absolute;left:0;top:0;width:3600;height:2698" type="#_x0000_t75" stroked="false">
              <v:imagedata r:id="rId11" o:title=""/>
            </v:shape>
            <v:shape style="position:absolute;left:3670;top:217;width:4901;height:2480" type="#_x0000_t75" stroked="false">
              <v:imagedata r:id="rId12" o:title=""/>
            </v:shape>
          </v:group>
        </w:pict>
      </w:r>
      <w:r>
        <w:rPr>
          <w:sz w:val="20"/>
        </w:rPr>
      </w:r>
    </w:p>
    <w:p>
      <w:pPr>
        <w:pStyle w:val="BodyText"/>
        <w:ind w:right="608" w:firstLine="710"/>
      </w:pPr>
      <w:r>
        <w:rPr>
          <w:b/>
        </w:rPr>
        <w:t>Рис. 2. </w:t>
      </w:r>
      <w:r>
        <w:rPr/>
        <w:t>Пошкодження перикарду в ділянці лівого передсердя, плямисте червоне забарвлення перикарду навколо ділянки ушкодження (А), край лівої кардіальної частки лівої легені містить розріз, краї просочені кров’ю (Б). Макрофото.</w:t>
      </w:r>
    </w:p>
    <w:p>
      <w:pPr>
        <w:pStyle w:val="BodyText"/>
        <w:spacing w:before="10"/>
        <w:ind w:left="0"/>
        <w:jc w:val="left"/>
        <w:rPr>
          <w:sz w:val="27"/>
        </w:rPr>
      </w:pPr>
    </w:p>
    <w:p>
      <w:pPr>
        <w:pStyle w:val="BodyText"/>
        <w:ind w:right="608" w:firstLine="710"/>
      </w:pPr>
      <w:r>
        <w:rPr/>
        <w:t>Виявлені в трупі собаки на </w:t>
      </w:r>
      <w:r>
        <w:rPr>
          <w:spacing w:val="4"/>
        </w:rPr>
        <w:t>прізвисько </w:t>
      </w:r>
      <w:r>
        <w:rPr/>
        <w:t>«Жужа» ушкодження внаслідок механічної</w:t>
      </w:r>
      <w:r>
        <w:rPr>
          <w:spacing w:val="-12"/>
        </w:rPr>
        <w:t> </w:t>
      </w:r>
      <w:r>
        <w:rPr/>
        <w:t>травми,</w:t>
      </w:r>
      <w:r>
        <w:rPr>
          <w:spacing w:val="-5"/>
        </w:rPr>
        <w:t> </w:t>
      </w:r>
      <w:r>
        <w:rPr/>
        <w:t>а</w:t>
      </w:r>
      <w:r>
        <w:rPr>
          <w:spacing w:val="-6"/>
        </w:rPr>
        <w:t> </w:t>
      </w:r>
      <w:r>
        <w:rPr/>
        <w:t>саме:</w:t>
      </w:r>
      <w:r>
        <w:rPr>
          <w:spacing w:val="-6"/>
        </w:rPr>
        <w:t> </w:t>
      </w:r>
      <w:r>
        <w:rPr/>
        <w:t>різана</w:t>
      </w:r>
      <w:r>
        <w:rPr>
          <w:spacing w:val="-6"/>
        </w:rPr>
        <w:t> </w:t>
      </w:r>
      <w:r>
        <w:rPr/>
        <w:t>рана</w:t>
      </w:r>
      <w:r>
        <w:rPr>
          <w:spacing w:val="-4"/>
        </w:rPr>
        <w:t> </w:t>
      </w:r>
      <w:r>
        <w:rPr/>
        <w:t>шкіри</w:t>
      </w:r>
      <w:r>
        <w:rPr>
          <w:spacing w:val="-6"/>
        </w:rPr>
        <w:t> </w:t>
      </w:r>
      <w:r>
        <w:rPr/>
        <w:t>та</w:t>
      </w:r>
      <w:r>
        <w:rPr>
          <w:spacing w:val="-6"/>
        </w:rPr>
        <w:t> </w:t>
      </w:r>
      <w:r>
        <w:rPr/>
        <w:t>м’язів</w:t>
      </w:r>
      <w:r>
        <w:rPr>
          <w:spacing w:val="-8"/>
        </w:rPr>
        <w:t> </w:t>
      </w:r>
      <w:r>
        <w:rPr/>
        <w:t>з</w:t>
      </w:r>
      <w:r>
        <w:rPr>
          <w:spacing w:val="-6"/>
        </w:rPr>
        <w:t> </w:t>
      </w:r>
      <w:r>
        <w:rPr/>
        <w:t>лівої</w:t>
      </w:r>
      <w:r>
        <w:rPr>
          <w:spacing w:val="-7"/>
        </w:rPr>
        <w:t> </w:t>
      </w:r>
      <w:r>
        <w:rPr/>
        <w:t>вентро-латеральної частини</w:t>
      </w:r>
      <w:r>
        <w:rPr>
          <w:spacing w:val="-18"/>
        </w:rPr>
        <w:t> </w:t>
      </w:r>
      <w:r>
        <w:rPr/>
        <w:t>шиї</w:t>
      </w:r>
      <w:r>
        <w:rPr>
          <w:spacing w:val="-22"/>
        </w:rPr>
        <w:t> </w:t>
      </w:r>
      <w:r>
        <w:rPr/>
        <w:t>та</w:t>
      </w:r>
      <w:r>
        <w:rPr>
          <w:spacing w:val="-16"/>
        </w:rPr>
        <w:t> </w:t>
      </w:r>
      <w:r>
        <w:rPr/>
        <w:t>підлопаткової</w:t>
      </w:r>
      <w:r>
        <w:rPr>
          <w:spacing w:val="-17"/>
        </w:rPr>
        <w:t> </w:t>
      </w:r>
      <w:r>
        <w:rPr/>
        <w:t>(підпахвинної)</w:t>
      </w:r>
      <w:r>
        <w:rPr>
          <w:spacing w:val="-19"/>
        </w:rPr>
        <w:t> </w:t>
      </w:r>
      <w:r>
        <w:rPr/>
        <w:t>частини</w:t>
      </w:r>
      <w:r>
        <w:rPr>
          <w:spacing w:val="-18"/>
        </w:rPr>
        <w:t> </w:t>
      </w:r>
      <w:r>
        <w:rPr/>
        <w:t>тіла</w:t>
      </w:r>
      <w:r>
        <w:rPr>
          <w:spacing w:val="-16"/>
        </w:rPr>
        <w:t> </w:t>
      </w:r>
      <w:r>
        <w:rPr/>
        <w:t>з</w:t>
      </w:r>
      <w:r>
        <w:rPr>
          <w:spacing w:val="-18"/>
        </w:rPr>
        <w:t> </w:t>
      </w:r>
      <w:r>
        <w:rPr/>
        <w:t>проникаючим</w:t>
      </w:r>
      <w:r>
        <w:rPr>
          <w:spacing w:val="-16"/>
        </w:rPr>
        <w:t> </w:t>
      </w:r>
      <w:r>
        <w:rPr/>
        <w:t>різано- колотим ушкодженням грудної клітки; розрив грудної аорти, легеневої вени, перикарда, колото-різане ушкодження стінки лівого передсердя, краніальної (серцевої) частки лівої легені відносяться до тяжких тілесних ушкоджень. Травми знайдені на тілі тварини носять прижиттєвий</w:t>
      </w:r>
      <w:r>
        <w:rPr>
          <w:spacing w:val="2"/>
        </w:rPr>
        <w:t> </w:t>
      </w:r>
      <w:r>
        <w:rPr/>
        <w:t>характер.</w:t>
      </w:r>
    </w:p>
    <w:p>
      <w:pPr>
        <w:pStyle w:val="BodyText"/>
        <w:spacing w:before="3"/>
        <w:ind w:right="610" w:firstLine="710"/>
      </w:pPr>
      <w:r>
        <w:rPr/>
        <w:t>Загинула</w:t>
      </w:r>
      <w:r>
        <w:rPr>
          <w:spacing w:val="-19"/>
        </w:rPr>
        <w:t> </w:t>
      </w:r>
      <w:r>
        <w:rPr/>
        <w:t>тварина</w:t>
      </w:r>
      <w:r>
        <w:rPr>
          <w:spacing w:val="-19"/>
        </w:rPr>
        <w:t> </w:t>
      </w:r>
      <w:r>
        <w:rPr/>
        <w:t>внаслідок</w:t>
      </w:r>
      <w:r>
        <w:rPr>
          <w:spacing w:val="-20"/>
        </w:rPr>
        <w:t> </w:t>
      </w:r>
      <w:r>
        <w:rPr/>
        <w:t>масивної,</w:t>
      </w:r>
      <w:r>
        <w:rPr>
          <w:spacing w:val="-18"/>
        </w:rPr>
        <w:t> </w:t>
      </w:r>
      <w:r>
        <w:rPr/>
        <w:t>блискавичної</w:t>
      </w:r>
      <w:r>
        <w:rPr>
          <w:spacing w:val="-23"/>
        </w:rPr>
        <w:t> </w:t>
      </w:r>
      <w:r>
        <w:rPr/>
        <w:t>(важкої,</w:t>
      </w:r>
      <w:r>
        <w:rPr>
          <w:spacing w:val="-14"/>
        </w:rPr>
        <w:t> </w:t>
      </w:r>
      <w:r>
        <w:rPr/>
        <w:t>втрати</w:t>
      </w:r>
      <w:r>
        <w:rPr>
          <w:spacing w:val="-19"/>
        </w:rPr>
        <w:t> </w:t>
      </w:r>
      <w:r>
        <w:rPr/>
        <w:t>більше 50 % крові) кровотечі у плевральну порожнину – гіповолемічного (геморагічного) шоку, до якої призвело ушкодження цілісності стінки грудної аорти та легеневої вени внаслідок проникаючого колото-різаного поранення грудної клітки. За характером пошкоджень, виявлених в трупі собаки «Жужа», нанесені рани носили болісний характер і спричили фізичні страждання тварин перед</w:t>
      </w:r>
      <w:r>
        <w:rPr>
          <w:spacing w:val="2"/>
        </w:rPr>
        <w:t> </w:t>
      </w:r>
      <w:r>
        <w:rPr/>
        <w:t>смертю.</w:t>
      </w:r>
    </w:p>
    <w:p>
      <w:pPr>
        <w:pStyle w:val="BodyText"/>
        <w:spacing w:before="3"/>
        <w:ind w:right="607" w:firstLine="710"/>
      </w:pPr>
      <w:r>
        <w:rPr/>
        <w:t>Найпершою захисною реакцією організму є активація системи згортання крові і загальнопатологічні процеси тромбоутворення. Утворення тромбу в ділянці пошкодження судини (місцевий гемостаз) сприяє зупинці кровотечі. Однак,</w:t>
      </w:r>
      <w:r>
        <w:rPr>
          <w:spacing w:val="-6"/>
        </w:rPr>
        <w:t> </w:t>
      </w:r>
      <w:r>
        <w:rPr/>
        <w:t>при</w:t>
      </w:r>
      <w:r>
        <w:rPr>
          <w:spacing w:val="-9"/>
        </w:rPr>
        <w:t> </w:t>
      </w:r>
      <w:r>
        <w:rPr/>
        <w:t>гострій</w:t>
      </w:r>
      <w:r>
        <w:rPr>
          <w:spacing w:val="-9"/>
        </w:rPr>
        <w:t> </w:t>
      </w:r>
      <w:r>
        <w:rPr/>
        <w:t>масивній</w:t>
      </w:r>
      <w:r>
        <w:rPr>
          <w:spacing w:val="-8"/>
        </w:rPr>
        <w:t> </w:t>
      </w:r>
      <w:r>
        <w:rPr/>
        <w:t>крововтраті</w:t>
      </w:r>
      <w:r>
        <w:rPr>
          <w:spacing w:val="-10"/>
        </w:rPr>
        <w:t> </w:t>
      </w:r>
      <w:r>
        <w:rPr/>
        <w:t>і</w:t>
      </w:r>
      <w:r>
        <w:rPr>
          <w:spacing w:val="-14"/>
        </w:rPr>
        <w:t> </w:t>
      </w:r>
      <w:r>
        <w:rPr/>
        <w:t>травматичних</w:t>
      </w:r>
      <w:r>
        <w:rPr>
          <w:spacing w:val="-8"/>
        </w:rPr>
        <w:t> </w:t>
      </w:r>
      <w:r>
        <w:rPr/>
        <w:t>ушкодженнях</w:t>
      </w:r>
      <w:r>
        <w:rPr>
          <w:spacing w:val="-8"/>
        </w:rPr>
        <w:t> </w:t>
      </w:r>
      <w:r>
        <w:rPr/>
        <w:t>великого обсягу тканин, надмірна гіперкоагуляція крові стає самостійним патогенним фактором і може призвести до розвитку дисемінованого внутрішньосудинного згортання</w:t>
      </w:r>
      <w:r>
        <w:rPr>
          <w:spacing w:val="-12"/>
        </w:rPr>
        <w:t> </w:t>
      </w:r>
      <w:r>
        <w:rPr/>
        <w:t>(ДВС).</w:t>
      </w:r>
      <w:r>
        <w:rPr>
          <w:spacing w:val="-6"/>
        </w:rPr>
        <w:t> </w:t>
      </w:r>
      <w:r>
        <w:rPr/>
        <w:t>Постмортальна</w:t>
      </w:r>
      <w:r>
        <w:rPr>
          <w:spacing w:val="-11"/>
        </w:rPr>
        <w:t> </w:t>
      </w:r>
      <w:r>
        <w:rPr/>
        <w:t>діагностика</w:t>
      </w:r>
      <w:r>
        <w:rPr>
          <w:spacing w:val="-12"/>
        </w:rPr>
        <w:t> </w:t>
      </w:r>
      <w:r>
        <w:rPr/>
        <w:t>шокового</w:t>
      </w:r>
      <w:r>
        <w:rPr>
          <w:spacing w:val="-12"/>
        </w:rPr>
        <w:t> </w:t>
      </w:r>
      <w:r>
        <w:rPr/>
        <w:t>стану</w:t>
      </w:r>
      <w:r>
        <w:rPr>
          <w:spacing w:val="-17"/>
        </w:rPr>
        <w:t> </w:t>
      </w:r>
      <w:r>
        <w:rPr/>
        <w:t>будь-якої</w:t>
      </w:r>
      <w:r>
        <w:rPr>
          <w:spacing w:val="-13"/>
        </w:rPr>
        <w:t> </w:t>
      </w:r>
      <w:r>
        <w:rPr/>
        <w:t>етіології на момент настання смерті можлива </w:t>
      </w:r>
      <w:r>
        <w:rPr>
          <w:spacing w:val="2"/>
        </w:rPr>
        <w:t>за </w:t>
      </w:r>
      <w:r>
        <w:rPr/>
        <w:t>наявністю синдрому дисемінованого внутрішньосудинного згортання. При анафілактичному, токсичному, опіковому та інших видах шоку зміст фібріногеновой фракції різко підвищено [17, 18,</w:t>
      </w:r>
      <w:r>
        <w:rPr>
          <w:spacing w:val="-26"/>
        </w:rPr>
        <w:t> </w:t>
      </w:r>
      <w:r>
        <w:rPr/>
        <w:t>19].</w:t>
      </w:r>
    </w:p>
    <w:p>
      <w:pPr>
        <w:spacing w:line="240" w:lineRule="auto" w:before="0"/>
        <w:ind w:left="193" w:right="619" w:firstLine="710"/>
        <w:jc w:val="both"/>
        <w:rPr>
          <w:i/>
          <w:sz w:val="28"/>
        </w:rPr>
      </w:pPr>
      <w:r>
        <w:rPr>
          <w:i/>
          <w:sz w:val="28"/>
          <w:u w:val="single"/>
        </w:rPr>
        <w:t>Вище зазначені процеси нам довелось спостерігати під час проведення</w:t>
      </w:r>
      <w:r>
        <w:rPr>
          <w:i/>
          <w:sz w:val="28"/>
        </w:rPr>
        <w:t> </w:t>
      </w:r>
      <w:r>
        <w:rPr>
          <w:i/>
          <w:sz w:val="28"/>
          <w:u w:val="single"/>
        </w:rPr>
        <w:t>судово-ветеринарної експертизи загибелі собаки на прізвисько «Джессіка»</w:t>
      </w:r>
    </w:p>
    <w:p>
      <w:pPr>
        <w:spacing w:after="0" w:line="240" w:lineRule="auto"/>
        <w:jc w:val="both"/>
        <w:rPr>
          <w:sz w:val="28"/>
        </w:rPr>
        <w:sectPr>
          <w:pgSz w:w="11910" w:h="16840"/>
          <w:pgMar w:header="713" w:footer="778" w:top="1140" w:bottom="960" w:left="940" w:right="520"/>
        </w:sectPr>
      </w:pPr>
    </w:p>
    <w:p>
      <w:pPr>
        <w:spacing w:before="92"/>
        <w:ind w:left="193" w:right="613" w:firstLine="0"/>
        <w:jc w:val="both"/>
        <w:rPr>
          <w:i/>
          <w:sz w:val="28"/>
        </w:rPr>
      </w:pPr>
      <w:r>
        <w:rPr>
          <w:i/>
          <w:sz w:val="28"/>
          <w:u w:val="single"/>
        </w:rPr>
        <w:t>спричиненою крововтратою, до якої призвело ушкодження цілісності печінки</w:t>
      </w:r>
      <w:r>
        <w:rPr>
          <w:i/>
          <w:sz w:val="28"/>
        </w:rPr>
        <w:t> </w:t>
      </w:r>
      <w:r>
        <w:rPr>
          <w:i/>
          <w:sz w:val="28"/>
          <w:u w:val="single"/>
        </w:rPr>
        <w:t>внаслідок механічної травми черевної стінки.</w:t>
      </w:r>
    </w:p>
    <w:p>
      <w:pPr>
        <w:pStyle w:val="BodyText"/>
        <w:spacing w:after="9"/>
        <w:ind w:right="607" w:firstLine="710"/>
      </w:pPr>
      <w:r>
        <w:rPr/>
        <w:t>Із ухвали слідчого судді відомо, що громадянином N цілеспрямованим ударом футбольним м’ячем заподіяно механічну травму безпорідному собаці (цуценя віком 3 місяці) на прізвисько «Джессі» в ділянку живота, тварина після нанесеної травми загинула через 3 години.Судово-ветеринарним дослідженням зареєстровано блідість слизових і серозних оболонок, черевна стінка нерівномірного червоного забарвлення, містить плямисті крововиливи та кровопідтікання під серозною оболонкою черевної стінки. Легені нерівномірного</w:t>
      </w:r>
      <w:r>
        <w:rPr>
          <w:spacing w:val="-11"/>
        </w:rPr>
        <w:t> </w:t>
      </w:r>
      <w:r>
        <w:rPr/>
        <w:t>рожево-червоного</w:t>
      </w:r>
      <w:r>
        <w:rPr>
          <w:spacing w:val="-10"/>
        </w:rPr>
        <w:t> </w:t>
      </w:r>
      <w:r>
        <w:rPr/>
        <w:t>кольору,</w:t>
      </w:r>
      <w:r>
        <w:rPr>
          <w:spacing w:val="-8"/>
        </w:rPr>
        <w:t> </w:t>
      </w:r>
      <w:r>
        <w:rPr/>
        <w:t>містять</w:t>
      </w:r>
      <w:r>
        <w:rPr>
          <w:spacing w:val="-13"/>
        </w:rPr>
        <w:t> </w:t>
      </w:r>
      <w:r>
        <w:rPr/>
        <w:t>дрібні</w:t>
      </w:r>
      <w:r>
        <w:rPr>
          <w:spacing w:val="-15"/>
        </w:rPr>
        <w:t> </w:t>
      </w:r>
      <w:r>
        <w:rPr/>
        <w:t>крововиливи,</w:t>
      </w:r>
      <w:r>
        <w:rPr>
          <w:spacing w:val="-8"/>
        </w:rPr>
        <w:t> </w:t>
      </w:r>
      <w:r>
        <w:rPr/>
        <w:t>тканина на розрізі підвищено зволожена, окремі ділянки западають над загальною поверхнею.В черевній порожнині собаки на прізвисько «Джессіка», переважно на поверхні печінки, виявлено великий згусток крові. Між петлями кишечнику виявлено</w:t>
      </w:r>
      <w:r>
        <w:rPr>
          <w:spacing w:val="-8"/>
        </w:rPr>
        <w:t> </w:t>
      </w:r>
      <w:r>
        <w:rPr/>
        <w:t>невеликі</w:t>
      </w:r>
      <w:r>
        <w:rPr>
          <w:spacing w:val="-9"/>
        </w:rPr>
        <w:t> </w:t>
      </w:r>
      <w:r>
        <w:rPr/>
        <w:t>у</w:t>
      </w:r>
      <w:r>
        <w:rPr>
          <w:spacing w:val="-12"/>
        </w:rPr>
        <w:t> </w:t>
      </w:r>
      <w:r>
        <w:rPr/>
        <w:t>вигляді</w:t>
      </w:r>
      <w:r>
        <w:rPr>
          <w:spacing w:val="-14"/>
        </w:rPr>
        <w:t> </w:t>
      </w:r>
      <w:r>
        <w:rPr/>
        <w:t>тяжів</w:t>
      </w:r>
      <w:r>
        <w:rPr>
          <w:spacing w:val="-10"/>
        </w:rPr>
        <w:t> </w:t>
      </w:r>
      <w:r>
        <w:rPr/>
        <w:t>згустки</w:t>
      </w:r>
      <w:r>
        <w:rPr>
          <w:spacing w:val="-8"/>
        </w:rPr>
        <w:t> </w:t>
      </w:r>
      <w:r>
        <w:rPr/>
        <w:t>крові.</w:t>
      </w:r>
      <w:r>
        <w:rPr>
          <w:spacing w:val="-6"/>
        </w:rPr>
        <w:t> </w:t>
      </w:r>
      <w:r>
        <w:rPr/>
        <w:t>Встановлено</w:t>
      </w:r>
      <w:r>
        <w:rPr>
          <w:spacing w:val="-8"/>
        </w:rPr>
        <w:t> </w:t>
      </w:r>
      <w:r>
        <w:rPr/>
        <w:t>помірно</w:t>
      </w:r>
      <w:r>
        <w:rPr>
          <w:spacing w:val="-7"/>
        </w:rPr>
        <w:t> </w:t>
      </w:r>
      <w:r>
        <w:rPr/>
        <w:t>виражене газоутворення в шлунку та кишечнику. Печінка нерівномірного забарвлення, виявлено щелеподібний розрив капсули і паренхіми органу, довжиною 2 см., навколо ділянки розриву паренхіма сіро-коричнева, судини порожні. Краї розриву просочені кровʼю. Селезінка незначно збільшена, краї заокруглені, орган темно червоного кольору, судини кровонаповнення, зіскоб паренхіми відсутній.</w:t>
      </w:r>
    </w:p>
    <w:p>
      <w:pPr>
        <w:pStyle w:val="BodyText"/>
        <w:ind w:left="1138"/>
        <w:jc w:val="left"/>
        <w:rPr>
          <w:sz w:val="20"/>
        </w:rPr>
      </w:pPr>
      <w:r>
        <w:rPr>
          <w:sz w:val="20"/>
        </w:rPr>
        <w:pict>
          <v:group style="width:387.5pt;height:143.950pt;mso-position-horizontal-relative:char;mso-position-vertical-relative:line" coordorigin="0,0" coordsize="7750,2879">
            <v:shape style="position:absolute;left:0;top:0;width:3840;height:2879" type="#_x0000_t75" stroked="false">
              <v:imagedata r:id="rId13" o:title=""/>
            </v:shape>
            <v:shape style="position:absolute;left:3910;top:0;width:3840;height:2879" type="#_x0000_t75" stroked="false">
              <v:imagedata r:id="rId14" o:title=""/>
            </v:shape>
          </v:group>
        </w:pict>
      </w:r>
      <w:r>
        <w:rPr>
          <w:sz w:val="20"/>
        </w:rPr>
      </w:r>
    </w:p>
    <w:p>
      <w:pPr>
        <w:pStyle w:val="BodyText"/>
        <w:ind w:right="618" w:firstLine="561"/>
      </w:pPr>
      <w:r>
        <w:rPr>
          <w:b/>
        </w:rPr>
        <w:t>Рис. 3. </w:t>
      </w:r>
      <w:r>
        <w:rPr/>
        <w:t>Топографія органів черевної порожнини, кров’яні згустки на поверхні печінки (А); кров’яні згустки між петлями кишечнику (Б).</w:t>
      </w:r>
      <w:r>
        <w:rPr>
          <w:spacing w:val="-43"/>
        </w:rPr>
        <w:t> </w:t>
      </w:r>
      <w:r>
        <w:rPr/>
        <w:t>Макрофото.</w:t>
      </w:r>
    </w:p>
    <w:p>
      <w:pPr>
        <w:pStyle w:val="BodyText"/>
        <w:spacing w:before="10"/>
        <w:ind w:left="0"/>
        <w:jc w:val="left"/>
        <w:rPr>
          <w:sz w:val="27"/>
        </w:rPr>
      </w:pPr>
    </w:p>
    <w:p>
      <w:pPr>
        <w:pStyle w:val="BodyText"/>
        <w:spacing w:before="1"/>
        <w:ind w:right="612" w:firstLine="710"/>
      </w:pPr>
      <w:r>
        <w:rPr/>
        <w:t>Нирки нерівномірного світло-коричневого забарвлення, на розрізі паренхіма</w:t>
      </w:r>
      <w:r>
        <w:rPr>
          <w:spacing w:val="-23"/>
        </w:rPr>
        <w:t> </w:t>
      </w:r>
      <w:r>
        <w:rPr/>
        <w:t>має</w:t>
      </w:r>
      <w:r>
        <w:rPr>
          <w:spacing w:val="-23"/>
        </w:rPr>
        <w:t> </w:t>
      </w:r>
      <w:r>
        <w:rPr/>
        <w:t>плямисте</w:t>
      </w:r>
      <w:r>
        <w:rPr>
          <w:spacing w:val="-23"/>
        </w:rPr>
        <w:t> </w:t>
      </w:r>
      <w:r>
        <w:rPr/>
        <w:t>забарвлення</w:t>
      </w:r>
      <w:r>
        <w:rPr>
          <w:spacing w:val="-22"/>
        </w:rPr>
        <w:t> </w:t>
      </w:r>
      <w:r>
        <w:rPr/>
        <w:t>внаслідок</w:t>
      </w:r>
      <w:r>
        <w:rPr>
          <w:spacing w:val="-20"/>
        </w:rPr>
        <w:t> </w:t>
      </w:r>
      <w:r>
        <w:rPr/>
        <w:t>нерівномірного</w:t>
      </w:r>
      <w:r>
        <w:rPr>
          <w:spacing w:val="-24"/>
        </w:rPr>
        <w:t> </w:t>
      </w:r>
      <w:r>
        <w:rPr/>
        <w:t>кровонаповнення судин. Межа між кірковою і мозковою речовиною добре виражена, ниркова миска незначно збільшена, кіркова речовина сіро-коричневого кольору,</w:t>
      </w:r>
      <w:r>
        <w:rPr>
          <w:spacing w:val="-34"/>
        </w:rPr>
        <w:t> </w:t>
      </w:r>
      <w:r>
        <w:rPr/>
        <w:t>мозкова</w:t>
      </w:r>
    </w:p>
    <w:p>
      <w:pPr>
        <w:pStyle w:val="BodyText"/>
        <w:spacing w:line="320" w:lineRule="exact"/>
      </w:pPr>
      <w:r>
        <w:rPr/>
        <w:t>– коричнево-червона.</w:t>
      </w:r>
    </w:p>
    <w:p>
      <w:pPr>
        <w:pStyle w:val="BodyText"/>
        <w:ind w:right="615" w:firstLine="710"/>
      </w:pPr>
      <w:r>
        <w:rPr/>
        <w:t>За результатом гістологічного дослідження встановлено порушення гемодинаміки мікроциркуляторного русла нирок, печінки, легенів. Відбулось підвищення порозності судин, вихід плазми крові за межі судин, депонування великої кількості крові в судинах органів черевної порожнини (селезінка, печінка, нирки), легенів. Зареєстровано набряки, сладж-феномен еритроцитів, мікротромби в капілярах. В легенях набряк був більш виражений в інтерстиційній тканині, спостерігали вогнища альвеолярної</w:t>
      </w:r>
      <w:r>
        <w:rPr>
          <w:spacing w:val="60"/>
        </w:rPr>
        <w:t> </w:t>
      </w:r>
      <w:r>
        <w:rPr/>
        <w:t>емфіземи,</w:t>
      </w:r>
    </w:p>
    <w:p>
      <w:pPr>
        <w:spacing w:after="0"/>
        <w:sectPr>
          <w:pgSz w:w="11910" w:h="16840"/>
          <w:pgMar w:header="713" w:footer="778" w:top="1140" w:bottom="960" w:left="940" w:right="520"/>
        </w:sectPr>
      </w:pPr>
    </w:p>
    <w:p>
      <w:pPr>
        <w:pStyle w:val="BodyText"/>
        <w:spacing w:line="322" w:lineRule="exact" w:before="92"/>
      </w:pPr>
      <w:r>
        <w:rPr/>
        <w:t>крововиливи, вогнищеве скупчення макрофагів.</w:t>
      </w:r>
    </w:p>
    <w:p>
      <w:pPr>
        <w:pStyle w:val="BodyText"/>
        <w:ind w:right="612" w:firstLine="710"/>
      </w:pPr>
      <w:r>
        <w:rPr/>
        <w:t>В печінці встановлено інфільтрацію тканини навколо ділянки пошкодження еритроцитами, набряк просторів Діссе. В нирках патологоанатомічні зміни супроводжувались нерівномірним кровонаповненням та спазмом судин, сладж-феноменом еритроцитів, тромбозом судин мікроциркуляторного русла, набряками. Було виявлено морфологічні ознаки анемії,</w:t>
      </w:r>
      <w:r>
        <w:rPr>
          <w:spacing w:val="-11"/>
        </w:rPr>
        <w:t> </w:t>
      </w:r>
      <w:r>
        <w:rPr/>
        <w:t>зміни</w:t>
      </w:r>
      <w:r>
        <w:rPr>
          <w:spacing w:val="-8"/>
        </w:rPr>
        <w:t> </w:t>
      </w:r>
      <w:r>
        <w:rPr/>
        <w:t>в</w:t>
      </w:r>
      <w:r>
        <w:rPr>
          <w:spacing w:val="-14"/>
        </w:rPr>
        <w:t> </w:t>
      </w:r>
      <w:r>
        <w:rPr/>
        <w:t>стінці</w:t>
      </w:r>
      <w:r>
        <w:rPr>
          <w:spacing w:val="-12"/>
        </w:rPr>
        <w:t> </w:t>
      </w:r>
      <w:r>
        <w:rPr/>
        <w:t>канальців</w:t>
      </w:r>
      <w:r>
        <w:rPr>
          <w:spacing w:val="-15"/>
        </w:rPr>
        <w:t> </w:t>
      </w:r>
      <w:r>
        <w:rPr/>
        <w:t>мали</w:t>
      </w:r>
      <w:r>
        <w:rPr>
          <w:spacing w:val="-12"/>
        </w:rPr>
        <w:t> </w:t>
      </w:r>
      <w:r>
        <w:rPr/>
        <w:t>прояв</w:t>
      </w:r>
      <w:r>
        <w:rPr>
          <w:spacing w:val="-9"/>
        </w:rPr>
        <w:t> </w:t>
      </w:r>
      <w:r>
        <w:rPr/>
        <w:t>у</w:t>
      </w:r>
      <w:r>
        <w:rPr>
          <w:spacing w:val="-17"/>
        </w:rPr>
        <w:t> </w:t>
      </w:r>
      <w:r>
        <w:rPr/>
        <w:t>різко</w:t>
      </w:r>
      <w:r>
        <w:rPr>
          <w:spacing w:val="-8"/>
        </w:rPr>
        <w:t> </w:t>
      </w:r>
      <w:r>
        <w:rPr/>
        <w:t>вираженій</w:t>
      </w:r>
      <w:r>
        <w:rPr>
          <w:spacing w:val="-12"/>
        </w:rPr>
        <w:t> </w:t>
      </w:r>
      <w:r>
        <w:rPr/>
        <w:t>білковій</w:t>
      </w:r>
      <w:r>
        <w:rPr>
          <w:spacing w:val="-12"/>
        </w:rPr>
        <w:t> </w:t>
      </w:r>
      <w:r>
        <w:rPr/>
        <w:t>дистрофії, некрозі і часткової їх десквамацією в просвіт канальців. Вище зазначене свідчить,</w:t>
      </w:r>
      <w:r>
        <w:rPr>
          <w:spacing w:val="-5"/>
        </w:rPr>
        <w:t> </w:t>
      </w:r>
      <w:r>
        <w:rPr/>
        <w:t>що</w:t>
      </w:r>
      <w:r>
        <w:rPr>
          <w:spacing w:val="-8"/>
        </w:rPr>
        <w:t> </w:t>
      </w:r>
      <w:r>
        <w:rPr/>
        <w:t>гіпоксія</w:t>
      </w:r>
      <w:r>
        <w:rPr>
          <w:spacing w:val="-5"/>
        </w:rPr>
        <w:t> </w:t>
      </w:r>
      <w:r>
        <w:rPr/>
        <w:t>не</w:t>
      </w:r>
      <w:r>
        <w:rPr>
          <w:spacing w:val="-7"/>
        </w:rPr>
        <w:t> </w:t>
      </w:r>
      <w:r>
        <w:rPr/>
        <w:t>набувала</w:t>
      </w:r>
      <w:r>
        <w:rPr>
          <w:spacing w:val="-7"/>
        </w:rPr>
        <w:t> </w:t>
      </w:r>
      <w:r>
        <w:rPr/>
        <w:t>ступеню</w:t>
      </w:r>
      <w:r>
        <w:rPr>
          <w:spacing w:val="-8"/>
        </w:rPr>
        <w:t> </w:t>
      </w:r>
      <w:r>
        <w:rPr/>
        <w:t>необхідного</w:t>
      </w:r>
      <w:r>
        <w:rPr>
          <w:spacing w:val="-7"/>
        </w:rPr>
        <w:t> </w:t>
      </w:r>
      <w:r>
        <w:rPr/>
        <w:t>для</w:t>
      </w:r>
      <w:r>
        <w:rPr>
          <w:spacing w:val="-6"/>
        </w:rPr>
        <w:t> </w:t>
      </w:r>
      <w:r>
        <w:rPr/>
        <w:t>розвитку</w:t>
      </w:r>
      <w:r>
        <w:rPr>
          <w:spacing w:val="-11"/>
        </w:rPr>
        <w:t> </w:t>
      </w:r>
      <w:r>
        <w:rPr/>
        <w:t>тотального некрозу епітелію звивистих</w:t>
      </w:r>
      <w:r>
        <w:rPr>
          <w:spacing w:val="-8"/>
        </w:rPr>
        <w:t> </w:t>
      </w:r>
      <w:r>
        <w:rPr/>
        <w:t>канальців.</w:t>
      </w:r>
    </w:p>
    <w:p>
      <w:pPr>
        <w:pStyle w:val="BodyText"/>
        <w:spacing w:before="2"/>
        <w:ind w:right="606" w:firstLine="710"/>
      </w:pPr>
      <w:r>
        <w:rPr/>
        <w:t>Травми знайдені на тілі тварини носять прижиттєвий характер. Між ушкодженнями і причиною смерті собаки на прізвисько «Джессіка», існує прямий причинно-наслідковий зв’язок, оскільки механічний удар призвів до тупої травми черевної стінки і порушення цілісності печінки, що в свою чергу призвело до больового шоку, важкої (до 50 % втрати крові) паренхіматозної кровотечі із розвитком гіповолемічного (геморагічного) шоку і смерті тварини.</w:t>
      </w:r>
    </w:p>
    <w:p>
      <w:pPr>
        <w:pStyle w:val="BodyText"/>
        <w:ind w:right="614" w:firstLine="710"/>
      </w:pPr>
      <w:r>
        <w:rPr/>
        <w:t>Виявлені в трупі собаки на прізвисько «Джессіка» ушкодження відносяться</w:t>
      </w:r>
      <w:r>
        <w:rPr>
          <w:spacing w:val="-15"/>
        </w:rPr>
        <w:t> </w:t>
      </w:r>
      <w:r>
        <w:rPr/>
        <w:t>до</w:t>
      </w:r>
      <w:r>
        <w:rPr>
          <w:spacing w:val="-13"/>
        </w:rPr>
        <w:t> </w:t>
      </w:r>
      <w:r>
        <w:rPr/>
        <w:t>тяжких</w:t>
      </w:r>
      <w:r>
        <w:rPr>
          <w:spacing w:val="-20"/>
        </w:rPr>
        <w:t> </w:t>
      </w:r>
      <w:r>
        <w:rPr/>
        <w:t>тілесних</w:t>
      </w:r>
      <w:r>
        <w:rPr>
          <w:spacing w:val="-15"/>
        </w:rPr>
        <w:t> </w:t>
      </w:r>
      <w:r>
        <w:rPr/>
        <w:t>ушкоджень,</w:t>
      </w:r>
      <w:r>
        <w:rPr>
          <w:spacing w:val="-11"/>
        </w:rPr>
        <w:t> </w:t>
      </w:r>
      <w:r>
        <w:rPr/>
        <w:t>та</w:t>
      </w:r>
      <w:r>
        <w:rPr>
          <w:spacing w:val="-14"/>
        </w:rPr>
        <w:t> </w:t>
      </w:r>
      <w:r>
        <w:rPr/>
        <w:t>в</w:t>
      </w:r>
      <w:r>
        <w:rPr>
          <w:spacing w:val="-17"/>
        </w:rPr>
        <w:t> </w:t>
      </w:r>
      <w:r>
        <w:rPr/>
        <w:t>момент</w:t>
      </w:r>
      <w:r>
        <w:rPr>
          <w:spacing w:val="-18"/>
        </w:rPr>
        <w:t> </w:t>
      </w:r>
      <w:r>
        <w:rPr/>
        <w:t>заподіяння</w:t>
      </w:r>
      <w:r>
        <w:rPr>
          <w:spacing w:val="-14"/>
        </w:rPr>
        <w:t> </w:t>
      </w:r>
      <w:r>
        <w:rPr/>
        <w:t>ушкодження спричиняли</w:t>
      </w:r>
      <w:r>
        <w:rPr>
          <w:spacing w:val="-9"/>
        </w:rPr>
        <w:t> </w:t>
      </w:r>
      <w:r>
        <w:rPr/>
        <w:t>загрозливі</w:t>
      </w:r>
      <w:r>
        <w:rPr>
          <w:spacing w:val="-13"/>
        </w:rPr>
        <w:t> </w:t>
      </w:r>
      <w:r>
        <w:rPr/>
        <w:t>для</w:t>
      </w:r>
      <w:r>
        <w:rPr>
          <w:spacing w:val="-8"/>
        </w:rPr>
        <w:t> </w:t>
      </w:r>
      <w:r>
        <w:rPr/>
        <w:t>життя</w:t>
      </w:r>
      <w:r>
        <w:rPr>
          <w:spacing w:val="-7"/>
        </w:rPr>
        <w:t> </w:t>
      </w:r>
      <w:r>
        <w:rPr/>
        <w:t>явища</w:t>
      </w:r>
      <w:r>
        <w:rPr>
          <w:spacing w:val="-12"/>
        </w:rPr>
        <w:t> </w:t>
      </w:r>
      <w:r>
        <w:rPr/>
        <w:t>і</w:t>
      </w:r>
      <w:r>
        <w:rPr>
          <w:spacing w:val="-13"/>
        </w:rPr>
        <w:t> </w:t>
      </w:r>
      <w:r>
        <w:rPr/>
        <w:t>без</w:t>
      </w:r>
      <w:r>
        <w:rPr>
          <w:spacing w:val="-8"/>
        </w:rPr>
        <w:t> </w:t>
      </w:r>
      <w:r>
        <w:rPr/>
        <w:t>надання</w:t>
      </w:r>
      <w:r>
        <w:rPr>
          <w:spacing w:val="-8"/>
        </w:rPr>
        <w:t> </w:t>
      </w:r>
      <w:r>
        <w:rPr/>
        <w:t>ветеринарної</w:t>
      </w:r>
      <w:r>
        <w:rPr>
          <w:spacing w:val="-14"/>
        </w:rPr>
        <w:t> </w:t>
      </w:r>
      <w:r>
        <w:rPr/>
        <w:t>допомоги,</w:t>
      </w:r>
      <w:r>
        <w:rPr>
          <w:spacing w:val="-6"/>
        </w:rPr>
        <w:t> </w:t>
      </w:r>
      <w:r>
        <w:rPr/>
        <w:t>за звичайним</w:t>
      </w:r>
      <w:r>
        <w:rPr>
          <w:spacing w:val="-6"/>
        </w:rPr>
        <w:t> </w:t>
      </w:r>
      <w:r>
        <w:rPr/>
        <w:t>своїм</w:t>
      </w:r>
      <w:r>
        <w:rPr>
          <w:spacing w:val="-5"/>
        </w:rPr>
        <w:t> </w:t>
      </w:r>
      <w:r>
        <w:rPr/>
        <w:t>перебігом,</w:t>
      </w:r>
      <w:r>
        <w:rPr>
          <w:spacing w:val="-4"/>
        </w:rPr>
        <w:t> </w:t>
      </w:r>
      <w:r>
        <w:rPr/>
        <w:t>призвели</w:t>
      </w:r>
      <w:r>
        <w:rPr>
          <w:spacing w:val="-6"/>
        </w:rPr>
        <w:t> </w:t>
      </w:r>
      <w:r>
        <w:rPr/>
        <w:t>до</w:t>
      </w:r>
      <w:r>
        <w:rPr>
          <w:spacing w:val="-7"/>
        </w:rPr>
        <w:t> </w:t>
      </w:r>
      <w:r>
        <w:rPr/>
        <w:t>втрати</w:t>
      </w:r>
      <w:r>
        <w:rPr>
          <w:spacing w:val="-6"/>
        </w:rPr>
        <w:t> </w:t>
      </w:r>
      <w:r>
        <w:rPr/>
        <w:t>органів</w:t>
      </w:r>
      <w:r>
        <w:rPr>
          <w:spacing w:val="-4"/>
        </w:rPr>
        <w:t> </w:t>
      </w:r>
      <w:r>
        <w:rPr/>
        <w:t>їх</w:t>
      </w:r>
      <w:r>
        <w:rPr>
          <w:spacing w:val="-11"/>
        </w:rPr>
        <w:t> </w:t>
      </w:r>
      <w:r>
        <w:rPr/>
        <w:t>функцій</w:t>
      </w:r>
      <w:r>
        <w:rPr>
          <w:spacing w:val="-7"/>
        </w:rPr>
        <w:t> </w:t>
      </w:r>
      <w:r>
        <w:rPr/>
        <w:t>і</w:t>
      </w:r>
      <w:r>
        <w:rPr>
          <w:spacing w:val="-11"/>
        </w:rPr>
        <w:t> </w:t>
      </w:r>
      <w:r>
        <w:rPr/>
        <w:t>закінчилися смертю</w:t>
      </w:r>
      <w:r>
        <w:rPr>
          <w:spacing w:val="-10"/>
        </w:rPr>
        <w:t> </w:t>
      </w:r>
      <w:r>
        <w:rPr/>
        <w:t>тварини.</w:t>
      </w:r>
      <w:r>
        <w:rPr>
          <w:spacing w:val="-6"/>
        </w:rPr>
        <w:t> </w:t>
      </w:r>
      <w:r>
        <w:rPr/>
        <w:t>Собака</w:t>
      </w:r>
      <w:r>
        <w:rPr>
          <w:spacing w:val="-7"/>
        </w:rPr>
        <w:t> </w:t>
      </w:r>
      <w:r>
        <w:rPr/>
        <w:t>на</w:t>
      </w:r>
      <w:r>
        <w:rPr>
          <w:spacing w:val="-8"/>
        </w:rPr>
        <w:t> </w:t>
      </w:r>
      <w:r>
        <w:rPr/>
        <w:t>прізвисько</w:t>
      </w:r>
      <w:r>
        <w:rPr>
          <w:spacing w:val="-4"/>
        </w:rPr>
        <w:t> </w:t>
      </w:r>
      <w:r>
        <w:rPr/>
        <w:t>«Джессіка»</w:t>
      </w:r>
      <w:r>
        <w:rPr>
          <w:spacing w:val="-8"/>
        </w:rPr>
        <w:t> </w:t>
      </w:r>
      <w:r>
        <w:rPr/>
        <w:t>після</w:t>
      </w:r>
      <w:r>
        <w:rPr>
          <w:spacing w:val="-6"/>
        </w:rPr>
        <w:t> </w:t>
      </w:r>
      <w:r>
        <w:rPr/>
        <w:t>отриманих</w:t>
      </w:r>
      <w:r>
        <w:rPr>
          <w:spacing w:val="-13"/>
        </w:rPr>
        <w:t> </w:t>
      </w:r>
      <w:r>
        <w:rPr/>
        <w:t>травм</w:t>
      </w:r>
      <w:r>
        <w:rPr>
          <w:spacing w:val="-6"/>
        </w:rPr>
        <w:t> </w:t>
      </w:r>
      <w:r>
        <w:rPr/>
        <w:t>могла прожити і більш тривалий період за умови збереження цілісності капсули печінки. </w:t>
      </w:r>
      <w:r>
        <w:rPr>
          <w:spacing w:val="4"/>
        </w:rPr>
        <w:t>Ушкодження </w:t>
      </w:r>
      <w:r>
        <w:rPr/>
        <w:t>на </w:t>
      </w:r>
      <w:r>
        <w:rPr>
          <w:spacing w:val="4"/>
        </w:rPr>
        <w:t>трупі </w:t>
      </w:r>
      <w:r>
        <w:rPr/>
        <w:t>носили болісний характер, тварина відчувала фізичні</w:t>
      </w:r>
      <w:r>
        <w:rPr>
          <w:spacing w:val="-5"/>
        </w:rPr>
        <w:t> </w:t>
      </w:r>
      <w:r>
        <w:rPr/>
        <w:t>страждання.</w:t>
      </w:r>
    </w:p>
    <w:p>
      <w:pPr>
        <w:pStyle w:val="BodyText"/>
        <w:ind w:right="607" w:firstLine="710"/>
      </w:pPr>
      <w:r>
        <w:rPr>
          <w:i/>
          <w:u w:val="single"/>
        </w:rPr>
        <w:t>Нижче наведений випадок судово-ветеринарної експертизи трупа собаки</w:t>
      </w:r>
      <w:r>
        <w:rPr>
          <w:i/>
        </w:rPr>
        <w:t> </w:t>
      </w:r>
      <w:r>
        <w:rPr>
          <w:i/>
          <w:u w:val="single"/>
        </w:rPr>
        <w:t>на призвісько «Ченя»</w:t>
      </w:r>
      <w:r>
        <w:rPr>
          <w:i/>
        </w:rPr>
        <w:t> </w:t>
      </w:r>
      <w:r>
        <w:rPr/>
        <w:t>підтверджує той факт, що у випадках механічної травми, особливу увагу необхідно надавати гемокоагуляційним змінам у системах мікроциркуляторних одиниць нервової тканини, печінки, серця, нирок, та</w:t>
      </w:r>
      <w:r>
        <w:rPr>
          <w:spacing w:val="-44"/>
        </w:rPr>
        <w:t> </w:t>
      </w:r>
      <w:r>
        <w:rPr/>
        <w:t>інших органів, де відбуваються грубі порушення мікроциркуляції крові, що зумовлені гіперкоагуляційними зсувами на тлі зниження фібринолітичного потенціалу крові і тканин</w:t>
      </w:r>
      <w:r>
        <w:rPr>
          <w:color w:val="FF0000"/>
        </w:rPr>
        <w:t>. </w:t>
      </w:r>
      <w:r>
        <w:rPr/>
        <w:t>У тканинах накопичуються метаболіти, що володіють судинорозширювальною дією. </w:t>
      </w:r>
      <w:r>
        <w:rPr>
          <w:spacing w:val="-3"/>
        </w:rPr>
        <w:t>Це </w:t>
      </w:r>
      <w:r>
        <w:rPr/>
        <w:t>призводить до підвищення капілярного тиску і переміщення рідини вже з судинного русла в тканини [20,</w:t>
      </w:r>
      <w:r>
        <w:rPr>
          <w:spacing w:val="-2"/>
        </w:rPr>
        <w:t> </w:t>
      </w:r>
      <w:r>
        <w:rPr/>
        <w:t>21].</w:t>
      </w:r>
    </w:p>
    <w:p>
      <w:pPr>
        <w:pStyle w:val="BodyText"/>
        <w:spacing w:before="3"/>
        <w:ind w:right="614" w:firstLine="710"/>
      </w:pPr>
      <w:r>
        <w:rPr/>
        <w:t>Із ухвали слідчого судді відомо що на собаку на прізвисько «Ченя» (сука, віком 3 роки, безпорідна) шо лежала на узбіччі біля воріт подвір’я де утримувалась громадянином № здійснено наїзд автомобілем «Ланос». Тварина померла в прийомному відділі лікарні ветеринарної медицини через 1 годину післі автотранспортної пригоди.</w:t>
      </w:r>
    </w:p>
    <w:p>
      <w:pPr>
        <w:pStyle w:val="BodyText"/>
        <w:ind w:right="613" w:firstLine="710"/>
      </w:pPr>
      <w:r>
        <w:rPr/>
        <w:t>Проведеним судово-ветеринарним дослідженням трупу собаки на прізвисько «Ченя» виявлено анемію слизових оболонок. Дослідженням лівої кінцівки виявлено порушення цілісності стегнової кістки. Під час зняття шкіри виявлено темно-червоні згустки крові в ділянці лівого стегна (крововтрата до  30 %), розтрощення скелетних мʼязів, закритий множинний оскольчастий перелом стегнової кістки, кульшового суглобу.</w:t>
      </w:r>
    </w:p>
    <w:p>
      <w:pPr>
        <w:spacing w:after="0"/>
        <w:sectPr>
          <w:pgSz w:w="11910" w:h="16840"/>
          <w:pgMar w:header="713" w:footer="778" w:top="1140" w:bottom="960" w:left="940" w:right="520"/>
        </w:sectPr>
      </w:pPr>
    </w:p>
    <w:p>
      <w:pPr>
        <w:pStyle w:val="BodyText"/>
        <w:spacing w:before="92"/>
        <w:ind w:right="610" w:firstLine="710"/>
      </w:pPr>
      <w:r>
        <w:rPr/>
        <w:t>Легені збільшені в об’ємі, тістуватої консистенції, нерівномірного синюшно-червоного забарвлення. Орган містить на поверхні пухкі ділянки що крепітують та ділянки що западають над загальною поверхнею. Судини кровонаповненні. На розрізі із альвеол та бронхів виділяється піниста солом’яного кольору рідина. Лімфатичні вузли пружні, не збільшені, блідо- рожевого забарвлення.</w:t>
      </w:r>
    </w:p>
    <w:p>
      <w:pPr>
        <w:pStyle w:val="BodyText"/>
        <w:spacing w:before="3"/>
        <w:ind w:right="615" w:firstLine="710"/>
      </w:pPr>
      <w:r>
        <w:rPr/>
        <w:t>Селезінка темно-червоного кольору, пружньої консистенції, паренхіма темно-червона, без зіскобу, судини кровонаповненні. Печінка темно-червоного кольору, не збільшена, капсула не напружена, поверхня гладенька. Малюнок паренхіми виражений, судини вище середнього кровонаповнення, иістять згустки крові. Нирки не збільшені, темно-коричневі, на розрізі межа слабко виражена, тканина темно-червоного кольру, судини кровонаповненні.</w:t>
      </w:r>
    </w:p>
    <w:p>
      <w:pPr>
        <w:pStyle w:val="BodyText"/>
        <w:tabs>
          <w:tab w:pos="1905" w:val="left" w:leader="none"/>
          <w:tab w:pos="3885" w:val="left" w:leader="none"/>
          <w:tab w:pos="5309" w:val="left" w:leader="none"/>
          <w:tab w:pos="6614" w:val="left" w:leader="none"/>
          <w:tab w:pos="7828" w:val="left" w:leader="none"/>
          <w:tab w:pos="9372" w:val="left" w:leader="none"/>
        </w:tabs>
        <w:ind w:right="618" w:firstLine="710"/>
        <w:jc w:val="right"/>
      </w:pPr>
      <w:r>
        <w:rPr/>
        <w:t>Судини головного мозку кровонаповненні, тканина</w:t>
      </w:r>
      <w:r>
        <w:rPr>
          <w:spacing w:val="-37"/>
        </w:rPr>
        <w:t> </w:t>
      </w:r>
      <w:r>
        <w:rPr/>
        <w:t>підвищено</w:t>
      </w:r>
      <w:r>
        <w:rPr>
          <w:spacing w:val="-7"/>
        </w:rPr>
        <w:t> </w:t>
      </w:r>
      <w:r>
        <w:rPr/>
        <w:t>зволожена.</w:t>
      </w:r>
      <w:r>
        <w:rPr>
          <w:w w:val="99"/>
        </w:rPr>
        <w:t> </w:t>
      </w:r>
      <w:r>
        <w:rPr/>
        <w:t>Гістологічним дослідженням скелетних м’язів,</w:t>
      </w:r>
      <w:r>
        <w:rPr>
          <w:spacing w:val="39"/>
        </w:rPr>
        <w:t> </w:t>
      </w:r>
      <w:r>
        <w:rPr/>
        <w:t>розташованих</w:t>
      </w:r>
      <w:r>
        <w:rPr>
          <w:spacing w:val="22"/>
        </w:rPr>
        <w:t> </w:t>
      </w:r>
      <w:r>
        <w:rPr/>
        <w:t>навколо</w:t>
      </w:r>
      <w:r>
        <w:rPr>
          <w:w w:val="99"/>
        </w:rPr>
        <w:t> </w:t>
      </w:r>
      <w:r>
        <w:rPr/>
        <w:t>ділянки травматизації, виявлено масивні крововиливи, набряк,</w:t>
      </w:r>
      <w:r>
        <w:rPr>
          <w:spacing w:val="42"/>
        </w:rPr>
        <w:t> </w:t>
      </w:r>
      <w:r>
        <w:rPr/>
        <w:t>м’язові</w:t>
      </w:r>
      <w:r>
        <w:rPr>
          <w:spacing w:val="12"/>
        </w:rPr>
        <w:t> </w:t>
      </w:r>
      <w:r>
        <w:rPr/>
        <w:t>волокна</w:t>
      </w:r>
      <w:r>
        <w:rPr>
          <w:spacing w:val="-1"/>
          <w:w w:val="99"/>
        </w:rPr>
        <w:t> </w:t>
      </w:r>
      <w:r>
        <w:rPr/>
        <w:t>фрагментовані. В мʼязах, що було відібрано на значній відстані</w:t>
      </w:r>
      <w:r>
        <w:rPr>
          <w:spacing w:val="34"/>
        </w:rPr>
        <w:t> </w:t>
      </w:r>
      <w:r>
        <w:rPr/>
        <w:t>від</w:t>
      </w:r>
      <w:r>
        <w:rPr>
          <w:spacing w:val="60"/>
        </w:rPr>
        <w:t> </w:t>
      </w:r>
      <w:r>
        <w:rPr/>
        <w:t>ділянки</w:t>
      </w:r>
      <w:r>
        <w:rPr>
          <w:w w:val="99"/>
        </w:rPr>
        <w:t> </w:t>
      </w:r>
      <w:r>
        <w:rPr/>
        <w:t>механічного</w:t>
        <w:tab/>
        <w:t>пошкодження,</w:t>
        <w:tab/>
        <w:t>структура</w:t>
        <w:tab/>
        <w:t>м’язових</w:t>
        <w:tab/>
        <w:t>волокон</w:t>
        <w:tab/>
        <w:t>збережена,</w:t>
        <w:tab/>
      </w:r>
      <w:r>
        <w:rPr>
          <w:spacing w:val="-5"/>
        </w:rPr>
        <w:t>між</w:t>
      </w:r>
    </w:p>
    <w:p>
      <w:pPr>
        <w:pStyle w:val="BodyText"/>
        <w:spacing w:line="321" w:lineRule="exact"/>
      </w:pPr>
      <w:r>
        <w:rPr/>
        <w:t>м’язовими волокнами добре виражені ділянки набряку.</w:t>
      </w:r>
    </w:p>
    <w:p>
      <w:pPr>
        <w:pStyle w:val="BodyText"/>
        <w:spacing w:before="2"/>
        <w:ind w:right="613" w:firstLine="710"/>
      </w:pPr>
      <w:r>
        <w:rPr/>
        <w:t>В паренхіматозних органах встановлено порушення гемодинаміки мікроциркуляторного русла. Характерним був набряк легенів, обструкція бронхів, вогнищеві ателектази альвеол – «синдром шокових легенів». В нирках</w:t>
      </w:r>
    </w:p>
    <w:p>
      <w:pPr>
        <w:pStyle w:val="BodyText"/>
        <w:ind w:right="610"/>
      </w:pPr>
      <w:r>
        <w:rPr/>
        <w:t>– нерівномірне кровонаповнення судин мікроциркуляторного русла, </w:t>
      </w:r>
      <w:r>
        <w:rPr>
          <w:spacing w:val="2"/>
        </w:rPr>
        <w:t>сладж- </w:t>
      </w:r>
      <w:r>
        <w:rPr/>
        <w:t>феномен еритроцитів, тромбоз судин, набряки, зернисту дистрофія та некроз нефроцитів – «синдром шокової нирки». Судини печінки та нирок мали виразне кровонаповнення</w:t>
      </w:r>
      <w:r>
        <w:rPr>
          <w:spacing w:val="-8"/>
        </w:rPr>
        <w:t> </w:t>
      </w:r>
      <w:r>
        <w:rPr/>
        <w:t>що</w:t>
      </w:r>
      <w:r>
        <w:rPr>
          <w:spacing w:val="-7"/>
        </w:rPr>
        <w:t> </w:t>
      </w:r>
      <w:r>
        <w:rPr/>
        <w:t>вказує</w:t>
      </w:r>
      <w:r>
        <w:rPr>
          <w:spacing w:val="-8"/>
        </w:rPr>
        <w:t> </w:t>
      </w:r>
      <w:r>
        <w:rPr/>
        <w:t>на</w:t>
      </w:r>
      <w:r>
        <w:rPr>
          <w:spacing w:val="-2"/>
        </w:rPr>
        <w:t> </w:t>
      </w:r>
      <w:r>
        <w:rPr/>
        <w:t>той</w:t>
      </w:r>
      <w:r>
        <w:rPr>
          <w:spacing w:val="-8"/>
        </w:rPr>
        <w:t> </w:t>
      </w:r>
      <w:r>
        <w:rPr/>
        <w:t>факт</w:t>
      </w:r>
      <w:r>
        <w:rPr>
          <w:spacing w:val="-4"/>
        </w:rPr>
        <w:t> </w:t>
      </w:r>
      <w:r>
        <w:rPr/>
        <w:t>що</w:t>
      </w:r>
      <w:r>
        <w:rPr>
          <w:spacing w:val="-8"/>
        </w:rPr>
        <w:t> </w:t>
      </w:r>
      <w:r>
        <w:rPr/>
        <w:t>загибель</w:t>
      </w:r>
      <w:r>
        <w:rPr>
          <w:spacing w:val="-9"/>
        </w:rPr>
        <w:t> </w:t>
      </w:r>
      <w:r>
        <w:rPr/>
        <w:t>тварини</w:t>
      </w:r>
      <w:r>
        <w:rPr>
          <w:spacing w:val="-8"/>
        </w:rPr>
        <w:t> </w:t>
      </w:r>
      <w:r>
        <w:rPr/>
        <w:t>відбулась</w:t>
      </w:r>
      <w:r>
        <w:rPr>
          <w:spacing w:val="-11"/>
        </w:rPr>
        <w:t> </w:t>
      </w:r>
      <w:r>
        <w:rPr/>
        <w:t>на</w:t>
      </w:r>
      <w:r>
        <w:rPr>
          <w:spacing w:val="-7"/>
        </w:rPr>
        <w:t> </w:t>
      </w:r>
      <w:r>
        <w:rPr/>
        <w:t>стадії декомпенсації.</w:t>
      </w:r>
    </w:p>
    <w:p>
      <w:pPr>
        <w:pStyle w:val="BodyText"/>
        <w:ind w:right="608" w:firstLine="710"/>
      </w:pPr>
      <w:r>
        <w:rPr/>
        <w:t>Враховуючі кровотечу середнього ступеня тяжкості (до 30 %), велику площину механічного пошкодження м’яких тканин (скелетних м’язів задньої лівої кінцівки), закритого багатооскольчастого перелому стегнової кістки та внутрішньосуглобового (кульшового суглобу) перелому лівої кінцівки, депонування великої кількості крові в судинах органів черевної порожнини (селезінка, печінка, нирки), легенів, сладж-феномен еритроцитів, тромбоз судин та набряки, можна стверджувати що травматизація призвела до розвитку травматичного (дистрибутивного (нейрогенного)) шоку та загибелі тварини.</w:t>
      </w:r>
    </w:p>
    <w:p>
      <w:pPr>
        <w:pStyle w:val="BodyText"/>
        <w:spacing w:before="1"/>
        <w:ind w:right="611" w:firstLine="710"/>
      </w:pPr>
      <w:r>
        <w:rPr/>
        <w:t>Виявлені в трупі собаки на прізвисько «Ченя» ушкодження відносяться до тяжких</w:t>
      </w:r>
      <w:r>
        <w:rPr>
          <w:spacing w:val="-15"/>
        </w:rPr>
        <w:t> </w:t>
      </w:r>
      <w:r>
        <w:rPr/>
        <w:t>тілесних</w:t>
      </w:r>
      <w:r>
        <w:rPr>
          <w:spacing w:val="-15"/>
        </w:rPr>
        <w:t> </w:t>
      </w:r>
      <w:r>
        <w:rPr/>
        <w:t>ушкоджень.</w:t>
      </w:r>
      <w:r>
        <w:rPr>
          <w:spacing w:val="-9"/>
        </w:rPr>
        <w:t> </w:t>
      </w:r>
      <w:r>
        <w:rPr/>
        <w:t>Ушкодження</w:t>
      </w:r>
      <w:r>
        <w:rPr>
          <w:spacing w:val="-14"/>
        </w:rPr>
        <w:t> </w:t>
      </w:r>
      <w:r>
        <w:rPr/>
        <w:t>носили</w:t>
      </w:r>
      <w:r>
        <w:rPr>
          <w:spacing w:val="-15"/>
        </w:rPr>
        <w:t> </w:t>
      </w:r>
      <w:r>
        <w:rPr/>
        <w:t>виражений</w:t>
      </w:r>
      <w:r>
        <w:rPr>
          <w:spacing w:val="-15"/>
        </w:rPr>
        <w:t> </w:t>
      </w:r>
      <w:r>
        <w:rPr/>
        <w:t>болісний</w:t>
      </w:r>
      <w:r>
        <w:rPr>
          <w:spacing w:val="-11"/>
        </w:rPr>
        <w:t> </w:t>
      </w:r>
      <w:r>
        <w:rPr/>
        <w:t>характер і спричинили фізичні страждання тварини перед смертю. Тривалість життя в даному випадку залежить від багатьох факторів, але при відсутності ветеринарної допомоги в цей період може сягати не більше 7 діб. Відсутність своєчасного надання ветеринарної допомоги призвело до смерті</w:t>
      </w:r>
      <w:r>
        <w:rPr>
          <w:spacing w:val="-19"/>
        </w:rPr>
        <w:t> </w:t>
      </w:r>
      <w:r>
        <w:rPr/>
        <w:t>тварини.</w:t>
      </w:r>
    </w:p>
    <w:p>
      <w:pPr>
        <w:pStyle w:val="BodyText"/>
        <w:ind w:right="609" w:firstLine="710"/>
      </w:pPr>
      <w:r>
        <w:rPr/>
        <w:t>Результати проведених досліджень свідчать, що під час проведення судово-ветеринарних досліджень трупів тварин, смерть яких настала від жорстокого поводження з ними, необхідно враховувати ступінь ушкодження органів та тканин організму, тривалість життя і відповідно тривалість та</w:t>
      </w:r>
      <w:r>
        <w:rPr>
          <w:spacing w:val="-49"/>
        </w:rPr>
        <w:t> </w:t>
      </w:r>
      <w:r>
        <w:rPr>
          <w:spacing w:val="2"/>
        </w:rPr>
        <w:t>ступінь</w:t>
      </w:r>
    </w:p>
    <w:p>
      <w:pPr>
        <w:spacing w:after="0"/>
        <w:sectPr>
          <w:pgSz w:w="11910" w:h="16840"/>
          <w:pgMar w:header="713" w:footer="778" w:top="1140" w:bottom="960" w:left="940" w:right="520"/>
        </w:sectPr>
      </w:pPr>
    </w:p>
    <w:p>
      <w:pPr>
        <w:pStyle w:val="BodyText"/>
        <w:spacing w:before="92"/>
        <w:ind w:right="620"/>
      </w:pPr>
      <w:r>
        <w:rPr/>
        <w:t>страждання тварини, крім того, можливість і своєчасність надання ветеринарної допомоги постраждалій тварині.</w:t>
      </w:r>
    </w:p>
    <w:p>
      <w:pPr>
        <w:pStyle w:val="BodyText"/>
        <w:ind w:right="610" w:firstLine="710"/>
      </w:pPr>
      <w:r>
        <w:rPr/>
        <w:t>В обов’язковому порядку проводити патоморфологічне дослідження (патологоанатомічне та гістологічне) з урахуванням таких ознак як: ураження органів,</w:t>
      </w:r>
      <w:r>
        <w:rPr>
          <w:spacing w:val="-17"/>
        </w:rPr>
        <w:t> </w:t>
      </w:r>
      <w:r>
        <w:rPr/>
        <w:t>що</w:t>
      </w:r>
      <w:r>
        <w:rPr>
          <w:spacing w:val="-20"/>
        </w:rPr>
        <w:t> </w:t>
      </w:r>
      <w:r>
        <w:rPr/>
        <w:t>відповідають</w:t>
      </w:r>
      <w:r>
        <w:rPr>
          <w:spacing w:val="-21"/>
        </w:rPr>
        <w:t> </w:t>
      </w:r>
      <w:r>
        <w:rPr/>
        <w:t>за</w:t>
      </w:r>
      <w:r>
        <w:rPr>
          <w:spacing w:val="-18"/>
        </w:rPr>
        <w:t> </w:t>
      </w:r>
      <w:r>
        <w:rPr/>
        <w:t>життєво</w:t>
      </w:r>
      <w:r>
        <w:rPr>
          <w:spacing w:val="-19"/>
        </w:rPr>
        <w:t> </w:t>
      </w:r>
      <w:r>
        <w:rPr/>
        <w:t>важливі</w:t>
      </w:r>
      <w:r>
        <w:rPr>
          <w:spacing w:val="-24"/>
        </w:rPr>
        <w:t> </w:t>
      </w:r>
      <w:r>
        <w:rPr/>
        <w:t>функції</w:t>
      </w:r>
      <w:r>
        <w:rPr>
          <w:spacing w:val="-26"/>
        </w:rPr>
        <w:t> </w:t>
      </w:r>
      <w:r>
        <w:rPr/>
        <w:t>організму;</w:t>
      </w:r>
      <w:r>
        <w:rPr>
          <w:spacing w:val="-19"/>
        </w:rPr>
        <w:t> </w:t>
      </w:r>
      <w:r>
        <w:rPr/>
        <w:t>площу</w:t>
      </w:r>
      <w:r>
        <w:rPr>
          <w:spacing w:val="-20"/>
        </w:rPr>
        <w:t> </w:t>
      </w:r>
      <w:r>
        <w:rPr/>
        <w:t>і</w:t>
      </w:r>
      <w:r>
        <w:rPr>
          <w:spacing w:val="-24"/>
        </w:rPr>
        <w:t> </w:t>
      </w:r>
      <w:r>
        <w:rPr/>
        <w:t>тяжкість ушкоджень інших органів і тканин; ступінь кровонаповнення судин паренхіматозних органів; стан крові в судинах (з виключенням синдрому диссемінованого внутришньосудинного згортання крові); набряк сполучної тканини навколо ділянки ушкодження в ділянці віддаленої від осередку ушкодження і набряк сполучної тканини паренхіматозних</w:t>
      </w:r>
      <w:r>
        <w:rPr>
          <w:spacing w:val="-10"/>
        </w:rPr>
        <w:t> </w:t>
      </w:r>
      <w:r>
        <w:rPr/>
        <w:t>органів.</w:t>
      </w:r>
    </w:p>
    <w:p>
      <w:pPr>
        <w:pStyle w:val="BodyText"/>
        <w:spacing w:before="2"/>
        <w:ind w:right="615" w:firstLine="710"/>
      </w:pPr>
      <w:r>
        <w:rPr>
          <w:b/>
        </w:rPr>
        <w:t>Висновки. </w:t>
      </w:r>
      <w:r>
        <w:rPr/>
        <w:t>За матеріалами судових справ та результатами проведених судово-ветеринарних</w:t>
      </w:r>
      <w:r>
        <w:rPr>
          <w:spacing w:val="-14"/>
        </w:rPr>
        <w:t> </w:t>
      </w:r>
      <w:r>
        <w:rPr/>
        <w:t>досліджень</w:t>
      </w:r>
      <w:r>
        <w:rPr>
          <w:spacing w:val="-12"/>
        </w:rPr>
        <w:t> </w:t>
      </w:r>
      <w:r>
        <w:rPr/>
        <w:t>трупів</w:t>
      </w:r>
      <w:r>
        <w:rPr>
          <w:spacing w:val="-11"/>
        </w:rPr>
        <w:t> </w:t>
      </w:r>
      <w:r>
        <w:rPr/>
        <w:t>тварин</w:t>
      </w:r>
      <w:r>
        <w:rPr>
          <w:spacing w:val="-9"/>
        </w:rPr>
        <w:t> </w:t>
      </w:r>
      <w:r>
        <w:rPr/>
        <w:t>з</w:t>
      </w:r>
      <w:r>
        <w:rPr>
          <w:spacing w:val="-9"/>
        </w:rPr>
        <w:t> </w:t>
      </w:r>
      <w:r>
        <w:rPr/>
        <w:t>ознаками</w:t>
      </w:r>
      <w:r>
        <w:rPr>
          <w:spacing w:val="-9"/>
        </w:rPr>
        <w:t> </w:t>
      </w:r>
      <w:r>
        <w:rPr/>
        <w:t>тілесних</w:t>
      </w:r>
      <w:r>
        <w:rPr>
          <w:spacing w:val="-9"/>
        </w:rPr>
        <w:t> </w:t>
      </w:r>
      <w:r>
        <w:rPr/>
        <w:t>ушкоджень, в</w:t>
      </w:r>
      <w:r>
        <w:rPr>
          <w:spacing w:val="-14"/>
        </w:rPr>
        <w:t> </w:t>
      </w:r>
      <w:r>
        <w:rPr/>
        <w:t>кожному</w:t>
      </w:r>
      <w:r>
        <w:rPr>
          <w:spacing w:val="-17"/>
        </w:rPr>
        <w:t> </w:t>
      </w:r>
      <w:r>
        <w:rPr/>
        <w:t>окремому</w:t>
      </w:r>
      <w:r>
        <w:rPr>
          <w:spacing w:val="-16"/>
        </w:rPr>
        <w:t> </w:t>
      </w:r>
      <w:r>
        <w:rPr/>
        <w:t>випадку</w:t>
      </w:r>
      <w:r>
        <w:rPr>
          <w:spacing w:val="-17"/>
        </w:rPr>
        <w:t> </w:t>
      </w:r>
      <w:r>
        <w:rPr/>
        <w:t>було</w:t>
      </w:r>
      <w:r>
        <w:rPr>
          <w:spacing w:val="-11"/>
        </w:rPr>
        <w:t> </w:t>
      </w:r>
      <w:r>
        <w:rPr/>
        <w:t>визначено,</w:t>
      </w:r>
      <w:r>
        <w:rPr>
          <w:spacing w:val="-10"/>
        </w:rPr>
        <w:t> </w:t>
      </w:r>
      <w:r>
        <w:rPr/>
        <w:t>до</w:t>
      </w:r>
      <w:r>
        <w:rPr>
          <w:spacing w:val="-12"/>
        </w:rPr>
        <w:t> </w:t>
      </w:r>
      <w:r>
        <w:rPr/>
        <w:t>розвитку</w:t>
      </w:r>
      <w:r>
        <w:rPr>
          <w:spacing w:val="-16"/>
        </w:rPr>
        <w:t> </w:t>
      </w:r>
      <w:r>
        <w:rPr/>
        <w:t>якого</w:t>
      </w:r>
      <w:r>
        <w:rPr>
          <w:spacing w:val="-12"/>
        </w:rPr>
        <w:t> </w:t>
      </w:r>
      <w:r>
        <w:rPr/>
        <w:t>шокового</w:t>
      </w:r>
      <w:r>
        <w:rPr>
          <w:spacing w:val="-12"/>
        </w:rPr>
        <w:t> </w:t>
      </w:r>
      <w:r>
        <w:rPr/>
        <w:t>стану призвела та чи інша механічна</w:t>
      </w:r>
      <w:r>
        <w:rPr>
          <w:spacing w:val="11"/>
        </w:rPr>
        <w:t> </w:t>
      </w:r>
      <w:r>
        <w:rPr/>
        <w:t>травма.</w:t>
      </w:r>
    </w:p>
    <w:p>
      <w:pPr>
        <w:pStyle w:val="ListParagraph"/>
        <w:numPr>
          <w:ilvl w:val="0"/>
          <w:numId w:val="3"/>
        </w:numPr>
        <w:tabs>
          <w:tab w:pos="1321" w:val="left" w:leader="none"/>
        </w:tabs>
        <w:spacing w:line="240" w:lineRule="auto" w:before="0" w:after="0"/>
        <w:ind w:left="193" w:right="615" w:firstLine="710"/>
        <w:jc w:val="both"/>
        <w:rPr>
          <w:sz w:val="28"/>
        </w:rPr>
      </w:pPr>
      <w:r>
        <w:rPr>
          <w:sz w:val="28"/>
        </w:rPr>
        <w:t>Термін «травматичний шок» є узагальненням механізмів реакції організму тварин на ті чи інші пошкодження. Враховуючи різноманітність класифікацій видів шоку, можна з стверджувати, що залежно </w:t>
      </w:r>
      <w:r>
        <w:rPr>
          <w:spacing w:val="-3"/>
          <w:sz w:val="28"/>
        </w:rPr>
        <w:t>від </w:t>
      </w:r>
      <w:r>
        <w:rPr>
          <w:sz w:val="28"/>
        </w:rPr>
        <w:t>виду травми патогенез,</w:t>
      </w:r>
      <w:r>
        <w:rPr>
          <w:spacing w:val="-13"/>
          <w:sz w:val="28"/>
        </w:rPr>
        <w:t> </w:t>
      </w:r>
      <w:r>
        <w:rPr>
          <w:sz w:val="28"/>
        </w:rPr>
        <w:t>а</w:t>
      </w:r>
      <w:r>
        <w:rPr>
          <w:spacing w:val="-14"/>
          <w:sz w:val="28"/>
        </w:rPr>
        <w:t> </w:t>
      </w:r>
      <w:r>
        <w:rPr>
          <w:sz w:val="28"/>
        </w:rPr>
        <w:t>відповідно</w:t>
      </w:r>
      <w:r>
        <w:rPr>
          <w:spacing w:val="-10"/>
          <w:sz w:val="28"/>
        </w:rPr>
        <w:t> </w:t>
      </w:r>
      <w:r>
        <w:rPr>
          <w:sz w:val="28"/>
        </w:rPr>
        <w:t>і</w:t>
      </w:r>
      <w:r>
        <w:rPr>
          <w:spacing w:val="-19"/>
          <w:sz w:val="28"/>
        </w:rPr>
        <w:t> </w:t>
      </w:r>
      <w:r>
        <w:rPr>
          <w:sz w:val="28"/>
        </w:rPr>
        <w:t>патоморфологічні</w:t>
      </w:r>
      <w:r>
        <w:rPr>
          <w:spacing w:val="-20"/>
          <w:sz w:val="28"/>
        </w:rPr>
        <w:t> </w:t>
      </w:r>
      <w:r>
        <w:rPr>
          <w:sz w:val="28"/>
        </w:rPr>
        <w:t>зміни</w:t>
      </w:r>
      <w:r>
        <w:rPr>
          <w:spacing w:val="-15"/>
          <w:sz w:val="28"/>
        </w:rPr>
        <w:t> </w:t>
      </w:r>
      <w:r>
        <w:rPr>
          <w:sz w:val="28"/>
        </w:rPr>
        <w:t>за</w:t>
      </w:r>
      <w:r>
        <w:rPr>
          <w:spacing w:val="-14"/>
          <w:sz w:val="28"/>
        </w:rPr>
        <w:t> </w:t>
      </w:r>
      <w:r>
        <w:rPr>
          <w:sz w:val="28"/>
        </w:rPr>
        <w:t>шокового</w:t>
      </w:r>
      <w:r>
        <w:rPr>
          <w:spacing w:val="-14"/>
          <w:sz w:val="28"/>
        </w:rPr>
        <w:t> </w:t>
      </w:r>
      <w:r>
        <w:rPr>
          <w:sz w:val="28"/>
        </w:rPr>
        <w:t>стану,</w:t>
      </w:r>
      <w:r>
        <w:rPr>
          <w:spacing w:val="-13"/>
          <w:sz w:val="28"/>
        </w:rPr>
        <w:t> </w:t>
      </w:r>
      <w:r>
        <w:rPr>
          <w:sz w:val="28"/>
        </w:rPr>
        <w:t>будуть</w:t>
      </w:r>
      <w:r>
        <w:rPr>
          <w:spacing w:val="-17"/>
          <w:sz w:val="28"/>
        </w:rPr>
        <w:t> </w:t>
      </w:r>
      <w:r>
        <w:rPr>
          <w:sz w:val="28"/>
        </w:rPr>
        <w:t>мати свої</w:t>
      </w:r>
      <w:r>
        <w:rPr>
          <w:spacing w:val="-5"/>
          <w:sz w:val="28"/>
        </w:rPr>
        <w:t> </w:t>
      </w:r>
      <w:r>
        <w:rPr>
          <w:sz w:val="28"/>
        </w:rPr>
        <w:t>особливості.</w:t>
      </w:r>
    </w:p>
    <w:p>
      <w:pPr>
        <w:pStyle w:val="ListParagraph"/>
        <w:numPr>
          <w:ilvl w:val="0"/>
          <w:numId w:val="3"/>
        </w:numPr>
        <w:tabs>
          <w:tab w:pos="1178" w:val="left" w:leader="none"/>
        </w:tabs>
        <w:spacing w:line="240" w:lineRule="auto" w:before="2" w:after="0"/>
        <w:ind w:left="193" w:right="610" w:firstLine="710"/>
        <w:jc w:val="both"/>
        <w:rPr>
          <w:sz w:val="28"/>
        </w:rPr>
      </w:pPr>
      <w:r>
        <w:rPr>
          <w:sz w:val="28"/>
        </w:rPr>
        <w:t>Дослідженням</w:t>
      </w:r>
      <w:r>
        <w:rPr>
          <w:spacing w:val="-15"/>
          <w:sz w:val="28"/>
        </w:rPr>
        <w:t> </w:t>
      </w:r>
      <w:r>
        <w:rPr>
          <w:sz w:val="28"/>
        </w:rPr>
        <w:t>трупа</w:t>
      </w:r>
      <w:r>
        <w:rPr>
          <w:spacing w:val="-15"/>
          <w:sz w:val="28"/>
        </w:rPr>
        <w:t> </w:t>
      </w:r>
      <w:r>
        <w:rPr>
          <w:sz w:val="28"/>
        </w:rPr>
        <w:t>собаки</w:t>
      </w:r>
      <w:r>
        <w:rPr>
          <w:spacing w:val="-15"/>
          <w:sz w:val="28"/>
        </w:rPr>
        <w:t> </w:t>
      </w:r>
      <w:r>
        <w:rPr>
          <w:sz w:val="28"/>
        </w:rPr>
        <w:t>на</w:t>
      </w:r>
      <w:r>
        <w:rPr>
          <w:spacing w:val="-15"/>
          <w:sz w:val="28"/>
        </w:rPr>
        <w:t> </w:t>
      </w:r>
      <w:r>
        <w:rPr>
          <w:sz w:val="28"/>
        </w:rPr>
        <w:t>прізвисько</w:t>
      </w:r>
      <w:r>
        <w:rPr>
          <w:spacing w:val="-15"/>
          <w:sz w:val="28"/>
        </w:rPr>
        <w:t> </w:t>
      </w:r>
      <w:r>
        <w:rPr>
          <w:sz w:val="28"/>
        </w:rPr>
        <w:t>«Жужа»</w:t>
      </w:r>
      <w:r>
        <w:rPr>
          <w:spacing w:val="-20"/>
          <w:sz w:val="28"/>
        </w:rPr>
        <w:t> </w:t>
      </w:r>
      <w:r>
        <w:rPr>
          <w:sz w:val="28"/>
        </w:rPr>
        <w:t>внаслідок</w:t>
      </w:r>
      <w:r>
        <w:rPr>
          <w:spacing w:val="-16"/>
          <w:sz w:val="28"/>
        </w:rPr>
        <w:t> </w:t>
      </w:r>
      <w:r>
        <w:rPr>
          <w:sz w:val="28"/>
        </w:rPr>
        <w:t>механічної (колото-різаної) травми (проникаюче у грудну порожнину поранення з ушкодженням легень, бронхів і трахеї з розвитком блискавичної масивної (втрати більше 50 % крові впродовж 2–3 хвилин) кровотечі у плевральну порожнину встановлено, </w:t>
      </w:r>
      <w:r>
        <w:rPr>
          <w:spacing w:val="2"/>
          <w:sz w:val="28"/>
        </w:rPr>
        <w:t>що </w:t>
      </w:r>
      <w:r>
        <w:rPr>
          <w:sz w:val="28"/>
        </w:rPr>
        <w:t>загинула тварина внаслідок гіповолемічного (геморагічного) шоку. </w:t>
      </w:r>
      <w:r>
        <w:rPr>
          <w:spacing w:val="-3"/>
          <w:sz w:val="28"/>
        </w:rPr>
        <w:t>На </w:t>
      </w:r>
      <w:r>
        <w:rPr>
          <w:sz w:val="28"/>
        </w:rPr>
        <w:t>користь вище зазначеного свідчить відсутність ознак коагуляції крові та тромбоутворення кровоносних судин ділянки механічного пошкодження, відсутність набряку тканин (шкіри, підшкірної клітковини та скелетних м’язів), розташованих навколо осередку пошкодження, інтерстицію легень, нирок, печінки, відсутність морфологічних ознак синдрому диссемінованого внутришньосудинного згортання</w:t>
      </w:r>
      <w:r>
        <w:rPr>
          <w:spacing w:val="1"/>
          <w:sz w:val="28"/>
        </w:rPr>
        <w:t> </w:t>
      </w:r>
      <w:r>
        <w:rPr>
          <w:sz w:val="28"/>
        </w:rPr>
        <w:t>крові.</w:t>
      </w:r>
    </w:p>
    <w:p>
      <w:pPr>
        <w:pStyle w:val="ListParagraph"/>
        <w:numPr>
          <w:ilvl w:val="0"/>
          <w:numId w:val="3"/>
        </w:numPr>
        <w:tabs>
          <w:tab w:pos="1196" w:val="left" w:leader="none"/>
        </w:tabs>
        <w:spacing w:line="240" w:lineRule="auto" w:before="0" w:after="0"/>
        <w:ind w:left="193" w:right="607" w:firstLine="710"/>
        <w:jc w:val="both"/>
        <w:rPr>
          <w:sz w:val="28"/>
        </w:rPr>
      </w:pPr>
      <w:r>
        <w:rPr>
          <w:sz w:val="28"/>
        </w:rPr>
        <w:t>Дослідженням трупа собаки на прізвисько «Джессіка» встановлено, що тупа механічна травма (травму нанесено від удару футбольним м’ячем) ділянки живота призвела до важкої (до 50 % втрати крові, що тривала впродовж </w:t>
      </w:r>
      <w:r>
        <w:rPr>
          <w:spacing w:val="3"/>
          <w:sz w:val="28"/>
        </w:rPr>
        <w:t>3-х </w:t>
      </w:r>
      <w:r>
        <w:rPr>
          <w:sz w:val="28"/>
        </w:rPr>
        <w:t>годин)</w:t>
      </w:r>
      <w:r>
        <w:rPr>
          <w:spacing w:val="-16"/>
          <w:sz w:val="28"/>
        </w:rPr>
        <w:t> </w:t>
      </w:r>
      <w:r>
        <w:rPr>
          <w:sz w:val="28"/>
        </w:rPr>
        <w:t>паренхіматозної</w:t>
      </w:r>
      <w:r>
        <w:rPr>
          <w:spacing w:val="-15"/>
          <w:sz w:val="28"/>
        </w:rPr>
        <w:t> </w:t>
      </w:r>
      <w:r>
        <w:rPr>
          <w:sz w:val="28"/>
        </w:rPr>
        <w:t>кровотечі</w:t>
      </w:r>
      <w:r>
        <w:rPr>
          <w:spacing w:val="-15"/>
          <w:sz w:val="28"/>
        </w:rPr>
        <w:t> </w:t>
      </w:r>
      <w:r>
        <w:rPr>
          <w:sz w:val="28"/>
        </w:rPr>
        <w:t>(із</w:t>
      </w:r>
      <w:r>
        <w:rPr>
          <w:spacing w:val="-14"/>
          <w:sz w:val="28"/>
        </w:rPr>
        <w:t> </w:t>
      </w:r>
      <w:r>
        <w:rPr>
          <w:sz w:val="28"/>
        </w:rPr>
        <w:t>розвитком</w:t>
      </w:r>
      <w:r>
        <w:rPr>
          <w:spacing w:val="-8"/>
          <w:sz w:val="28"/>
        </w:rPr>
        <w:t> </w:t>
      </w:r>
      <w:r>
        <w:rPr>
          <w:sz w:val="28"/>
        </w:rPr>
        <w:t>гіповолемічного</w:t>
      </w:r>
      <w:r>
        <w:rPr>
          <w:spacing w:val="-14"/>
          <w:sz w:val="28"/>
        </w:rPr>
        <w:t> </w:t>
      </w:r>
      <w:r>
        <w:rPr>
          <w:sz w:val="28"/>
        </w:rPr>
        <w:t>(геморагічного) шоку) в наслідок травматизації печінки з порушенням цілосності капсули і розриву паренхіми. Встановлено інфільтрацію еритроцитами тканини печінки навколо ділянки пошкодження. Характерними були набряки, порушення гемодинаміки мікроциркуляторного русла нирок, печінки, легенів з розвитком синдрому диссемінованого внутрішньосудинного згортання крові </w:t>
      </w:r>
      <w:r>
        <w:rPr>
          <w:spacing w:val="2"/>
          <w:sz w:val="28"/>
        </w:rPr>
        <w:t>(ДВС- </w:t>
      </w:r>
      <w:r>
        <w:rPr>
          <w:sz w:val="28"/>
        </w:rPr>
        <w:t>синдром).</w:t>
      </w:r>
    </w:p>
    <w:p>
      <w:pPr>
        <w:pStyle w:val="ListParagraph"/>
        <w:numPr>
          <w:ilvl w:val="0"/>
          <w:numId w:val="3"/>
        </w:numPr>
        <w:tabs>
          <w:tab w:pos="1269" w:val="left" w:leader="none"/>
        </w:tabs>
        <w:spacing w:line="240" w:lineRule="auto" w:before="0" w:after="0"/>
        <w:ind w:left="193" w:right="619" w:firstLine="710"/>
        <w:jc w:val="both"/>
        <w:rPr>
          <w:sz w:val="28"/>
        </w:rPr>
      </w:pPr>
      <w:r>
        <w:rPr>
          <w:sz w:val="28"/>
        </w:rPr>
        <w:t>Враховуючи невелику кровотечу, але велику площину механічного пошкодження м’яких тканин стегна лівої кінцівки та кісток (закритий багатооскольчастий перелом стегнової кістки; перелом внутрішньо суглобовий (кульшового суглобу лівої кінцівки) собаки на прізвисько «Ченя», за</w:t>
      </w:r>
      <w:r>
        <w:rPr>
          <w:spacing w:val="-14"/>
          <w:sz w:val="28"/>
        </w:rPr>
        <w:t> </w:t>
      </w:r>
      <w:r>
        <w:rPr>
          <w:sz w:val="28"/>
        </w:rPr>
        <w:t>механічної</w:t>
      </w:r>
    </w:p>
    <w:p>
      <w:pPr>
        <w:spacing w:after="0" w:line="240" w:lineRule="auto"/>
        <w:jc w:val="both"/>
        <w:rPr>
          <w:sz w:val="28"/>
        </w:rPr>
        <w:sectPr>
          <w:pgSz w:w="11910" w:h="16840"/>
          <w:pgMar w:header="713" w:footer="778" w:top="1140" w:bottom="960" w:left="940" w:right="520"/>
        </w:sectPr>
      </w:pPr>
    </w:p>
    <w:p>
      <w:pPr>
        <w:pStyle w:val="BodyText"/>
        <w:spacing w:before="92"/>
        <w:ind w:right="614"/>
      </w:pPr>
      <w:r>
        <w:rPr/>
        <w:t>травми внаслідок наїзду автомобіля, можна зробити припущення, що тварина загинула</w:t>
      </w:r>
      <w:r>
        <w:rPr>
          <w:spacing w:val="-20"/>
        </w:rPr>
        <w:t> </w:t>
      </w:r>
      <w:r>
        <w:rPr/>
        <w:t>в</w:t>
      </w:r>
      <w:r>
        <w:rPr>
          <w:spacing w:val="-23"/>
        </w:rPr>
        <w:t> </w:t>
      </w:r>
      <w:r>
        <w:rPr/>
        <w:t>наслідок</w:t>
      </w:r>
      <w:r>
        <w:rPr>
          <w:spacing w:val="-22"/>
        </w:rPr>
        <w:t> </w:t>
      </w:r>
      <w:r>
        <w:rPr/>
        <w:t>дистрибутивного</w:t>
      </w:r>
      <w:r>
        <w:rPr>
          <w:spacing w:val="-21"/>
        </w:rPr>
        <w:t> </w:t>
      </w:r>
      <w:r>
        <w:rPr/>
        <w:t>(нейрогенного)</w:t>
      </w:r>
      <w:r>
        <w:rPr>
          <w:spacing w:val="-21"/>
        </w:rPr>
        <w:t> </w:t>
      </w:r>
      <w:r>
        <w:rPr>
          <w:spacing w:val="2"/>
        </w:rPr>
        <w:t>шоку,</w:t>
      </w:r>
      <w:r>
        <w:rPr>
          <w:spacing w:val="-19"/>
        </w:rPr>
        <w:t> </w:t>
      </w:r>
      <w:r>
        <w:rPr/>
        <w:t>що</w:t>
      </w:r>
      <w:r>
        <w:rPr>
          <w:spacing w:val="-21"/>
        </w:rPr>
        <w:t> </w:t>
      </w:r>
      <w:r>
        <w:rPr/>
        <w:t>супроводжувався середньою (до 30 %) крововтратою. Підтвердженням цього є такі ознаки </w:t>
      </w:r>
      <w:r>
        <w:rPr>
          <w:spacing w:val="3"/>
        </w:rPr>
        <w:t>як: </w:t>
      </w:r>
      <w:r>
        <w:rPr/>
        <w:t>депонування великої кількості крові в судинах органів черевної порожнини (селезінка, печінка, нирки), легенів, «синдром шокових легенів», «синдром шокової нирки», стаз, сладж феномен, синдром диссемінованого внутришньосудинного</w:t>
      </w:r>
      <w:r>
        <w:rPr>
          <w:spacing w:val="-8"/>
        </w:rPr>
        <w:t> </w:t>
      </w:r>
      <w:r>
        <w:rPr/>
        <w:t>згортання</w:t>
      </w:r>
      <w:r>
        <w:rPr>
          <w:spacing w:val="-8"/>
        </w:rPr>
        <w:t> </w:t>
      </w:r>
      <w:r>
        <w:rPr/>
        <w:t>крові</w:t>
      </w:r>
      <w:r>
        <w:rPr>
          <w:spacing w:val="-9"/>
        </w:rPr>
        <w:t> </w:t>
      </w:r>
      <w:r>
        <w:rPr/>
        <w:t>(мікротромби</w:t>
      </w:r>
      <w:r>
        <w:rPr>
          <w:spacing w:val="-8"/>
        </w:rPr>
        <w:t> </w:t>
      </w:r>
      <w:r>
        <w:rPr/>
        <w:t>в</w:t>
      </w:r>
      <w:r>
        <w:rPr>
          <w:spacing w:val="-10"/>
        </w:rPr>
        <w:t> </w:t>
      </w:r>
      <w:r>
        <w:rPr/>
        <w:t>капілярах</w:t>
      </w:r>
      <w:r>
        <w:rPr>
          <w:spacing w:val="-8"/>
        </w:rPr>
        <w:t> </w:t>
      </w:r>
      <w:r>
        <w:rPr/>
        <w:t>різних</w:t>
      </w:r>
      <w:r>
        <w:rPr>
          <w:spacing w:val="-12"/>
        </w:rPr>
        <w:t> </w:t>
      </w:r>
      <w:r>
        <w:rPr/>
        <w:t>органів, геморагії).</w:t>
      </w:r>
    </w:p>
    <w:p>
      <w:pPr>
        <w:pStyle w:val="BodyText"/>
        <w:spacing w:before="6"/>
        <w:ind w:left="0"/>
        <w:jc w:val="left"/>
      </w:pPr>
    </w:p>
    <w:p>
      <w:pPr>
        <w:pStyle w:val="Heading1"/>
        <w:spacing w:line="320" w:lineRule="exact"/>
        <w:ind w:left="187"/>
      </w:pPr>
      <w:r>
        <w:rPr/>
        <w:t>ЛІТЕРАТУРА</w:t>
      </w:r>
    </w:p>
    <w:p>
      <w:pPr>
        <w:pStyle w:val="ListParagraph"/>
        <w:numPr>
          <w:ilvl w:val="0"/>
          <w:numId w:val="4"/>
        </w:numPr>
        <w:tabs>
          <w:tab w:pos="1302" w:val="left" w:leader="none"/>
        </w:tabs>
        <w:spacing w:line="240" w:lineRule="auto" w:before="0" w:after="0"/>
        <w:ind w:left="193" w:right="608" w:firstLine="710"/>
        <w:jc w:val="both"/>
        <w:rPr>
          <w:sz w:val="28"/>
        </w:rPr>
      </w:pPr>
      <w:r>
        <w:rPr>
          <w:sz w:val="28"/>
        </w:rPr>
        <w:t>Европейская конвенция по защите домашних животных. </w:t>
      </w:r>
      <w:r>
        <w:rPr>
          <w:i/>
          <w:sz w:val="28"/>
        </w:rPr>
        <w:t>Сучасна </w:t>
      </w:r>
      <w:r>
        <w:rPr>
          <w:i/>
          <w:sz w:val="28"/>
        </w:rPr>
        <w:t>ветеринарна медицина</w:t>
      </w:r>
      <w:r>
        <w:rPr>
          <w:sz w:val="28"/>
        </w:rPr>
        <w:t>. 2003. С.</w:t>
      </w:r>
      <w:r>
        <w:rPr>
          <w:spacing w:val="11"/>
          <w:sz w:val="28"/>
        </w:rPr>
        <w:t> </w:t>
      </w:r>
      <w:r>
        <w:rPr>
          <w:sz w:val="28"/>
        </w:rPr>
        <w:t>149</w:t>
      </w:r>
      <w:r>
        <w:rPr>
          <w:rFonts w:ascii="Symbol" w:hAnsi="Symbol"/>
          <w:sz w:val="28"/>
        </w:rPr>
        <w:t></w:t>
      </w:r>
      <w:r>
        <w:rPr>
          <w:sz w:val="28"/>
        </w:rPr>
        <w:t>154.</w:t>
      </w:r>
    </w:p>
    <w:p>
      <w:pPr>
        <w:pStyle w:val="ListParagraph"/>
        <w:numPr>
          <w:ilvl w:val="0"/>
          <w:numId w:val="4"/>
        </w:numPr>
        <w:tabs>
          <w:tab w:pos="1187" w:val="left" w:leader="none"/>
        </w:tabs>
        <w:spacing w:line="240" w:lineRule="auto" w:before="0" w:after="0"/>
        <w:ind w:left="193" w:right="610" w:firstLine="710"/>
        <w:jc w:val="both"/>
        <w:rPr>
          <w:sz w:val="28"/>
        </w:rPr>
      </w:pPr>
      <w:r>
        <w:rPr>
          <w:sz w:val="28"/>
        </w:rPr>
        <w:t>Яценко І. В., Толстова О. І. Нормативно-правове регулювання в Україні щодо гуманного поводження з тваринами. </w:t>
      </w:r>
      <w:r>
        <w:rPr>
          <w:i/>
          <w:sz w:val="28"/>
        </w:rPr>
        <w:t>Проблеми зооінженерії та </w:t>
      </w:r>
      <w:r>
        <w:rPr>
          <w:i/>
          <w:sz w:val="28"/>
        </w:rPr>
        <w:t>ветеринарної медицини: </w:t>
      </w:r>
      <w:r>
        <w:rPr>
          <w:sz w:val="28"/>
        </w:rPr>
        <w:t>Зб. наук. праць Харківської державної зооветеринарної академії. Х.: РВВ ХДЗВА, 2008. Вип. 16 (41), Ч. 2. С.</w:t>
      </w:r>
      <w:r>
        <w:rPr>
          <w:spacing w:val="20"/>
          <w:sz w:val="28"/>
        </w:rPr>
        <w:t> </w:t>
      </w:r>
      <w:r>
        <w:rPr>
          <w:sz w:val="28"/>
        </w:rPr>
        <w:t>203</w:t>
      </w:r>
      <w:r>
        <w:rPr>
          <w:rFonts w:ascii="Symbol" w:hAnsi="Symbol"/>
          <w:sz w:val="28"/>
        </w:rPr>
        <w:t></w:t>
      </w:r>
      <w:r>
        <w:rPr>
          <w:sz w:val="28"/>
        </w:rPr>
        <w:t>209.</w:t>
      </w:r>
    </w:p>
    <w:p>
      <w:pPr>
        <w:pStyle w:val="ListParagraph"/>
        <w:numPr>
          <w:ilvl w:val="0"/>
          <w:numId w:val="4"/>
        </w:numPr>
        <w:tabs>
          <w:tab w:pos="1187" w:val="left" w:leader="none"/>
        </w:tabs>
        <w:spacing w:line="322" w:lineRule="exact" w:before="0" w:after="0"/>
        <w:ind w:left="1186" w:right="0" w:hanging="284"/>
        <w:jc w:val="both"/>
        <w:rPr>
          <w:sz w:val="28"/>
        </w:rPr>
      </w:pPr>
      <w:r>
        <w:rPr>
          <w:sz w:val="28"/>
        </w:rPr>
        <w:t>Конституція України. Луганськ: «Тандем-плюс», 2012. 46</w:t>
      </w:r>
      <w:r>
        <w:rPr>
          <w:spacing w:val="9"/>
          <w:sz w:val="28"/>
        </w:rPr>
        <w:t> </w:t>
      </w:r>
      <w:r>
        <w:rPr>
          <w:sz w:val="28"/>
        </w:rPr>
        <w:t>с.</w:t>
      </w:r>
    </w:p>
    <w:p>
      <w:pPr>
        <w:pStyle w:val="ListParagraph"/>
        <w:numPr>
          <w:ilvl w:val="0"/>
          <w:numId w:val="4"/>
        </w:numPr>
        <w:tabs>
          <w:tab w:pos="1320" w:val="left" w:leader="none"/>
          <w:tab w:pos="1321" w:val="left" w:leader="none"/>
          <w:tab w:pos="2001" w:val="left" w:leader="none"/>
          <w:tab w:pos="2975" w:val="left" w:leader="none"/>
          <w:tab w:pos="4001" w:val="left" w:leader="none"/>
          <w:tab w:pos="4557" w:val="left" w:leader="none"/>
          <w:tab w:pos="6155" w:val="left" w:leader="none"/>
          <w:tab w:pos="7882" w:val="left" w:leader="none"/>
          <w:tab w:pos="8779" w:val="left" w:leader="none"/>
        </w:tabs>
        <w:spacing w:line="240" w:lineRule="auto" w:before="0" w:after="0"/>
        <w:ind w:left="193" w:right="618" w:firstLine="710"/>
        <w:jc w:val="left"/>
        <w:rPr>
          <w:sz w:val="28"/>
        </w:rPr>
      </w:pPr>
      <w:r>
        <w:rPr>
          <w:sz w:val="28"/>
        </w:rPr>
        <w:t>Про</w:t>
        <w:tab/>
        <w:t>захист</w:t>
        <w:tab/>
        <w:t>тварин</w:t>
        <w:tab/>
        <w:t>від</w:t>
        <w:tab/>
        <w:t>жорстокого</w:t>
        <w:tab/>
        <w:t>поводження:</w:t>
        <w:tab/>
        <w:t>Закон</w:t>
        <w:tab/>
      </w:r>
      <w:r>
        <w:rPr>
          <w:spacing w:val="-3"/>
          <w:sz w:val="28"/>
        </w:rPr>
        <w:t>України, </w:t>
      </w:r>
      <w:r>
        <w:rPr>
          <w:sz w:val="28"/>
        </w:rPr>
        <w:t>прийнятий 21.02.2006 р., №</w:t>
      </w:r>
      <w:r>
        <w:rPr>
          <w:spacing w:val="4"/>
          <w:sz w:val="28"/>
        </w:rPr>
        <w:t> </w:t>
      </w:r>
      <w:r>
        <w:rPr>
          <w:sz w:val="28"/>
        </w:rPr>
        <w:t>3447-IV.</w:t>
      </w:r>
    </w:p>
    <w:p>
      <w:pPr>
        <w:pStyle w:val="ListParagraph"/>
        <w:numPr>
          <w:ilvl w:val="0"/>
          <w:numId w:val="4"/>
        </w:numPr>
        <w:tabs>
          <w:tab w:pos="1196" w:val="left" w:leader="none"/>
        </w:tabs>
        <w:spacing w:line="240" w:lineRule="auto" w:before="0" w:after="0"/>
        <w:ind w:left="193" w:right="612" w:firstLine="710"/>
        <w:jc w:val="left"/>
        <w:rPr>
          <w:sz w:val="28"/>
        </w:rPr>
      </w:pPr>
      <w:r>
        <w:rPr>
          <w:sz w:val="28"/>
        </w:rPr>
        <w:t>Про тваринний світ: Закон України від 13 грудня 2001 року. </w:t>
      </w:r>
      <w:r>
        <w:rPr>
          <w:i/>
          <w:sz w:val="28"/>
        </w:rPr>
        <w:t>Відомості </w:t>
      </w:r>
      <w:r>
        <w:rPr>
          <w:i/>
          <w:sz w:val="28"/>
        </w:rPr>
        <w:t>Верховної Ради</w:t>
      </w:r>
      <w:r>
        <w:rPr>
          <w:sz w:val="28"/>
        </w:rPr>
        <w:t>, 2002. № 14. Ст.</w:t>
      </w:r>
      <w:r>
        <w:rPr>
          <w:spacing w:val="20"/>
          <w:sz w:val="28"/>
        </w:rPr>
        <w:t> </w:t>
      </w:r>
      <w:r>
        <w:rPr>
          <w:sz w:val="28"/>
        </w:rPr>
        <w:t>97.</w:t>
      </w:r>
    </w:p>
    <w:p>
      <w:pPr>
        <w:pStyle w:val="ListParagraph"/>
        <w:numPr>
          <w:ilvl w:val="0"/>
          <w:numId w:val="4"/>
        </w:numPr>
        <w:tabs>
          <w:tab w:pos="1178" w:val="left" w:leader="none"/>
        </w:tabs>
        <w:spacing w:line="240" w:lineRule="auto" w:before="1" w:after="0"/>
        <w:ind w:left="193" w:right="622" w:firstLine="710"/>
        <w:jc w:val="left"/>
        <w:rPr>
          <w:sz w:val="28"/>
        </w:rPr>
      </w:pPr>
      <w:r>
        <w:rPr>
          <w:sz w:val="28"/>
        </w:rPr>
        <w:t>Про</w:t>
      </w:r>
      <w:r>
        <w:rPr>
          <w:spacing w:val="-17"/>
          <w:sz w:val="28"/>
        </w:rPr>
        <w:t> </w:t>
      </w:r>
      <w:r>
        <w:rPr>
          <w:sz w:val="28"/>
        </w:rPr>
        <w:t>охорону</w:t>
      </w:r>
      <w:r>
        <w:rPr>
          <w:spacing w:val="-20"/>
          <w:sz w:val="28"/>
        </w:rPr>
        <w:t> </w:t>
      </w:r>
      <w:r>
        <w:rPr>
          <w:sz w:val="28"/>
        </w:rPr>
        <w:t>навколишнього</w:t>
      </w:r>
      <w:r>
        <w:rPr>
          <w:spacing w:val="-16"/>
          <w:sz w:val="28"/>
        </w:rPr>
        <w:t> </w:t>
      </w:r>
      <w:r>
        <w:rPr>
          <w:sz w:val="28"/>
        </w:rPr>
        <w:t>природного</w:t>
      </w:r>
      <w:r>
        <w:rPr>
          <w:spacing w:val="-16"/>
          <w:sz w:val="28"/>
        </w:rPr>
        <w:t> </w:t>
      </w:r>
      <w:r>
        <w:rPr>
          <w:sz w:val="28"/>
        </w:rPr>
        <w:t>середовища:</w:t>
      </w:r>
      <w:r>
        <w:rPr>
          <w:spacing w:val="-21"/>
          <w:sz w:val="28"/>
        </w:rPr>
        <w:t> </w:t>
      </w:r>
      <w:r>
        <w:rPr>
          <w:sz w:val="28"/>
        </w:rPr>
        <w:t>Закон</w:t>
      </w:r>
      <w:r>
        <w:rPr>
          <w:spacing w:val="-16"/>
          <w:sz w:val="28"/>
        </w:rPr>
        <w:t> </w:t>
      </w:r>
      <w:r>
        <w:rPr>
          <w:sz w:val="28"/>
        </w:rPr>
        <w:t>України</w:t>
      </w:r>
      <w:r>
        <w:rPr>
          <w:spacing w:val="-16"/>
          <w:sz w:val="28"/>
        </w:rPr>
        <w:t> </w:t>
      </w:r>
      <w:r>
        <w:rPr>
          <w:sz w:val="28"/>
        </w:rPr>
        <w:t>від 25 червня 1991 р. </w:t>
      </w:r>
      <w:r>
        <w:rPr>
          <w:i/>
          <w:sz w:val="28"/>
        </w:rPr>
        <w:t>Відомості Верховної Ради</w:t>
      </w:r>
      <w:r>
        <w:rPr>
          <w:sz w:val="28"/>
        </w:rPr>
        <w:t>, 1991. № 41. С.</w:t>
      </w:r>
      <w:r>
        <w:rPr>
          <w:spacing w:val="18"/>
          <w:sz w:val="28"/>
        </w:rPr>
        <w:t> </w:t>
      </w:r>
      <w:r>
        <w:rPr>
          <w:sz w:val="28"/>
        </w:rPr>
        <w:t>546.</w:t>
      </w:r>
    </w:p>
    <w:p>
      <w:pPr>
        <w:pStyle w:val="ListParagraph"/>
        <w:numPr>
          <w:ilvl w:val="0"/>
          <w:numId w:val="4"/>
        </w:numPr>
        <w:tabs>
          <w:tab w:pos="1206" w:val="left" w:leader="none"/>
        </w:tabs>
        <w:spacing w:line="240" w:lineRule="auto" w:before="0" w:after="0"/>
        <w:ind w:left="193" w:right="615" w:firstLine="710"/>
        <w:jc w:val="left"/>
        <w:rPr>
          <w:sz w:val="28"/>
        </w:rPr>
      </w:pPr>
      <w:r>
        <w:rPr>
          <w:sz w:val="28"/>
        </w:rPr>
        <w:t>Про ветеринарну медицину: Закон України. </w:t>
      </w:r>
      <w:r>
        <w:rPr>
          <w:i/>
          <w:sz w:val="28"/>
        </w:rPr>
        <w:t>Відомості Верховної Ради </w:t>
      </w:r>
      <w:r>
        <w:rPr>
          <w:i/>
          <w:sz w:val="28"/>
        </w:rPr>
        <w:t>України. </w:t>
      </w:r>
      <w:r>
        <w:rPr>
          <w:sz w:val="28"/>
        </w:rPr>
        <w:t>1997. № 7. Ст.</w:t>
      </w:r>
      <w:r>
        <w:rPr>
          <w:spacing w:val="17"/>
          <w:sz w:val="28"/>
        </w:rPr>
        <w:t> </w:t>
      </w:r>
      <w:r>
        <w:rPr>
          <w:sz w:val="28"/>
        </w:rPr>
        <w:t>56.</w:t>
      </w:r>
    </w:p>
    <w:p>
      <w:pPr>
        <w:pStyle w:val="ListParagraph"/>
        <w:numPr>
          <w:ilvl w:val="0"/>
          <w:numId w:val="4"/>
        </w:numPr>
        <w:tabs>
          <w:tab w:pos="1335" w:val="left" w:leader="none"/>
          <w:tab w:pos="1336" w:val="left" w:leader="none"/>
          <w:tab w:pos="3268" w:val="left" w:leader="none"/>
          <w:tab w:pos="4289" w:val="left" w:leader="none"/>
          <w:tab w:pos="5484" w:val="left" w:leader="none"/>
          <w:tab w:pos="5781" w:val="left" w:leader="none"/>
          <w:tab w:pos="6361" w:val="left" w:leader="none"/>
          <w:tab w:pos="6836" w:val="left" w:leader="none"/>
          <w:tab w:pos="7910" w:val="left" w:leader="none"/>
          <w:tab w:pos="8384" w:val="left" w:leader="none"/>
          <w:tab w:pos="8768" w:val="left" w:leader="none"/>
        </w:tabs>
        <w:spacing w:line="240" w:lineRule="auto" w:before="0" w:after="0"/>
        <w:ind w:left="193" w:right="624" w:firstLine="710"/>
        <w:jc w:val="left"/>
        <w:rPr>
          <w:sz w:val="28"/>
        </w:rPr>
      </w:pPr>
      <w:r>
        <w:rPr>
          <w:sz w:val="28"/>
        </w:rPr>
        <w:t>Кримінальний</w:t>
        <w:tab/>
        <w:t>кодекс</w:t>
        <w:tab/>
        <w:t>України</w:t>
        <w:tab/>
        <w:t>/</w:t>
        <w:tab/>
        <w:t>Ю.</w:t>
        <w:tab/>
        <w:t>В.</w:t>
        <w:tab/>
        <w:t>Баулін,</w:t>
        <w:tab/>
        <w:t>В.</w:t>
        <w:tab/>
        <w:t>І.</w:t>
        <w:tab/>
      </w:r>
      <w:r>
        <w:rPr>
          <w:spacing w:val="-3"/>
          <w:sz w:val="28"/>
        </w:rPr>
        <w:t>Борисов, </w:t>
      </w:r>
      <w:r>
        <w:rPr>
          <w:sz w:val="28"/>
        </w:rPr>
        <w:t>С.</w:t>
      </w:r>
      <w:r>
        <w:rPr>
          <w:spacing w:val="12"/>
          <w:sz w:val="28"/>
        </w:rPr>
        <w:t> </w:t>
      </w:r>
      <w:r>
        <w:rPr>
          <w:sz w:val="28"/>
        </w:rPr>
        <w:t>Б.</w:t>
      </w:r>
      <w:r>
        <w:rPr>
          <w:spacing w:val="9"/>
          <w:sz w:val="28"/>
        </w:rPr>
        <w:t> </w:t>
      </w:r>
      <w:r>
        <w:rPr>
          <w:sz w:val="28"/>
        </w:rPr>
        <w:t>Гавриш</w:t>
      </w:r>
      <w:r>
        <w:rPr>
          <w:spacing w:val="12"/>
          <w:sz w:val="28"/>
        </w:rPr>
        <w:t> </w:t>
      </w:r>
      <w:r>
        <w:rPr>
          <w:sz w:val="28"/>
        </w:rPr>
        <w:t>та</w:t>
      </w:r>
      <w:r>
        <w:rPr>
          <w:spacing w:val="11"/>
          <w:sz w:val="28"/>
        </w:rPr>
        <w:t> </w:t>
      </w:r>
      <w:r>
        <w:rPr>
          <w:spacing w:val="-3"/>
          <w:sz w:val="28"/>
        </w:rPr>
        <w:t>ін.</w:t>
      </w:r>
      <w:r>
        <w:rPr>
          <w:spacing w:val="12"/>
          <w:sz w:val="28"/>
        </w:rPr>
        <w:t> </w:t>
      </w:r>
      <w:r>
        <w:rPr>
          <w:sz w:val="28"/>
        </w:rPr>
        <w:t>За</w:t>
      </w:r>
      <w:r>
        <w:rPr>
          <w:spacing w:val="11"/>
          <w:sz w:val="28"/>
        </w:rPr>
        <w:t> </w:t>
      </w:r>
      <w:r>
        <w:rPr>
          <w:sz w:val="28"/>
        </w:rPr>
        <w:t>заг.</w:t>
      </w:r>
      <w:r>
        <w:rPr>
          <w:spacing w:val="13"/>
          <w:sz w:val="28"/>
        </w:rPr>
        <w:t> </w:t>
      </w:r>
      <w:r>
        <w:rPr>
          <w:sz w:val="28"/>
        </w:rPr>
        <w:t>ред.</w:t>
      </w:r>
      <w:r>
        <w:rPr>
          <w:spacing w:val="13"/>
          <w:sz w:val="28"/>
        </w:rPr>
        <w:t> </w:t>
      </w:r>
      <w:r>
        <w:rPr>
          <w:sz w:val="28"/>
        </w:rPr>
        <w:t>В.</w:t>
      </w:r>
      <w:r>
        <w:rPr>
          <w:spacing w:val="8"/>
          <w:sz w:val="28"/>
        </w:rPr>
        <w:t> </w:t>
      </w:r>
      <w:r>
        <w:rPr>
          <w:sz w:val="28"/>
        </w:rPr>
        <w:t>Т.</w:t>
      </w:r>
      <w:r>
        <w:rPr>
          <w:spacing w:val="13"/>
          <w:sz w:val="28"/>
        </w:rPr>
        <w:t> </w:t>
      </w:r>
      <w:r>
        <w:rPr>
          <w:sz w:val="28"/>
        </w:rPr>
        <w:t>Маляренка,</w:t>
      </w:r>
      <w:r>
        <w:rPr>
          <w:spacing w:val="13"/>
          <w:sz w:val="28"/>
        </w:rPr>
        <w:t> </w:t>
      </w:r>
      <w:r>
        <w:rPr>
          <w:sz w:val="28"/>
        </w:rPr>
        <w:t>В.</w:t>
      </w:r>
      <w:r>
        <w:rPr>
          <w:spacing w:val="13"/>
          <w:sz w:val="28"/>
        </w:rPr>
        <w:t> </w:t>
      </w:r>
      <w:r>
        <w:rPr>
          <w:sz w:val="28"/>
        </w:rPr>
        <w:t>В.</w:t>
      </w:r>
      <w:r>
        <w:rPr>
          <w:spacing w:val="13"/>
          <w:sz w:val="28"/>
        </w:rPr>
        <w:t> </w:t>
      </w:r>
      <w:r>
        <w:rPr>
          <w:sz w:val="28"/>
        </w:rPr>
        <w:t>Сташиса,</w:t>
      </w:r>
      <w:r>
        <w:rPr>
          <w:spacing w:val="8"/>
          <w:sz w:val="28"/>
        </w:rPr>
        <w:t> </w:t>
      </w:r>
      <w:r>
        <w:rPr>
          <w:sz w:val="28"/>
        </w:rPr>
        <w:t>В.</w:t>
      </w:r>
      <w:r>
        <w:rPr>
          <w:spacing w:val="13"/>
          <w:sz w:val="28"/>
        </w:rPr>
        <w:t> </w:t>
      </w:r>
      <w:r>
        <w:rPr>
          <w:sz w:val="28"/>
        </w:rPr>
        <w:t>Я.</w:t>
      </w:r>
      <w:r>
        <w:rPr>
          <w:spacing w:val="8"/>
          <w:sz w:val="28"/>
        </w:rPr>
        <w:t> </w:t>
      </w:r>
      <w:r>
        <w:rPr>
          <w:sz w:val="28"/>
        </w:rPr>
        <w:t>Тація.</w:t>
      </w:r>
      <w:r>
        <w:rPr>
          <w:spacing w:val="13"/>
          <w:sz w:val="28"/>
        </w:rPr>
        <w:t> </w:t>
      </w:r>
      <w:r>
        <w:rPr>
          <w:sz w:val="28"/>
        </w:rPr>
        <w:t>Х.:</w:t>
      </w:r>
    </w:p>
    <w:p>
      <w:pPr>
        <w:pStyle w:val="BodyText"/>
        <w:spacing w:line="321" w:lineRule="exact"/>
        <w:jc w:val="left"/>
      </w:pPr>
      <w:r>
        <w:rPr/>
        <w:t>«Одісей», 2004. Вид. 2. 1152 с.</w:t>
      </w:r>
    </w:p>
    <w:p>
      <w:pPr>
        <w:pStyle w:val="ListParagraph"/>
        <w:numPr>
          <w:ilvl w:val="0"/>
          <w:numId w:val="4"/>
        </w:numPr>
        <w:tabs>
          <w:tab w:pos="1216" w:val="left" w:leader="none"/>
        </w:tabs>
        <w:spacing w:line="240" w:lineRule="auto" w:before="0" w:after="0"/>
        <w:ind w:left="193" w:right="626" w:firstLine="710"/>
        <w:jc w:val="both"/>
        <w:rPr>
          <w:sz w:val="28"/>
        </w:rPr>
      </w:pPr>
      <w:r>
        <w:rPr>
          <w:sz w:val="28"/>
        </w:rPr>
        <w:t>Кодекс України про адміністративні правопорушення. Харків: Одісей, 2014. Вид. 1. 1215</w:t>
      </w:r>
      <w:r>
        <w:rPr>
          <w:spacing w:val="12"/>
          <w:sz w:val="28"/>
        </w:rPr>
        <w:t> </w:t>
      </w:r>
      <w:r>
        <w:rPr>
          <w:sz w:val="28"/>
        </w:rPr>
        <w:t>с.</w:t>
      </w:r>
    </w:p>
    <w:p>
      <w:pPr>
        <w:pStyle w:val="ListParagraph"/>
        <w:numPr>
          <w:ilvl w:val="0"/>
          <w:numId w:val="4"/>
        </w:numPr>
        <w:tabs>
          <w:tab w:pos="1657" w:val="left" w:leader="none"/>
        </w:tabs>
        <w:spacing w:line="240" w:lineRule="auto" w:before="0" w:after="0"/>
        <w:ind w:left="193" w:right="614" w:firstLine="710"/>
        <w:jc w:val="both"/>
        <w:rPr>
          <w:sz w:val="28"/>
        </w:rPr>
      </w:pPr>
      <w:r>
        <w:rPr>
          <w:sz w:val="28"/>
        </w:rPr>
        <w:t>Практика     судово-ветеринарної     експертизи.     Хрестоматія     / І. В. Яценко, </w:t>
      </w:r>
      <w:r>
        <w:rPr>
          <w:spacing w:val="-3"/>
          <w:sz w:val="28"/>
        </w:rPr>
        <w:t>А. </w:t>
      </w:r>
      <w:r>
        <w:rPr>
          <w:sz w:val="28"/>
        </w:rPr>
        <w:t>М. Труш, В. В. Кам’янський. Харків, 2013. 255</w:t>
      </w:r>
      <w:r>
        <w:rPr>
          <w:spacing w:val="25"/>
          <w:sz w:val="28"/>
        </w:rPr>
        <w:t> </w:t>
      </w:r>
      <w:r>
        <w:rPr>
          <w:sz w:val="28"/>
        </w:rPr>
        <w:t>с.</w:t>
      </w:r>
    </w:p>
    <w:p>
      <w:pPr>
        <w:pStyle w:val="ListParagraph"/>
        <w:numPr>
          <w:ilvl w:val="0"/>
          <w:numId w:val="4"/>
        </w:numPr>
        <w:tabs>
          <w:tab w:pos="1360" w:val="left" w:leader="none"/>
        </w:tabs>
        <w:spacing w:line="242" w:lineRule="auto" w:before="0" w:after="0"/>
        <w:ind w:left="193" w:right="608" w:firstLine="710"/>
        <w:jc w:val="both"/>
        <w:rPr>
          <w:sz w:val="28"/>
        </w:rPr>
      </w:pPr>
      <w:r>
        <w:rPr>
          <w:sz w:val="28"/>
        </w:rPr>
        <w:t>Про судову експертизу: Закон України. </w:t>
      </w:r>
      <w:hyperlink r:id="rId15">
        <w:r>
          <w:rPr>
            <w:sz w:val="28"/>
          </w:rPr>
          <w:t>Закон введено від 21.04.1994</w:t>
        </w:r>
      </w:hyperlink>
      <w:hyperlink r:id="rId15">
        <w:r>
          <w:rPr>
            <w:sz w:val="28"/>
          </w:rPr>
          <w:t> року</w:t>
        </w:r>
        <w:r>
          <w:rPr>
            <w:spacing w:val="-16"/>
            <w:sz w:val="28"/>
          </w:rPr>
          <w:t> </w:t>
        </w:r>
        <w:r>
          <w:rPr>
            <w:sz w:val="28"/>
          </w:rPr>
          <w:t>(згідно</w:t>
        </w:r>
        <w:r>
          <w:rPr>
            <w:spacing w:val="-12"/>
            <w:sz w:val="28"/>
          </w:rPr>
          <w:t> </w:t>
        </w:r>
        <w:r>
          <w:rPr>
            <w:sz w:val="28"/>
          </w:rPr>
          <w:t>з</w:t>
        </w:r>
        <w:r>
          <w:rPr>
            <w:spacing w:val="-11"/>
            <w:sz w:val="28"/>
          </w:rPr>
          <w:t> </w:t>
        </w:r>
        <w:r>
          <w:rPr>
            <w:sz w:val="28"/>
          </w:rPr>
          <w:t>Постановою</w:t>
        </w:r>
        <w:r>
          <w:rPr>
            <w:spacing w:val="-13"/>
            <w:sz w:val="28"/>
          </w:rPr>
          <w:t> </w:t>
        </w:r>
        <w:r>
          <w:rPr>
            <w:sz w:val="28"/>
          </w:rPr>
          <w:t>Верховної</w:t>
        </w:r>
        <w:r>
          <w:rPr>
            <w:spacing w:val="-12"/>
            <w:sz w:val="28"/>
          </w:rPr>
          <w:t> </w:t>
        </w:r>
        <w:r>
          <w:rPr>
            <w:sz w:val="28"/>
          </w:rPr>
          <w:t>Ради</w:t>
        </w:r>
        <w:r>
          <w:rPr>
            <w:spacing w:val="-11"/>
            <w:sz w:val="28"/>
          </w:rPr>
          <w:t> </w:t>
        </w:r>
        <w:r>
          <w:rPr>
            <w:sz w:val="28"/>
          </w:rPr>
          <w:t>України</w:t>
        </w:r>
        <w:r>
          <w:rPr>
            <w:spacing w:val="-13"/>
            <w:sz w:val="28"/>
          </w:rPr>
          <w:t> </w:t>
        </w:r>
        <w:r>
          <w:rPr>
            <w:sz w:val="28"/>
          </w:rPr>
          <w:t>від</w:t>
        </w:r>
        <w:r>
          <w:rPr>
            <w:spacing w:val="-9"/>
            <w:sz w:val="28"/>
          </w:rPr>
          <w:t> </w:t>
        </w:r>
        <w:r>
          <w:rPr>
            <w:sz w:val="28"/>
          </w:rPr>
          <w:t>25.02.1994</w:t>
        </w:r>
        <w:r>
          <w:rPr>
            <w:spacing w:val="-11"/>
            <w:sz w:val="28"/>
          </w:rPr>
          <w:t> </w:t>
        </w:r>
        <w:r>
          <w:rPr>
            <w:sz w:val="28"/>
          </w:rPr>
          <w:t>року</w:t>
        </w:r>
        <w:r>
          <w:rPr>
            <w:spacing w:val="-11"/>
            <w:sz w:val="28"/>
          </w:rPr>
          <w:t> </w:t>
        </w:r>
        <w:r>
          <w:rPr>
            <w:sz w:val="28"/>
          </w:rPr>
          <w:t>№</w:t>
        </w:r>
        <w:r>
          <w:rPr>
            <w:spacing w:val="-14"/>
            <w:sz w:val="28"/>
          </w:rPr>
          <w:t> </w:t>
        </w:r>
        <w:r>
          <w:rPr>
            <w:sz w:val="28"/>
          </w:rPr>
          <w:t>4038а-</w:t>
        </w:r>
      </w:hyperlink>
      <w:hyperlink r:id="rId15">
        <w:r>
          <w:rPr>
            <w:sz w:val="28"/>
          </w:rPr>
          <w:t> XII).</w:t>
        </w:r>
        <w:r>
          <w:rPr>
            <w:spacing w:val="-12"/>
            <w:sz w:val="28"/>
          </w:rPr>
          <w:t> </w:t>
        </w:r>
      </w:hyperlink>
      <w:hyperlink r:id="rId16">
        <w:r>
          <w:rPr>
            <w:sz w:val="28"/>
          </w:rPr>
          <w:t>Із</w:t>
        </w:r>
        <w:r>
          <w:rPr>
            <w:spacing w:val="-13"/>
            <w:sz w:val="28"/>
          </w:rPr>
          <w:t> </w:t>
        </w:r>
        <w:r>
          <w:rPr>
            <w:sz w:val="28"/>
          </w:rPr>
          <w:t>змінами</w:t>
        </w:r>
        <w:r>
          <w:rPr>
            <w:spacing w:val="-13"/>
            <w:sz w:val="28"/>
          </w:rPr>
          <w:t> </w:t>
        </w:r>
        <w:r>
          <w:rPr>
            <w:sz w:val="28"/>
          </w:rPr>
          <w:t>і</w:t>
        </w:r>
        <w:r>
          <w:rPr>
            <w:spacing w:val="-18"/>
            <w:sz w:val="28"/>
          </w:rPr>
          <w:t> </w:t>
        </w:r>
        <w:r>
          <w:rPr>
            <w:sz w:val="28"/>
          </w:rPr>
          <w:t>доповненнями,</w:t>
        </w:r>
        <w:r>
          <w:rPr>
            <w:spacing w:val="-11"/>
            <w:sz w:val="28"/>
          </w:rPr>
          <w:t> </w:t>
        </w:r>
        <w:r>
          <w:rPr>
            <w:sz w:val="28"/>
          </w:rPr>
          <w:t>внесеними</w:t>
        </w:r>
        <w:r>
          <w:rPr>
            <w:spacing w:val="-9"/>
            <w:sz w:val="28"/>
          </w:rPr>
          <w:t> </w:t>
        </w:r>
      </w:hyperlink>
      <w:hyperlink r:id="rId16">
        <w:r>
          <w:rPr>
            <w:sz w:val="28"/>
          </w:rPr>
          <w:t>Законами</w:t>
        </w:r>
        <w:r>
          <w:rPr>
            <w:spacing w:val="-3"/>
            <w:sz w:val="28"/>
          </w:rPr>
          <w:t> </w:t>
        </w:r>
      </w:hyperlink>
      <w:hyperlink r:id="rId16">
        <w:r>
          <w:rPr>
            <w:sz w:val="28"/>
          </w:rPr>
          <w:t>України</w:t>
        </w:r>
        <w:r>
          <w:rPr>
            <w:spacing w:val="-13"/>
            <w:sz w:val="28"/>
          </w:rPr>
          <w:t> </w:t>
        </w:r>
        <w:r>
          <w:rPr>
            <w:sz w:val="28"/>
          </w:rPr>
          <w:t>від</w:t>
        </w:r>
        <w:r>
          <w:rPr>
            <w:spacing w:val="-11"/>
            <w:sz w:val="28"/>
          </w:rPr>
          <w:t> </w:t>
        </w:r>
        <w:r>
          <w:rPr>
            <w:sz w:val="28"/>
          </w:rPr>
          <w:t>3.04.2003</w:t>
        </w:r>
        <w:r>
          <w:rPr>
            <w:spacing w:val="-13"/>
            <w:sz w:val="28"/>
          </w:rPr>
          <w:t> </w:t>
        </w:r>
        <w:r>
          <w:rPr>
            <w:sz w:val="28"/>
          </w:rPr>
          <w:t>року</w:t>
        </w:r>
      </w:hyperlink>
    </w:p>
    <w:p>
      <w:pPr>
        <w:pStyle w:val="BodyText"/>
        <w:ind w:right="613"/>
      </w:pPr>
      <w:hyperlink r:id="rId16">
        <w:r>
          <w:rPr/>
          <w:t>№ 662-IV</w:t>
        </w:r>
      </w:hyperlink>
      <w:hyperlink r:id="rId17">
        <w:r>
          <w:rPr/>
          <w:t>, від 9.09.2004 року № 1992-IV</w:t>
        </w:r>
      </w:hyperlink>
      <w:hyperlink r:id="rId17">
        <w:r>
          <w:rPr/>
          <w:t>,</w:t>
        </w:r>
      </w:hyperlink>
      <w:r>
        <w:rPr/>
        <w:t> </w:t>
      </w:r>
      <w:hyperlink r:id="rId18">
        <w:r>
          <w:rPr/>
          <w:t>від 13.04.2012 року № 4652-VI,</w:t>
        </w:r>
      </w:hyperlink>
      <w:r>
        <w:rPr/>
        <w:t> </w:t>
      </w:r>
      <w:hyperlink r:id="rId18">
        <w:r>
          <w:rPr/>
          <w:t>від</w:t>
        </w:r>
      </w:hyperlink>
      <w:r>
        <w:rPr/>
        <w:t> </w:t>
      </w:r>
      <w:hyperlink r:id="rId19">
        <w:r>
          <w:rPr/>
          <w:t>17.05.2012 року № 4711-VI</w:t>
        </w:r>
      </w:hyperlink>
      <w:hyperlink r:id="rId19">
        <w:r>
          <w:rPr/>
          <w:t>, від 2.03.2015 року № 213-VIII</w:t>
        </w:r>
      </w:hyperlink>
      <w:r>
        <w:rPr/>
        <w:t>.</w:t>
      </w:r>
    </w:p>
    <w:p>
      <w:pPr>
        <w:pStyle w:val="ListParagraph"/>
        <w:numPr>
          <w:ilvl w:val="0"/>
          <w:numId w:val="4"/>
        </w:numPr>
        <w:tabs>
          <w:tab w:pos="1436" w:val="left" w:leader="none"/>
        </w:tabs>
        <w:spacing w:line="240" w:lineRule="auto" w:before="0" w:after="0"/>
        <w:ind w:left="193" w:right="613" w:firstLine="710"/>
        <w:jc w:val="both"/>
        <w:rPr>
          <w:sz w:val="28"/>
        </w:rPr>
      </w:pPr>
      <w:r>
        <w:rPr>
          <w:sz w:val="28"/>
        </w:rPr>
        <w:t>Інструкція про призначення та проведення судових експертиз </w:t>
      </w:r>
      <w:hyperlink r:id="rId20">
        <w:r>
          <w:rPr>
            <w:sz w:val="28"/>
          </w:rPr>
          <w:t>та</w:t>
        </w:r>
      </w:hyperlink>
      <w:hyperlink r:id="rId20">
        <w:r>
          <w:rPr>
            <w:sz w:val="28"/>
          </w:rPr>
          <w:t> експертних досліджень</w:t>
        </w:r>
      </w:hyperlink>
      <w:r>
        <w:rPr>
          <w:sz w:val="28"/>
        </w:rPr>
        <w:t>. Затверджено Наказом Міністерства юстиції України</w:t>
      </w:r>
      <w:r>
        <w:rPr>
          <w:spacing w:val="-37"/>
          <w:sz w:val="28"/>
        </w:rPr>
        <w:t> </w:t>
      </w:r>
      <w:r>
        <w:rPr>
          <w:sz w:val="28"/>
        </w:rPr>
        <w:t>від</w:t>
      </w:r>
    </w:p>
    <w:p>
      <w:pPr>
        <w:pStyle w:val="BodyText"/>
        <w:ind w:right="611"/>
      </w:pPr>
      <w:r>
        <w:rPr/>
        <w:t>8 жовтня 1998 року № 53/5. Зареєстровано в Міністерстві юстиції України 3.11.1998 р.  </w:t>
      </w:r>
      <w:r>
        <w:rPr>
          <w:spacing w:val="-3"/>
        </w:rPr>
        <w:t>за  </w:t>
      </w:r>
      <w:r>
        <w:rPr/>
        <w:t>№  705/3145.  </w:t>
      </w:r>
      <w:hyperlink r:id="rId21">
        <w:r>
          <w:rPr/>
          <w:t>Із  змінами  і  доповненнями,  внесеними</w:t>
        </w:r>
      </w:hyperlink>
      <w:r>
        <w:rPr/>
        <w:t> </w:t>
      </w:r>
      <w:hyperlink r:id="rId22">
        <w:r>
          <w:rPr/>
          <w:t> наказами </w:t>
        </w:r>
      </w:hyperlink>
      <w:hyperlink r:id="rId21">
        <w:r>
          <w:rPr/>
          <w:t>Міністерства юстиції України від 30.12.2004 року № 144/5</w:t>
        </w:r>
      </w:hyperlink>
      <w:hyperlink r:id="rId21">
        <w:r>
          <w:rPr/>
          <w:t>, від</w:t>
        </w:r>
      </w:hyperlink>
      <w:hyperlink r:id="rId22">
        <w:r>
          <w:rPr/>
          <w:t> 10.06.2005 року № 59/5</w:t>
        </w:r>
      </w:hyperlink>
      <w:hyperlink r:id="rId22">
        <w:r>
          <w:rPr/>
          <w:t>, від 29.12.2006 року № 126/5</w:t>
        </w:r>
      </w:hyperlink>
      <w:hyperlink r:id="rId20">
        <w:r>
          <w:rPr/>
          <w:t>, </w:t>
        </w:r>
        <w:r>
          <w:rPr>
            <w:spacing w:val="-3"/>
          </w:rPr>
          <w:t>від </w:t>
        </w:r>
        <w:r>
          <w:rPr/>
          <w:t>15.07.2008 року №</w:t>
        </w:r>
      </w:hyperlink>
      <w:hyperlink r:id="rId20">
        <w:r>
          <w:rPr/>
          <w:t> 1198/5</w:t>
        </w:r>
      </w:hyperlink>
      <w:hyperlink r:id="rId23">
        <w:r>
          <w:rPr/>
          <w:t>, від 1.06.2009 року № 965/5</w:t>
        </w:r>
      </w:hyperlink>
      <w:hyperlink r:id="rId23">
        <w:r>
          <w:rPr/>
          <w:t>, </w:t>
        </w:r>
        <w:r>
          <w:rPr>
            <w:spacing w:val="-3"/>
          </w:rPr>
          <w:t>від </w:t>
        </w:r>
        <w:r>
          <w:rPr/>
          <w:t>26.12.2012 року №</w:t>
        </w:r>
        <w:r>
          <w:rPr>
            <w:spacing w:val="8"/>
          </w:rPr>
          <w:t> </w:t>
        </w:r>
        <w:r>
          <w:rPr/>
          <w:t>1950/5</w:t>
        </w:r>
      </w:hyperlink>
      <w:r>
        <w:rPr/>
        <w:t>.</w:t>
      </w:r>
    </w:p>
    <w:p>
      <w:pPr>
        <w:spacing w:after="0"/>
        <w:sectPr>
          <w:pgSz w:w="11910" w:h="16840"/>
          <w:pgMar w:header="713" w:footer="778" w:top="1140" w:bottom="960" w:left="940" w:right="520"/>
        </w:sectPr>
      </w:pPr>
    </w:p>
    <w:p>
      <w:pPr>
        <w:pStyle w:val="ListParagraph"/>
        <w:numPr>
          <w:ilvl w:val="0"/>
          <w:numId w:val="4"/>
        </w:numPr>
        <w:tabs>
          <w:tab w:pos="1336" w:val="left" w:leader="none"/>
        </w:tabs>
        <w:spacing w:line="240" w:lineRule="auto" w:before="92" w:after="0"/>
        <w:ind w:left="193" w:right="608" w:firstLine="710"/>
        <w:jc w:val="both"/>
        <w:rPr>
          <w:sz w:val="28"/>
        </w:rPr>
      </w:pPr>
      <w:r>
        <w:rPr>
          <w:sz w:val="28"/>
        </w:rPr>
        <w:t>Скрипка М. В., Яценко І. В., Панікар І. І. Основи судово-ветеринарної експертизи трупів та живих тварин. Одеса, 2018. 326</w:t>
      </w:r>
      <w:r>
        <w:rPr>
          <w:spacing w:val="8"/>
          <w:sz w:val="28"/>
        </w:rPr>
        <w:t> </w:t>
      </w:r>
      <w:r>
        <w:rPr>
          <w:sz w:val="28"/>
        </w:rPr>
        <w:t>с.</w:t>
      </w:r>
    </w:p>
    <w:p>
      <w:pPr>
        <w:pStyle w:val="ListParagraph"/>
        <w:numPr>
          <w:ilvl w:val="0"/>
          <w:numId w:val="4"/>
        </w:numPr>
        <w:tabs>
          <w:tab w:pos="1433" w:val="left" w:leader="none"/>
        </w:tabs>
        <w:spacing w:line="240" w:lineRule="auto" w:before="0" w:after="0"/>
        <w:ind w:left="193" w:right="608" w:firstLine="710"/>
        <w:jc w:val="both"/>
        <w:rPr>
          <w:sz w:val="28"/>
        </w:rPr>
      </w:pPr>
      <w:r>
        <w:rPr>
          <w:sz w:val="28"/>
        </w:rPr>
        <w:t>Яценко І. В., Скрипка М. В., Коцюмбас Г. І., Сердюков Я. К. Організаційні</w:t>
      </w:r>
      <w:r>
        <w:rPr>
          <w:spacing w:val="-23"/>
          <w:sz w:val="28"/>
        </w:rPr>
        <w:t> </w:t>
      </w:r>
      <w:r>
        <w:rPr>
          <w:sz w:val="28"/>
        </w:rPr>
        <w:t>та</w:t>
      </w:r>
      <w:r>
        <w:rPr>
          <w:spacing w:val="-16"/>
          <w:sz w:val="28"/>
        </w:rPr>
        <w:t> </w:t>
      </w:r>
      <w:r>
        <w:rPr>
          <w:sz w:val="28"/>
        </w:rPr>
        <w:t>процесуальні</w:t>
      </w:r>
      <w:r>
        <w:rPr>
          <w:spacing w:val="-23"/>
          <w:sz w:val="28"/>
        </w:rPr>
        <w:t> </w:t>
      </w:r>
      <w:r>
        <w:rPr>
          <w:sz w:val="28"/>
        </w:rPr>
        <w:t>основи</w:t>
      </w:r>
      <w:r>
        <w:rPr>
          <w:spacing w:val="-17"/>
          <w:sz w:val="28"/>
        </w:rPr>
        <w:t> </w:t>
      </w:r>
      <w:r>
        <w:rPr>
          <w:sz w:val="28"/>
        </w:rPr>
        <w:t>судово-ветеринарної</w:t>
      </w:r>
      <w:r>
        <w:rPr>
          <w:spacing w:val="-22"/>
          <w:sz w:val="28"/>
        </w:rPr>
        <w:t> </w:t>
      </w:r>
      <w:r>
        <w:rPr>
          <w:sz w:val="28"/>
        </w:rPr>
        <w:t>експертизи</w:t>
      </w:r>
      <w:r>
        <w:rPr>
          <w:spacing w:val="-18"/>
          <w:sz w:val="28"/>
        </w:rPr>
        <w:t> </w:t>
      </w:r>
      <w:r>
        <w:rPr>
          <w:sz w:val="28"/>
        </w:rPr>
        <w:t>в</w:t>
      </w:r>
      <w:r>
        <w:rPr>
          <w:spacing w:val="-19"/>
          <w:sz w:val="28"/>
        </w:rPr>
        <w:t> </w:t>
      </w:r>
      <w:r>
        <w:rPr>
          <w:sz w:val="28"/>
        </w:rPr>
        <w:t>Україні: Навчальний посібник. Харків: РВВ Харківської державної зооветеринарної академії, 2015. Видання 2. 211</w:t>
      </w:r>
      <w:r>
        <w:rPr>
          <w:spacing w:val="13"/>
          <w:sz w:val="28"/>
        </w:rPr>
        <w:t> </w:t>
      </w:r>
      <w:r>
        <w:rPr>
          <w:sz w:val="28"/>
        </w:rPr>
        <w:t>с.</w:t>
      </w:r>
    </w:p>
    <w:p>
      <w:pPr>
        <w:pStyle w:val="ListParagraph"/>
        <w:numPr>
          <w:ilvl w:val="0"/>
          <w:numId w:val="4"/>
        </w:numPr>
        <w:tabs>
          <w:tab w:pos="1365" w:val="left" w:leader="none"/>
        </w:tabs>
        <w:spacing w:line="240" w:lineRule="auto" w:before="3" w:after="0"/>
        <w:ind w:left="193" w:right="620" w:firstLine="710"/>
        <w:jc w:val="both"/>
        <w:rPr>
          <w:sz w:val="28"/>
        </w:rPr>
      </w:pPr>
      <w:r>
        <w:rPr>
          <w:sz w:val="28"/>
        </w:rPr>
        <w:t>Воробьев </w:t>
      </w:r>
      <w:r>
        <w:rPr>
          <w:spacing w:val="-3"/>
          <w:sz w:val="28"/>
        </w:rPr>
        <w:t>А. </w:t>
      </w:r>
      <w:r>
        <w:rPr>
          <w:sz w:val="28"/>
        </w:rPr>
        <w:t>И., Городецкий Шулутко Е. М., Васильев С. </w:t>
      </w:r>
      <w:r>
        <w:rPr>
          <w:spacing w:val="-3"/>
          <w:sz w:val="28"/>
        </w:rPr>
        <w:t>А. </w:t>
      </w:r>
      <w:r>
        <w:rPr>
          <w:sz w:val="28"/>
        </w:rPr>
        <w:t>Острая массивная кровопотеря. М.: ГЭОТАРМЕД, 2001. 176</w:t>
      </w:r>
      <w:r>
        <w:rPr>
          <w:spacing w:val="7"/>
          <w:sz w:val="28"/>
        </w:rPr>
        <w:t> </w:t>
      </w:r>
      <w:r>
        <w:rPr>
          <w:sz w:val="28"/>
        </w:rPr>
        <w:t>с.</w:t>
      </w:r>
    </w:p>
    <w:p>
      <w:pPr>
        <w:pStyle w:val="ListParagraph"/>
        <w:numPr>
          <w:ilvl w:val="0"/>
          <w:numId w:val="4"/>
        </w:numPr>
        <w:tabs>
          <w:tab w:pos="1322" w:val="left" w:leader="none"/>
        </w:tabs>
        <w:spacing w:line="240" w:lineRule="auto" w:before="0" w:after="0"/>
        <w:ind w:left="193" w:right="613" w:firstLine="710"/>
        <w:jc w:val="both"/>
        <w:rPr>
          <w:sz w:val="28"/>
        </w:rPr>
      </w:pPr>
      <w:r>
        <w:rPr>
          <w:sz w:val="28"/>
        </w:rPr>
        <w:t>Должанский</w:t>
      </w:r>
      <w:r>
        <w:rPr>
          <w:spacing w:val="-11"/>
          <w:sz w:val="28"/>
        </w:rPr>
        <w:t> </w:t>
      </w:r>
      <w:r>
        <w:rPr>
          <w:sz w:val="28"/>
        </w:rPr>
        <w:t>О.</w:t>
      </w:r>
      <w:r>
        <w:rPr>
          <w:spacing w:val="-7"/>
          <w:sz w:val="28"/>
        </w:rPr>
        <w:t> </w:t>
      </w:r>
      <w:r>
        <w:rPr>
          <w:sz w:val="28"/>
        </w:rPr>
        <w:t>В.,</w:t>
      </w:r>
      <w:r>
        <w:rPr>
          <w:spacing w:val="-8"/>
          <w:sz w:val="28"/>
        </w:rPr>
        <w:t> </w:t>
      </w:r>
      <w:r>
        <w:rPr>
          <w:sz w:val="28"/>
        </w:rPr>
        <w:t>Борлакова</w:t>
      </w:r>
      <w:r>
        <w:rPr>
          <w:spacing w:val="-9"/>
          <w:sz w:val="28"/>
        </w:rPr>
        <w:t> </w:t>
      </w:r>
      <w:r>
        <w:rPr>
          <w:sz w:val="28"/>
        </w:rPr>
        <w:t>Б.</w:t>
      </w:r>
      <w:r>
        <w:rPr>
          <w:spacing w:val="-8"/>
          <w:sz w:val="28"/>
        </w:rPr>
        <w:t> </w:t>
      </w:r>
      <w:r>
        <w:rPr>
          <w:sz w:val="28"/>
        </w:rPr>
        <w:t>У.</w:t>
      </w:r>
      <w:r>
        <w:rPr>
          <w:spacing w:val="-7"/>
          <w:sz w:val="28"/>
        </w:rPr>
        <w:t> </w:t>
      </w:r>
      <w:r>
        <w:rPr>
          <w:sz w:val="28"/>
        </w:rPr>
        <w:t>Изменения</w:t>
      </w:r>
      <w:r>
        <w:rPr>
          <w:spacing w:val="-10"/>
          <w:sz w:val="28"/>
        </w:rPr>
        <w:t> </w:t>
      </w:r>
      <w:r>
        <w:rPr>
          <w:sz w:val="28"/>
        </w:rPr>
        <w:t>внутренних</w:t>
      </w:r>
      <w:r>
        <w:rPr>
          <w:spacing w:val="-13"/>
          <w:sz w:val="28"/>
        </w:rPr>
        <w:t> </w:t>
      </w:r>
      <w:r>
        <w:rPr>
          <w:sz w:val="28"/>
        </w:rPr>
        <w:t>органов</w:t>
      </w:r>
      <w:r>
        <w:rPr>
          <w:spacing w:val="-12"/>
          <w:sz w:val="28"/>
        </w:rPr>
        <w:t> </w:t>
      </w:r>
      <w:r>
        <w:rPr>
          <w:sz w:val="28"/>
        </w:rPr>
        <w:t>при острой кровопотере в судебно-медицинской практике. </w:t>
      </w:r>
      <w:r>
        <w:rPr>
          <w:i/>
          <w:sz w:val="28"/>
        </w:rPr>
        <w:t>Судебно-медицинская </w:t>
      </w:r>
      <w:r>
        <w:rPr>
          <w:i/>
          <w:sz w:val="28"/>
        </w:rPr>
        <w:t>експертиза, </w:t>
      </w:r>
      <w:r>
        <w:rPr>
          <w:sz w:val="28"/>
        </w:rPr>
        <w:t>2006. Т. 49. №4. С.</w:t>
      </w:r>
      <w:r>
        <w:rPr>
          <w:spacing w:val="22"/>
          <w:sz w:val="28"/>
        </w:rPr>
        <w:t> </w:t>
      </w:r>
      <w:r>
        <w:rPr>
          <w:sz w:val="28"/>
        </w:rPr>
        <w:t>39–41.</w:t>
      </w:r>
    </w:p>
    <w:p>
      <w:pPr>
        <w:pStyle w:val="ListParagraph"/>
        <w:numPr>
          <w:ilvl w:val="0"/>
          <w:numId w:val="4"/>
        </w:numPr>
        <w:tabs>
          <w:tab w:pos="1389" w:val="left" w:leader="none"/>
        </w:tabs>
        <w:spacing w:line="240" w:lineRule="auto" w:before="0" w:after="0"/>
        <w:ind w:left="193" w:right="614" w:firstLine="710"/>
        <w:jc w:val="both"/>
        <w:rPr>
          <w:sz w:val="28"/>
        </w:rPr>
      </w:pPr>
      <w:r>
        <w:rPr>
          <w:sz w:val="28"/>
        </w:rPr>
        <w:t>Зыблев С. Л., Дундаров З. А., Мартемьянова Л. А., Зыблев С. Л., Экспериментальная модель геморагического шока. </w:t>
      </w:r>
      <w:r>
        <w:rPr>
          <w:i/>
          <w:sz w:val="28"/>
        </w:rPr>
        <w:t>Экспериментальная </w:t>
      </w:r>
      <w:r>
        <w:rPr>
          <w:i/>
          <w:sz w:val="28"/>
        </w:rPr>
        <w:t>медицина и биология. Проблемы здоровья и экологии</w:t>
      </w:r>
      <w:r>
        <w:rPr>
          <w:sz w:val="28"/>
        </w:rPr>
        <w:t>, 2016. С.</w:t>
      </w:r>
      <w:r>
        <w:rPr>
          <w:spacing w:val="4"/>
          <w:sz w:val="28"/>
        </w:rPr>
        <w:t> </w:t>
      </w:r>
      <w:r>
        <w:rPr>
          <w:sz w:val="28"/>
        </w:rPr>
        <w:t>109–113.</w:t>
      </w:r>
    </w:p>
    <w:p>
      <w:pPr>
        <w:pStyle w:val="ListParagraph"/>
        <w:numPr>
          <w:ilvl w:val="0"/>
          <w:numId w:val="4"/>
        </w:numPr>
        <w:tabs>
          <w:tab w:pos="1393" w:val="left" w:leader="none"/>
        </w:tabs>
        <w:spacing w:line="240" w:lineRule="auto" w:before="0" w:after="0"/>
        <w:ind w:left="193" w:right="624" w:firstLine="710"/>
        <w:jc w:val="both"/>
        <w:rPr>
          <w:sz w:val="28"/>
        </w:rPr>
      </w:pPr>
      <w:r>
        <w:rPr>
          <w:sz w:val="28"/>
        </w:rPr>
        <w:t>Алексеев </w:t>
      </w:r>
      <w:r>
        <w:rPr>
          <w:spacing w:val="-3"/>
          <w:sz w:val="28"/>
        </w:rPr>
        <w:t>А. </w:t>
      </w:r>
      <w:r>
        <w:rPr>
          <w:sz w:val="28"/>
        </w:rPr>
        <w:t>А., Лавров В. </w:t>
      </w:r>
      <w:r>
        <w:rPr>
          <w:spacing w:val="-3"/>
          <w:sz w:val="28"/>
        </w:rPr>
        <w:t>А. </w:t>
      </w:r>
      <w:r>
        <w:rPr>
          <w:sz w:val="28"/>
        </w:rPr>
        <w:t>Ожоговый шок: патогенез, клиника, лечение. </w:t>
      </w:r>
      <w:r>
        <w:rPr>
          <w:i/>
          <w:sz w:val="28"/>
        </w:rPr>
        <w:t>Российский медицинский журнал</w:t>
      </w:r>
      <w:r>
        <w:rPr>
          <w:sz w:val="28"/>
        </w:rPr>
        <w:t>, 2007. № 6. С.</w:t>
      </w:r>
      <w:r>
        <w:rPr>
          <w:spacing w:val="11"/>
          <w:sz w:val="28"/>
        </w:rPr>
        <w:t> </w:t>
      </w:r>
      <w:r>
        <w:rPr>
          <w:sz w:val="28"/>
        </w:rPr>
        <w:t>51–55.</w:t>
      </w:r>
    </w:p>
    <w:p>
      <w:pPr>
        <w:pStyle w:val="ListParagraph"/>
        <w:numPr>
          <w:ilvl w:val="0"/>
          <w:numId w:val="4"/>
        </w:numPr>
        <w:tabs>
          <w:tab w:pos="1331" w:val="left" w:leader="none"/>
        </w:tabs>
        <w:spacing w:line="240" w:lineRule="auto" w:before="0" w:after="0"/>
        <w:ind w:left="193" w:right="614" w:firstLine="710"/>
        <w:jc w:val="both"/>
        <w:rPr>
          <w:sz w:val="28"/>
        </w:rPr>
      </w:pPr>
      <w:r>
        <w:rPr>
          <w:sz w:val="28"/>
        </w:rPr>
        <w:t>Александрова О. С., Ганн Ю. М., Николайчик </w:t>
      </w:r>
      <w:r>
        <w:rPr>
          <w:spacing w:val="-3"/>
          <w:sz w:val="28"/>
        </w:rPr>
        <w:t>И. </w:t>
      </w:r>
      <w:r>
        <w:rPr>
          <w:sz w:val="28"/>
        </w:rPr>
        <w:t>Р. Факторный анализ проявлений полиорганной недостаточности и их роли в наступлении неблагоприятного исхода у пострадавших, с сочетанной травмой живота. </w:t>
      </w:r>
      <w:r>
        <w:rPr>
          <w:i/>
          <w:sz w:val="28"/>
        </w:rPr>
        <w:t>Мед. </w:t>
      </w:r>
      <w:r>
        <w:rPr>
          <w:i/>
          <w:sz w:val="28"/>
        </w:rPr>
        <w:t>журнал</w:t>
      </w:r>
      <w:r>
        <w:rPr>
          <w:sz w:val="28"/>
        </w:rPr>
        <w:t>, 2009, № 2. С.</w:t>
      </w:r>
      <w:r>
        <w:rPr>
          <w:spacing w:val="10"/>
          <w:sz w:val="28"/>
        </w:rPr>
        <w:t> </w:t>
      </w:r>
      <w:r>
        <w:rPr>
          <w:sz w:val="28"/>
        </w:rPr>
        <w:t>19–23.</w:t>
      </w:r>
    </w:p>
    <w:p>
      <w:pPr>
        <w:pStyle w:val="ListParagraph"/>
        <w:numPr>
          <w:ilvl w:val="0"/>
          <w:numId w:val="4"/>
        </w:numPr>
        <w:tabs>
          <w:tab w:pos="1345" w:val="left" w:leader="none"/>
        </w:tabs>
        <w:spacing w:line="240" w:lineRule="auto" w:before="0" w:after="0"/>
        <w:ind w:left="193" w:right="611" w:firstLine="710"/>
        <w:jc w:val="both"/>
        <w:rPr>
          <w:sz w:val="28"/>
        </w:rPr>
      </w:pPr>
      <w:r>
        <w:rPr>
          <w:sz w:val="28"/>
        </w:rPr>
        <w:t>Герасимов Л. В., Мороз В. В., Исакова </w:t>
      </w:r>
      <w:r>
        <w:rPr>
          <w:spacing w:val="-3"/>
          <w:sz w:val="28"/>
        </w:rPr>
        <w:t>А. А. </w:t>
      </w:r>
      <w:r>
        <w:rPr>
          <w:sz w:val="28"/>
        </w:rPr>
        <w:t>Микрореологические на рушения при критических состояниях. </w:t>
      </w:r>
      <w:r>
        <w:rPr>
          <w:i/>
          <w:sz w:val="28"/>
        </w:rPr>
        <w:t>Общая реаниматология</w:t>
      </w:r>
      <w:r>
        <w:rPr>
          <w:sz w:val="28"/>
        </w:rPr>
        <w:t>. 2010; 6 (1): 74– 78.</w:t>
      </w:r>
    </w:p>
    <w:p>
      <w:pPr>
        <w:pStyle w:val="BodyText"/>
        <w:ind w:right="614" w:firstLine="710"/>
      </w:pPr>
      <w:r>
        <w:rPr/>
        <w:t>21 Манцкава М. М., Момцелидзе Н. Г., Давлианидзе А. Ш. Реологические свойства крови при кровопотере (экспериментальное исследование). </w:t>
      </w:r>
      <w:r>
        <w:rPr>
          <w:i/>
        </w:rPr>
        <w:t>Общая </w:t>
      </w:r>
      <w:r>
        <w:rPr>
          <w:i/>
        </w:rPr>
        <w:t>реаниматология</w:t>
      </w:r>
      <w:r>
        <w:rPr/>
        <w:t>, 2014. 10 (5). С. 27–32.</w:t>
      </w:r>
    </w:p>
    <w:p>
      <w:pPr>
        <w:pStyle w:val="BodyText"/>
        <w:spacing w:before="3"/>
        <w:ind w:left="0"/>
        <w:jc w:val="left"/>
      </w:pPr>
    </w:p>
    <w:p>
      <w:pPr>
        <w:pStyle w:val="Heading1"/>
        <w:ind w:left="2771" w:right="633" w:hanging="1840"/>
        <w:jc w:val="left"/>
      </w:pPr>
      <w:r>
        <w:rPr/>
        <w:t>ТРАВМАТИЧЕСКИЙ БОЛЕВОЙ ШОК КАК ПРЕДМЕТ СУДЕБНО- ВЕТИРИНАРНОЙ ЭКСПЕРТИЗЫ</w:t>
      </w:r>
    </w:p>
    <w:p>
      <w:pPr>
        <w:pStyle w:val="BodyText"/>
        <w:spacing w:line="316" w:lineRule="exact"/>
        <w:ind w:left="2287"/>
      </w:pPr>
      <w:r>
        <w:rPr/>
        <w:t>Скрипка М. , Яценко И. , Паникар В. , Севастеев А.</w:t>
      </w:r>
    </w:p>
    <w:p>
      <w:pPr>
        <w:spacing w:line="240" w:lineRule="auto" w:before="0"/>
        <w:ind w:left="193" w:right="610" w:firstLine="710"/>
        <w:jc w:val="both"/>
        <w:rPr>
          <w:i/>
          <w:sz w:val="28"/>
        </w:rPr>
      </w:pPr>
      <w:r>
        <w:rPr>
          <w:i/>
          <w:sz w:val="28"/>
        </w:rPr>
        <w:t>По материалам судебных дел и результатами проведенных судебно- </w:t>
      </w:r>
      <w:r>
        <w:rPr>
          <w:i/>
          <w:sz w:val="28"/>
        </w:rPr>
        <w:t>ветеринарных исследований трупов животных с признаками телесных повреждений, в каждом отдельном случае было определено, к развитию которого шокового состояния привела та или иная механическая травма. Термин «травматический шок» является обобщением механизмов реакции организма животных на те или иные повреждения. Учитывая разнообразие классификаций видов шока, можно утверждать, что в зависимости от вида травмы патогенез, а соответственно и патоморфологические изменения шокового состояния, будут иметь свои особенности.</w:t>
      </w:r>
    </w:p>
    <w:p>
      <w:pPr>
        <w:spacing w:before="3"/>
        <w:ind w:left="193" w:right="619" w:firstLine="710"/>
        <w:jc w:val="both"/>
        <w:rPr>
          <w:i/>
          <w:sz w:val="28"/>
        </w:rPr>
      </w:pPr>
      <w:r>
        <w:rPr>
          <w:b/>
          <w:i/>
          <w:color w:val="212121"/>
          <w:sz w:val="28"/>
        </w:rPr>
        <w:t>Ключевые слова: </w:t>
      </w:r>
      <w:r>
        <w:rPr>
          <w:i/>
          <w:sz w:val="28"/>
        </w:rPr>
        <w:t>шок, травма, повреждения, патоморфологические </w:t>
      </w:r>
      <w:r>
        <w:rPr>
          <w:i/>
          <w:sz w:val="28"/>
        </w:rPr>
        <w:t>изменения, судебное дело.</w:t>
      </w:r>
    </w:p>
    <w:p>
      <w:pPr>
        <w:spacing w:after="0"/>
        <w:jc w:val="both"/>
        <w:rPr>
          <w:sz w:val="28"/>
        </w:rPr>
        <w:sectPr>
          <w:pgSz w:w="11910" w:h="16840"/>
          <w:pgMar w:header="713" w:footer="778" w:top="1140" w:bottom="960" w:left="940" w:right="520"/>
        </w:sectPr>
      </w:pPr>
    </w:p>
    <w:p>
      <w:pPr>
        <w:pStyle w:val="Heading1"/>
        <w:spacing w:before="96"/>
        <w:ind w:left="2954" w:right="1258" w:hanging="1398"/>
        <w:jc w:val="left"/>
      </w:pPr>
      <w:r>
        <w:rPr/>
        <w:t>TRANMATIK PAIN SHOCK AS A SUBJECT OF FORENSIC VETERENARY EXAMINATION</w:t>
      </w:r>
    </w:p>
    <w:p>
      <w:pPr>
        <w:pStyle w:val="BodyText"/>
        <w:spacing w:line="316" w:lineRule="exact"/>
        <w:ind w:left="2522"/>
      </w:pPr>
      <w:r>
        <w:rPr/>
        <w:t>Skrypka M., Yatsenko I., Panikar V., Sevasteev A.</w:t>
      </w:r>
    </w:p>
    <w:p>
      <w:pPr>
        <w:spacing w:line="240" w:lineRule="auto" w:before="0"/>
        <w:ind w:left="193" w:right="607" w:firstLine="710"/>
        <w:jc w:val="both"/>
        <w:rPr>
          <w:i/>
          <w:sz w:val="28"/>
        </w:rPr>
      </w:pPr>
      <w:r>
        <w:rPr>
          <w:i/>
          <w:sz w:val="28"/>
        </w:rPr>
        <w:t>According to the materials of the court cases and the results of the forensic </w:t>
      </w:r>
      <w:r>
        <w:rPr>
          <w:i/>
          <w:sz w:val="28"/>
        </w:rPr>
        <w:t>veterinary researches of animal corpses with signs of bodily harm, </w:t>
      </w:r>
      <w:r>
        <w:rPr>
          <w:i/>
          <w:spacing w:val="5"/>
          <w:sz w:val="28"/>
        </w:rPr>
        <w:t>it </w:t>
      </w:r>
      <w:r>
        <w:rPr>
          <w:i/>
          <w:spacing w:val="-3"/>
          <w:sz w:val="28"/>
        </w:rPr>
        <w:t>was </w:t>
      </w:r>
      <w:r>
        <w:rPr>
          <w:i/>
          <w:sz w:val="28"/>
        </w:rPr>
        <w:t>determined in</w:t>
      </w:r>
      <w:r>
        <w:rPr>
          <w:i/>
          <w:spacing w:val="-13"/>
          <w:sz w:val="28"/>
        </w:rPr>
        <w:t> </w:t>
      </w:r>
      <w:r>
        <w:rPr>
          <w:i/>
          <w:sz w:val="28"/>
        </w:rPr>
        <w:t>each</w:t>
      </w:r>
      <w:r>
        <w:rPr>
          <w:i/>
          <w:spacing w:val="-11"/>
          <w:sz w:val="28"/>
        </w:rPr>
        <w:t> </w:t>
      </w:r>
      <w:r>
        <w:rPr>
          <w:i/>
          <w:sz w:val="28"/>
        </w:rPr>
        <w:t>individual</w:t>
      </w:r>
      <w:r>
        <w:rPr>
          <w:i/>
          <w:spacing w:val="-12"/>
          <w:sz w:val="28"/>
        </w:rPr>
        <w:t> </w:t>
      </w:r>
      <w:r>
        <w:rPr>
          <w:i/>
          <w:sz w:val="28"/>
        </w:rPr>
        <w:t>case,</w:t>
      </w:r>
      <w:r>
        <w:rPr>
          <w:i/>
          <w:spacing w:val="-9"/>
          <w:sz w:val="28"/>
        </w:rPr>
        <w:t> </w:t>
      </w:r>
      <w:r>
        <w:rPr>
          <w:i/>
          <w:sz w:val="28"/>
        </w:rPr>
        <w:t>the</w:t>
      </w:r>
      <w:r>
        <w:rPr>
          <w:i/>
          <w:spacing w:val="-11"/>
          <w:sz w:val="28"/>
        </w:rPr>
        <w:t> </w:t>
      </w:r>
      <w:r>
        <w:rPr>
          <w:i/>
          <w:sz w:val="28"/>
        </w:rPr>
        <w:t>development</w:t>
      </w:r>
      <w:r>
        <w:rPr>
          <w:i/>
          <w:spacing w:val="-12"/>
          <w:sz w:val="28"/>
        </w:rPr>
        <w:t> </w:t>
      </w:r>
      <w:r>
        <w:rPr>
          <w:i/>
          <w:sz w:val="28"/>
        </w:rPr>
        <w:t>of</w:t>
      </w:r>
      <w:r>
        <w:rPr>
          <w:i/>
          <w:spacing w:val="-8"/>
          <w:sz w:val="28"/>
        </w:rPr>
        <w:t> </w:t>
      </w:r>
      <w:r>
        <w:rPr>
          <w:i/>
          <w:sz w:val="28"/>
        </w:rPr>
        <w:t>which</w:t>
      </w:r>
      <w:r>
        <w:rPr>
          <w:i/>
          <w:spacing w:val="-11"/>
          <w:sz w:val="28"/>
        </w:rPr>
        <w:t> </w:t>
      </w:r>
      <w:r>
        <w:rPr>
          <w:i/>
          <w:sz w:val="28"/>
        </w:rPr>
        <w:t>a</w:t>
      </w:r>
      <w:r>
        <w:rPr>
          <w:i/>
          <w:spacing w:val="-7"/>
          <w:sz w:val="28"/>
        </w:rPr>
        <w:t> </w:t>
      </w:r>
      <w:r>
        <w:rPr>
          <w:i/>
          <w:sz w:val="28"/>
        </w:rPr>
        <w:t>shock</w:t>
      </w:r>
      <w:r>
        <w:rPr>
          <w:i/>
          <w:spacing w:val="-10"/>
          <w:sz w:val="28"/>
        </w:rPr>
        <w:t> </w:t>
      </w:r>
      <w:r>
        <w:rPr>
          <w:i/>
          <w:sz w:val="28"/>
        </w:rPr>
        <w:t>condition</w:t>
      </w:r>
      <w:r>
        <w:rPr>
          <w:i/>
          <w:spacing w:val="-11"/>
          <w:sz w:val="28"/>
        </w:rPr>
        <w:t> </w:t>
      </w:r>
      <w:r>
        <w:rPr>
          <w:i/>
          <w:sz w:val="28"/>
        </w:rPr>
        <w:t>led</w:t>
      </w:r>
      <w:r>
        <w:rPr>
          <w:i/>
          <w:spacing w:val="-11"/>
          <w:sz w:val="28"/>
        </w:rPr>
        <w:t> </w:t>
      </w:r>
      <w:r>
        <w:rPr>
          <w:i/>
          <w:sz w:val="28"/>
        </w:rPr>
        <w:t>to</w:t>
      </w:r>
      <w:r>
        <w:rPr>
          <w:i/>
          <w:spacing w:val="-13"/>
          <w:sz w:val="28"/>
        </w:rPr>
        <w:t> </w:t>
      </w:r>
      <w:r>
        <w:rPr>
          <w:i/>
          <w:sz w:val="28"/>
        </w:rPr>
        <w:t>a</w:t>
      </w:r>
      <w:r>
        <w:rPr>
          <w:i/>
          <w:spacing w:val="-6"/>
          <w:sz w:val="28"/>
        </w:rPr>
        <w:t> </w:t>
      </w:r>
      <w:r>
        <w:rPr>
          <w:i/>
          <w:sz w:val="28"/>
        </w:rPr>
        <w:t>particular mechanical injury. The term "traumatic shock" is a generalization of the reaction mechanisms of the animal organism to certain injuries. Given the variety of classifications</w:t>
      </w:r>
      <w:r>
        <w:rPr>
          <w:i/>
          <w:spacing w:val="-6"/>
          <w:sz w:val="28"/>
        </w:rPr>
        <w:t> </w:t>
      </w:r>
      <w:r>
        <w:rPr>
          <w:i/>
          <w:sz w:val="28"/>
        </w:rPr>
        <w:t>of</w:t>
      </w:r>
      <w:r>
        <w:rPr>
          <w:i/>
          <w:spacing w:val="-7"/>
          <w:sz w:val="28"/>
        </w:rPr>
        <w:t> </w:t>
      </w:r>
      <w:r>
        <w:rPr>
          <w:i/>
          <w:sz w:val="28"/>
        </w:rPr>
        <w:t>types</w:t>
      </w:r>
      <w:r>
        <w:rPr>
          <w:i/>
          <w:spacing w:val="-5"/>
          <w:sz w:val="28"/>
        </w:rPr>
        <w:t> </w:t>
      </w:r>
      <w:r>
        <w:rPr>
          <w:i/>
          <w:sz w:val="28"/>
        </w:rPr>
        <w:t>of</w:t>
      </w:r>
      <w:r>
        <w:rPr>
          <w:i/>
          <w:spacing w:val="-8"/>
          <w:sz w:val="28"/>
        </w:rPr>
        <w:t> </w:t>
      </w:r>
      <w:r>
        <w:rPr>
          <w:i/>
          <w:sz w:val="28"/>
        </w:rPr>
        <w:t>shock,</w:t>
      </w:r>
      <w:r>
        <w:rPr>
          <w:i/>
          <w:spacing w:val="-4"/>
          <w:sz w:val="28"/>
        </w:rPr>
        <w:t> </w:t>
      </w:r>
      <w:r>
        <w:rPr>
          <w:i/>
          <w:sz w:val="28"/>
        </w:rPr>
        <w:t>it</w:t>
      </w:r>
      <w:r>
        <w:rPr>
          <w:i/>
          <w:spacing w:val="-8"/>
          <w:sz w:val="28"/>
        </w:rPr>
        <w:t> </w:t>
      </w:r>
      <w:r>
        <w:rPr>
          <w:i/>
          <w:sz w:val="28"/>
        </w:rPr>
        <w:t>can</w:t>
      </w:r>
      <w:r>
        <w:rPr>
          <w:i/>
          <w:spacing w:val="-6"/>
          <w:sz w:val="28"/>
        </w:rPr>
        <w:t> </w:t>
      </w:r>
      <w:r>
        <w:rPr>
          <w:i/>
          <w:sz w:val="28"/>
        </w:rPr>
        <w:t>be</w:t>
      </w:r>
      <w:r>
        <w:rPr>
          <w:i/>
          <w:spacing w:val="-7"/>
          <w:sz w:val="28"/>
        </w:rPr>
        <w:t> </w:t>
      </w:r>
      <w:r>
        <w:rPr>
          <w:i/>
          <w:sz w:val="28"/>
        </w:rPr>
        <w:t>argued</w:t>
      </w:r>
      <w:r>
        <w:rPr>
          <w:i/>
          <w:spacing w:val="-6"/>
          <w:sz w:val="28"/>
        </w:rPr>
        <w:t> </w:t>
      </w:r>
      <w:r>
        <w:rPr>
          <w:i/>
          <w:sz w:val="28"/>
        </w:rPr>
        <w:t>that,</w:t>
      </w:r>
      <w:r>
        <w:rPr>
          <w:i/>
          <w:spacing w:val="-5"/>
          <w:sz w:val="28"/>
        </w:rPr>
        <w:t> </w:t>
      </w:r>
      <w:r>
        <w:rPr>
          <w:i/>
          <w:sz w:val="28"/>
        </w:rPr>
        <w:t>depending</w:t>
      </w:r>
      <w:r>
        <w:rPr>
          <w:i/>
          <w:spacing w:val="-7"/>
          <w:sz w:val="28"/>
        </w:rPr>
        <w:t> </w:t>
      </w:r>
      <w:r>
        <w:rPr>
          <w:i/>
          <w:sz w:val="28"/>
        </w:rPr>
        <w:t>on</w:t>
      </w:r>
      <w:r>
        <w:rPr>
          <w:i/>
          <w:spacing w:val="-7"/>
          <w:sz w:val="28"/>
        </w:rPr>
        <w:t> </w:t>
      </w:r>
      <w:r>
        <w:rPr>
          <w:i/>
          <w:sz w:val="28"/>
        </w:rPr>
        <w:t>the</w:t>
      </w:r>
      <w:r>
        <w:rPr>
          <w:i/>
          <w:spacing w:val="-6"/>
          <w:sz w:val="28"/>
        </w:rPr>
        <w:t> </w:t>
      </w:r>
      <w:r>
        <w:rPr>
          <w:i/>
          <w:sz w:val="28"/>
        </w:rPr>
        <w:t>type</w:t>
      </w:r>
      <w:r>
        <w:rPr>
          <w:i/>
          <w:spacing w:val="-6"/>
          <w:sz w:val="28"/>
        </w:rPr>
        <w:t> </w:t>
      </w:r>
      <w:r>
        <w:rPr>
          <w:i/>
          <w:sz w:val="28"/>
        </w:rPr>
        <w:t>of</w:t>
      </w:r>
      <w:r>
        <w:rPr>
          <w:i/>
          <w:spacing w:val="-7"/>
          <w:sz w:val="28"/>
        </w:rPr>
        <w:t> </w:t>
      </w:r>
      <w:r>
        <w:rPr>
          <w:i/>
          <w:sz w:val="28"/>
        </w:rPr>
        <w:t>injury, pathogenesis, and accordingly pathomorphological changes in the state of shock, will have their own</w:t>
      </w:r>
      <w:r>
        <w:rPr>
          <w:i/>
          <w:spacing w:val="5"/>
          <w:sz w:val="28"/>
        </w:rPr>
        <w:t> </w:t>
      </w:r>
      <w:r>
        <w:rPr>
          <w:i/>
          <w:sz w:val="28"/>
        </w:rPr>
        <w:t>characteristics.</w:t>
      </w:r>
    </w:p>
    <w:p>
      <w:pPr>
        <w:spacing w:before="3"/>
        <w:ind w:left="754" w:right="0" w:firstLine="0"/>
        <w:jc w:val="both"/>
        <w:rPr>
          <w:i/>
          <w:sz w:val="28"/>
        </w:rPr>
      </w:pPr>
      <w:r>
        <w:rPr>
          <w:b/>
          <w:i/>
          <w:sz w:val="28"/>
        </w:rPr>
        <w:t>Key words: </w:t>
      </w:r>
      <w:r>
        <w:rPr>
          <w:i/>
          <w:sz w:val="28"/>
        </w:rPr>
        <w:t>shock, trauma, damage, pathomorphological changes, court case.</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right="0"/>
        <w:jc w:val="left"/>
      </w:pPr>
      <w:r>
        <w:rPr/>
        <w:t>УДК</w:t>
      </w:r>
      <w:r>
        <w:rPr>
          <w:spacing w:val="-1"/>
        </w:rPr>
        <w:t> </w:t>
      </w:r>
      <w:r>
        <w:rPr/>
        <w:t>616-006.6</w:t>
        <w:tab/>
        <w:t>DOI:</w:t>
      </w:r>
      <w:r>
        <w:rPr>
          <w:spacing w:val="-1"/>
        </w:rPr>
        <w:t> </w:t>
      </w:r>
      <w:r>
        <w:rPr/>
        <w:t>10.37000/abbsl.2020.96.02</w:t>
      </w:r>
    </w:p>
    <w:p>
      <w:pPr>
        <w:pStyle w:val="BodyText"/>
        <w:spacing w:before="11"/>
        <w:ind w:left="0"/>
        <w:jc w:val="left"/>
        <w:rPr>
          <w:b/>
          <w:sz w:val="27"/>
        </w:rPr>
      </w:pPr>
    </w:p>
    <w:p>
      <w:pPr>
        <w:spacing w:before="0"/>
        <w:ind w:left="2522" w:right="0" w:hanging="1527"/>
        <w:jc w:val="left"/>
        <w:rPr>
          <w:b/>
          <w:sz w:val="28"/>
        </w:rPr>
      </w:pPr>
      <w:r>
        <w:rPr>
          <w:b/>
          <w:sz w:val="28"/>
        </w:rPr>
        <w:t>ПАРАНЕОПЛАСТИЧНІ СИНДРОМИ ТА УСКЛАДНЕННЯ ПІСЛЯ ХІМІОТЕРАПІЇ У ДРІБНИХ ТВАРИН</w:t>
      </w:r>
    </w:p>
    <w:p>
      <w:pPr>
        <w:spacing w:line="317" w:lineRule="exact" w:before="0"/>
        <w:ind w:left="897" w:right="603" w:firstLine="0"/>
        <w:jc w:val="center"/>
        <w:rPr>
          <w:b/>
          <w:sz w:val="28"/>
        </w:rPr>
      </w:pPr>
      <w:r>
        <w:rPr>
          <w:b/>
          <w:sz w:val="28"/>
        </w:rPr>
        <w:t>Ж. Коренєва</w:t>
      </w:r>
      <w:r>
        <w:rPr>
          <w:sz w:val="28"/>
        </w:rPr>
        <w:t>, </w:t>
      </w:r>
      <w:r>
        <w:rPr>
          <w:b/>
          <w:sz w:val="28"/>
        </w:rPr>
        <w:t>О. Ушаков, М. Хімич</w:t>
      </w:r>
      <w:r>
        <w:rPr>
          <w:sz w:val="28"/>
        </w:rPr>
        <w:t>, </w:t>
      </w:r>
      <w:r>
        <w:rPr>
          <w:b/>
          <w:sz w:val="28"/>
        </w:rPr>
        <w:t>О. Найдіч</w:t>
      </w:r>
    </w:p>
    <w:p>
      <w:pPr>
        <w:spacing w:before="5"/>
        <w:ind w:left="886" w:right="603" w:firstLine="0"/>
        <w:jc w:val="center"/>
        <w:rPr>
          <w:i/>
          <w:sz w:val="28"/>
        </w:rPr>
      </w:pPr>
      <w:r>
        <w:rPr>
          <w:i/>
          <w:sz w:val="28"/>
        </w:rPr>
        <w:t>Одеський державний аграрний університет</w:t>
      </w:r>
    </w:p>
    <w:p>
      <w:pPr>
        <w:pStyle w:val="BodyText"/>
        <w:spacing w:before="8"/>
        <w:ind w:left="0"/>
        <w:jc w:val="left"/>
        <w:rPr>
          <w:i/>
          <w:sz w:val="23"/>
        </w:rPr>
      </w:pPr>
    </w:p>
    <w:p>
      <w:pPr>
        <w:spacing w:line="240" w:lineRule="auto" w:before="0"/>
        <w:ind w:left="193" w:right="609" w:firstLine="710"/>
        <w:jc w:val="both"/>
        <w:rPr>
          <w:i/>
          <w:sz w:val="28"/>
        </w:rPr>
      </w:pPr>
      <w:r>
        <w:rPr>
          <w:i/>
          <w:sz w:val="28"/>
        </w:rPr>
        <w:t>Паранеопластичні синдроми (ПНС) - клінічні симптоми, розвиток яких </w:t>
      </w:r>
      <w:r>
        <w:rPr>
          <w:i/>
          <w:sz w:val="28"/>
        </w:rPr>
        <w:t>обумовлений, в більшості випадків неспецифічними реакціями з боку органів і систем хворого організму та розвиток в організмі пухлини. В патогенезі розвитку ПНС є спільні риси: поява лише при наявності певної пухлини, в більшості випадків злоякісної; неспецифічність клінічного прояву; відсутність зв’язку з певними місцевими змінами в уражених органах і тканинах; зникнення після видалення пухлини та поява знову за рецидиву. В залежності від симптоматики в клінічній ветеринарній практиці виділять такі паранеопластичні синдроми: ендокринні, м’язово-скелетні, серцево-судинні, дерматологічні, гематологічні, гастроентерологічні, нефрологічні, неврологічні, атипові та змішаними. Останнім часом діагностика пухлин у тварин</w:t>
      </w:r>
      <w:r>
        <w:rPr>
          <w:i/>
          <w:spacing w:val="-16"/>
          <w:sz w:val="28"/>
        </w:rPr>
        <w:t> </w:t>
      </w:r>
      <w:r>
        <w:rPr>
          <w:i/>
          <w:sz w:val="28"/>
        </w:rPr>
        <w:t>значно</w:t>
      </w:r>
      <w:r>
        <w:rPr>
          <w:i/>
          <w:spacing w:val="-16"/>
          <w:sz w:val="28"/>
        </w:rPr>
        <w:t> </w:t>
      </w:r>
      <w:r>
        <w:rPr>
          <w:i/>
          <w:sz w:val="28"/>
        </w:rPr>
        <w:t>розширилася</w:t>
      </w:r>
      <w:r>
        <w:rPr>
          <w:i/>
          <w:spacing w:val="-12"/>
          <w:sz w:val="28"/>
        </w:rPr>
        <w:t> </w:t>
      </w:r>
      <w:r>
        <w:rPr>
          <w:i/>
          <w:sz w:val="28"/>
        </w:rPr>
        <w:t>та</w:t>
      </w:r>
      <w:r>
        <w:rPr>
          <w:i/>
          <w:spacing w:val="-16"/>
          <w:sz w:val="28"/>
        </w:rPr>
        <w:t> </w:t>
      </w:r>
      <w:r>
        <w:rPr>
          <w:i/>
          <w:sz w:val="28"/>
        </w:rPr>
        <w:t>покращилася,</w:t>
      </w:r>
      <w:r>
        <w:rPr>
          <w:i/>
          <w:spacing w:val="-14"/>
          <w:sz w:val="28"/>
        </w:rPr>
        <w:t> </w:t>
      </w:r>
      <w:r>
        <w:rPr>
          <w:i/>
          <w:sz w:val="28"/>
        </w:rPr>
        <w:t>що</w:t>
      </w:r>
      <w:r>
        <w:rPr>
          <w:i/>
          <w:spacing w:val="-15"/>
          <w:sz w:val="28"/>
        </w:rPr>
        <w:t> </w:t>
      </w:r>
      <w:r>
        <w:rPr>
          <w:i/>
          <w:sz w:val="28"/>
        </w:rPr>
        <w:t>дає</w:t>
      </w:r>
      <w:r>
        <w:rPr>
          <w:i/>
          <w:spacing w:val="-18"/>
          <w:sz w:val="28"/>
        </w:rPr>
        <w:t> </w:t>
      </w:r>
      <w:r>
        <w:rPr>
          <w:i/>
          <w:sz w:val="28"/>
        </w:rPr>
        <w:t>можливість</w:t>
      </w:r>
      <w:r>
        <w:rPr>
          <w:i/>
          <w:spacing w:val="-17"/>
          <w:sz w:val="28"/>
        </w:rPr>
        <w:t> </w:t>
      </w:r>
      <w:r>
        <w:rPr>
          <w:i/>
          <w:sz w:val="28"/>
        </w:rPr>
        <w:t>ветеринарним лікарям діагностувати пухлини на ранніх стадіях і допомагати тваринам. При призначенні</w:t>
      </w:r>
      <w:r>
        <w:rPr>
          <w:i/>
          <w:spacing w:val="-14"/>
          <w:sz w:val="28"/>
        </w:rPr>
        <w:t> </w:t>
      </w:r>
      <w:r>
        <w:rPr>
          <w:i/>
          <w:sz w:val="28"/>
        </w:rPr>
        <w:t>хіміопрепаратів,</w:t>
      </w:r>
      <w:r>
        <w:rPr>
          <w:i/>
          <w:spacing w:val="-10"/>
          <w:sz w:val="28"/>
        </w:rPr>
        <w:t> </w:t>
      </w:r>
      <w:r>
        <w:rPr>
          <w:i/>
          <w:sz w:val="28"/>
        </w:rPr>
        <w:t>в</w:t>
      </w:r>
      <w:r>
        <w:rPr>
          <w:i/>
          <w:spacing w:val="-15"/>
          <w:sz w:val="28"/>
        </w:rPr>
        <w:t> </w:t>
      </w:r>
      <w:r>
        <w:rPr>
          <w:i/>
          <w:sz w:val="28"/>
        </w:rPr>
        <w:t>першу</w:t>
      </w:r>
      <w:r>
        <w:rPr>
          <w:i/>
          <w:spacing w:val="-14"/>
          <w:sz w:val="28"/>
        </w:rPr>
        <w:t> </w:t>
      </w:r>
      <w:r>
        <w:rPr>
          <w:i/>
          <w:sz w:val="28"/>
        </w:rPr>
        <w:t>чергу,</w:t>
      </w:r>
      <w:r>
        <w:rPr>
          <w:i/>
          <w:spacing w:val="-12"/>
          <w:sz w:val="28"/>
        </w:rPr>
        <w:t> </w:t>
      </w:r>
      <w:r>
        <w:rPr>
          <w:i/>
          <w:sz w:val="28"/>
        </w:rPr>
        <w:t>страждають</w:t>
      </w:r>
      <w:r>
        <w:rPr>
          <w:i/>
          <w:spacing w:val="-16"/>
          <w:sz w:val="28"/>
        </w:rPr>
        <w:t> </w:t>
      </w:r>
      <w:r>
        <w:rPr>
          <w:i/>
          <w:sz w:val="28"/>
        </w:rPr>
        <w:t>здорові</w:t>
      </w:r>
      <w:r>
        <w:rPr>
          <w:i/>
          <w:spacing w:val="-10"/>
          <w:sz w:val="28"/>
        </w:rPr>
        <w:t> </w:t>
      </w:r>
      <w:r>
        <w:rPr>
          <w:i/>
          <w:sz w:val="28"/>
        </w:rPr>
        <w:t>клітини,</w:t>
      </w:r>
      <w:r>
        <w:rPr>
          <w:i/>
          <w:spacing w:val="-13"/>
          <w:sz w:val="28"/>
        </w:rPr>
        <w:t> </w:t>
      </w:r>
      <w:r>
        <w:rPr>
          <w:i/>
          <w:sz w:val="28"/>
        </w:rPr>
        <w:t>саме вони пошкоджуються першими, при застосуванні всіх протипухлинних препаратів. Головним недоліком хіміотерапевтичних препаратів є відсутність строго</w:t>
      </w:r>
      <w:r>
        <w:rPr>
          <w:i/>
          <w:spacing w:val="-18"/>
          <w:sz w:val="28"/>
        </w:rPr>
        <w:t> </w:t>
      </w:r>
      <w:r>
        <w:rPr>
          <w:i/>
          <w:sz w:val="28"/>
        </w:rPr>
        <w:t>вибіркової</w:t>
      </w:r>
      <w:r>
        <w:rPr>
          <w:i/>
          <w:spacing w:val="-18"/>
          <w:sz w:val="28"/>
        </w:rPr>
        <w:t> </w:t>
      </w:r>
      <w:r>
        <w:rPr>
          <w:i/>
          <w:sz w:val="28"/>
        </w:rPr>
        <w:t>дії</w:t>
      </w:r>
      <w:r>
        <w:rPr>
          <w:i/>
          <w:spacing w:val="-18"/>
          <w:sz w:val="28"/>
        </w:rPr>
        <w:t> </w:t>
      </w:r>
      <w:r>
        <w:rPr>
          <w:i/>
          <w:sz w:val="28"/>
        </w:rPr>
        <w:t>препарату,</w:t>
      </w:r>
      <w:r>
        <w:rPr>
          <w:i/>
          <w:spacing w:val="-15"/>
          <w:sz w:val="28"/>
        </w:rPr>
        <w:t> </w:t>
      </w:r>
      <w:r>
        <w:rPr>
          <w:i/>
          <w:sz w:val="28"/>
        </w:rPr>
        <w:t>яка</w:t>
      </w:r>
      <w:r>
        <w:rPr>
          <w:i/>
          <w:spacing w:val="-17"/>
          <w:sz w:val="28"/>
        </w:rPr>
        <w:t> </w:t>
      </w:r>
      <w:r>
        <w:rPr>
          <w:i/>
          <w:sz w:val="28"/>
        </w:rPr>
        <w:t>була</w:t>
      </w:r>
      <w:r>
        <w:rPr>
          <w:i/>
          <w:spacing w:val="-17"/>
          <w:sz w:val="28"/>
        </w:rPr>
        <w:t> </w:t>
      </w:r>
      <w:r>
        <w:rPr>
          <w:i/>
          <w:sz w:val="28"/>
        </w:rPr>
        <w:t>б</w:t>
      </w:r>
      <w:r>
        <w:rPr>
          <w:i/>
          <w:spacing w:val="-18"/>
          <w:sz w:val="28"/>
        </w:rPr>
        <w:t> </w:t>
      </w:r>
      <w:r>
        <w:rPr>
          <w:i/>
          <w:sz w:val="28"/>
        </w:rPr>
        <w:t>спрямована</w:t>
      </w:r>
      <w:r>
        <w:rPr>
          <w:i/>
          <w:spacing w:val="-18"/>
          <w:sz w:val="28"/>
        </w:rPr>
        <w:t> </w:t>
      </w:r>
      <w:r>
        <w:rPr>
          <w:i/>
          <w:sz w:val="28"/>
        </w:rPr>
        <w:t>на</w:t>
      </w:r>
      <w:r>
        <w:rPr>
          <w:i/>
          <w:spacing w:val="-17"/>
          <w:sz w:val="28"/>
        </w:rPr>
        <w:t> </w:t>
      </w:r>
      <w:r>
        <w:rPr>
          <w:i/>
          <w:sz w:val="28"/>
        </w:rPr>
        <w:t>знешкодження</w:t>
      </w:r>
      <w:r>
        <w:rPr>
          <w:i/>
          <w:spacing w:val="-17"/>
          <w:sz w:val="28"/>
        </w:rPr>
        <w:t> </w:t>
      </w:r>
      <w:r>
        <w:rPr>
          <w:i/>
          <w:sz w:val="28"/>
        </w:rPr>
        <w:t>тільки клітин пухлини. Тому всі хіміотерапевтичні препарати мають ряд побічних дій і є додатковим навантаженням для хворого</w:t>
      </w:r>
      <w:r>
        <w:rPr>
          <w:i/>
          <w:spacing w:val="1"/>
          <w:sz w:val="28"/>
        </w:rPr>
        <w:t> </w:t>
      </w:r>
      <w:r>
        <w:rPr>
          <w:i/>
          <w:sz w:val="28"/>
        </w:rPr>
        <w:t>організму.</w:t>
      </w:r>
    </w:p>
    <w:p>
      <w:pPr>
        <w:spacing w:before="5"/>
        <w:ind w:left="193" w:right="623" w:firstLine="710"/>
        <w:jc w:val="both"/>
        <w:rPr>
          <w:i/>
          <w:sz w:val="28"/>
        </w:rPr>
      </w:pPr>
      <w:r>
        <w:rPr>
          <w:b/>
          <w:i/>
          <w:sz w:val="28"/>
        </w:rPr>
        <w:t>Ключові слова: </w:t>
      </w:r>
      <w:r>
        <w:rPr>
          <w:i/>
          <w:sz w:val="28"/>
        </w:rPr>
        <w:t>пухлина, паранеопластичні синдроми, хіміотерапія, </w:t>
      </w:r>
      <w:r>
        <w:rPr>
          <w:i/>
          <w:sz w:val="28"/>
        </w:rPr>
        <w:t>ускладнення, ветеринарія.</w:t>
      </w:r>
    </w:p>
    <w:p>
      <w:pPr>
        <w:pStyle w:val="BodyText"/>
        <w:spacing w:before="10"/>
        <w:ind w:left="0"/>
        <w:jc w:val="left"/>
        <w:rPr>
          <w:i/>
          <w:sz w:val="27"/>
        </w:rPr>
      </w:pPr>
    </w:p>
    <w:p>
      <w:pPr>
        <w:pStyle w:val="BodyText"/>
        <w:ind w:right="608" w:firstLine="710"/>
      </w:pPr>
      <w:r>
        <w:rPr>
          <w:b/>
        </w:rPr>
        <w:t>Постановка проблеми. </w:t>
      </w:r>
      <w:r>
        <w:rPr/>
        <w:t>Пухлина (бластома, новоутворення) – це нерегульоване організмом патологічне розростання тканини, що складається з атипових клітин, які здатні передавати свої патологічні властивості дочірнім клітинам. За різними теоріями, всі пухлини виникають з появи в організмі невеликої кількості атипових клітин «пухлинного осередку», саме за рахунок розмноження яких відбувається ріст пухлини. Всім пухлинам притаманні основні ознаки: атиповість, автономний ріст і прогресія. В процесі росту всі пухлини як доброякісні, так і злоякісні справляють певний вплив на організм. Для всіх пухлин характерна певна клінічна симптоматика. [18, 19]</w:t>
      </w:r>
    </w:p>
    <w:p>
      <w:pPr>
        <w:pStyle w:val="BodyText"/>
        <w:spacing w:before="3"/>
        <w:ind w:right="610" w:firstLine="710"/>
      </w:pPr>
      <w:r>
        <w:rPr/>
        <w:t>Симптоматика самого пухлинного росту пов’язана з збільшенням маси пухлини,</w:t>
      </w:r>
      <w:r>
        <w:rPr>
          <w:spacing w:val="-15"/>
        </w:rPr>
        <w:t> </w:t>
      </w:r>
      <w:r>
        <w:rPr/>
        <w:t>інвазійним</w:t>
      </w:r>
      <w:r>
        <w:rPr>
          <w:spacing w:val="-16"/>
        </w:rPr>
        <w:t> </w:t>
      </w:r>
      <w:r>
        <w:rPr/>
        <w:t>ростом</w:t>
      </w:r>
      <w:r>
        <w:rPr>
          <w:spacing w:val="-16"/>
        </w:rPr>
        <w:t> </w:t>
      </w:r>
      <w:r>
        <w:rPr/>
        <w:t>останньої</w:t>
      </w:r>
      <w:r>
        <w:rPr>
          <w:spacing w:val="-21"/>
        </w:rPr>
        <w:t> </w:t>
      </w:r>
      <w:r>
        <w:rPr/>
        <w:t>та</w:t>
      </w:r>
      <w:r>
        <w:rPr>
          <w:spacing w:val="-16"/>
        </w:rPr>
        <w:t> </w:t>
      </w:r>
      <w:r>
        <w:rPr/>
        <w:t>порушенням</w:t>
      </w:r>
      <w:r>
        <w:rPr>
          <w:spacing w:val="-15"/>
        </w:rPr>
        <w:t> </w:t>
      </w:r>
      <w:r>
        <w:rPr/>
        <w:t>структури</w:t>
      </w:r>
      <w:r>
        <w:rPr>
          <w:spacing w:val="-17"/>
        </w:rPr>
        <w:t> </w:t>
      </w:r>
      <w:r>
        <w:rPr/>
        <w:t>тканин,</w:t>
      </w:r>
      <w:r>
        <w:rPr>
          <w:spacing w:val="-15"/>
        </w:rPr>
        <w:t> </w:t>
      </w:r>
      <w:r>
        <w:rPr/>
        <w:t>появою реґіонарних та віддалених метастазів. [1, 17,</w:t>
      </w:r>
      <w:r>
        <w:rPr>
          <w:spacing w:val="5"/>
        </w:rPr>
        <w:t> </w:t>
      </w:r>
      <w:r>
        <w:rPr/>
        <w:t>20]</w:t>
      </w:r>
    </w:p>
    <w:p>
      <w:pPr>
        <w:pStyle w:val="BodyText"/>
        <w:ind w:right="607" w:firstLine="710"/>
      </w:pPr>
      <w:r>
        <w:rPr/>
        <w:t>Але деякі симптоми з’являються задовго до клінічного прояву основної патології, розвиваються так званні неонкологічні захворювання – паранеоплазії (паранеопластичні синдроми). Саме поява цих неспецифічних симптомів може слугувати першою ознакою наявності пухлини в організмі.[2]</w:t>
      </w:r>
    </w:p>
    <w:p>
      <w:pPr>
        <w:spacing w:after="0"/>
        <w:sectPr>
          <w:pgSz w:w="11910" w:h="16840"/>
          <w:pgMar w:header="713" w:footer="778" w:top="1140" w:bottom="960" w:left="940" w:right="520"/>
        </w:sectPr>
      </w:pPr>
    </w:p>
    <w:p>
      <w:pPr>
        <w:pStyle w:val="BodyText"/>
        <w:spacing w:line="237" w:lineRule="auto" w:before="99"/>
        <w:ind w:right="614" w:firstLine="710"/>
      </w:pPr>
      <w:r>
        <w:rPr>
          <w:b/>
        </w:rPr>
        <w:t>Аналіз останніх наукових досліджень та публікацій. </w:t>
      </w:r>
      <w:r>
        <w:rPr/>
        <w:t>Паранеопластичними синдромами (ПНС) як в гуманній, так і у ветеринарній медицині</w:t>
      </w:r>
      <w:r>
        <w:rPr>
          <w:spacing w:val="-18"/>
        </w:rPr>
        <w:t> </w:t>
      </w:r>
      <w:r>
        <w:rPr/>
        <w:t>називають</w:t>
      </w:r>
      <w:r>
        <w:rPr>
          <w:spacing w:val="-12"/>
        </w:rPr>
        <w:t> </w:t>
      </w:r>
      <w:r>
        <w:rPr/>
        <w:t>клінічні</w:t>
      </w:r>
      <w:r>
        <w:rPr>
          <w:spacing w:val="-17"/>
        </w:rPr>
        <w:t> </w:t>
      </w:r>
      <w:r>
        <w:rPr/>
        <w:t>симптоми,</w:t>
      </w:r>
      <w:r>
        <w:rPr>
          <w:spacing w:val="-11"/>
        </w:rPr>
        <w:t> </w:t>
      </w:r>
      <w:r>
        <w:rPr/>
        <w:t>розвиток</w:t>
      </w:r>
      <w:r>
        <w:rPr>
          <w:spacing w:val="-13"/>
        </w:rPr>
        <w:t> </w:t>
      </w:r>
      <w:r>
        <w:rPr/>
        <w:t>яких</w:t>
      </w:r>
      <w:r>
        <w:rPr>
          <w:spacing w:val="-18"/>
        </w:rPr>
        <w:t> </w:t>
      </w:r>
      <w:r>
        <w:rPr/>
        <w:t>обумовлений,</w:t>
      </w:r>
      <w:r>
        <w:rPr>
          <w:spacing w:val="-10"/>
        </w:rPr>
        <w:t> </w:t>
      </w:r>
      <w:r>
        <w:rPr/>
        <w:t>в</w:t>
      </w:r>
      <w:r>
        <w:rPr>
          <w:spacing w:val="-15"/>
        </w:rPr>
        <w:t> </w:t>
      </w:r>
      <w:r>
        <w:rPr/>
        <w:t>більшості випадків неспецифічними реакціями з боку органів і систем хворого</w:t>
      </w:r>
      <w:r>
        <w:rPr>
          <w:spacing w:val="68"/>
        </w:rPr>
        <w:t> </w:t>
      </w:r>
      <w:r>
        <w:rPr/>
        <w:t>організму.</w:t>
      </w:r>
    </w:p>
    <w:p>
      <w:pPr>
        <w:pStyle w:val="BodyText"/>
        <w:spacing w:line="242" w:lineRule="auto" w:before="5"/>
        <w:ind w:right="617"/>
      </w:pPr>
      <w:r>
        <w:rPr/>
        <w:t>[11] Термін “паранеопластичний синдром” був введений в онкологічну клінічну практику в 1948 р.</w:t>
      </w:r>
    </w:p>
    <w:p>
      <w:pPr>
        <w:pStyle w:val="BodyText"/>
        <w:ind w:right="619" w:firstLine="710"/>
      </w:pPr>
      <w:r>
        <w:rPr/>
        <w:t>В патогенезі розвитку ПНС провідні онкологи виділяють спільні риси, а саме:</w:t>
      </w:r>
      <w:r>
        <w:rPr>
          <w:spacing w:val="-17"/>
        </w:rPr>
        <w:t> </w:t>
      </w:r>
      <w:r>
        <w:rPr/>
        <w:t>поява</w:t>
      </w:r>
      <w:r>
        <w:rPr>
          <w:spacing w:val="-12"/>
        </w:rPr>
        <w:t> </w:t>
      </w:r>
      <w:r>
        <w:rPr/>
        <w:t>лише</w:t>
      </w:r>
      <w:r>
        <w:rPr>
          <w:spacing w:val="-11"/>
        </w:rPr>
        <w:t> </w:t>
      </w:r>
      <w:r>
        <w:rPr/>
        <w:t>при</w:t>
      </w:r>
      <w:r>
        <w:rPr>
          <w:spacing w:val="-13"/>
        </w:rPr>
        <w:t> </w:t>
      </w:r>
      <w:r>
        <w:rPr/>
        <w:t>наявності</w:t>
      </w:r>
      <w:r>
        <w:rPr>
          <w:spacing w:val="-17"/>
        </w:rPr>
        <w:t> </w:t>
      </w:r>
      <w:r>
        <w:rPr/>
        <w:t>певної</w:t>
      </w:r>
      <w:r>
        <w:rPr>
          <w:spacing w:val="-17"/>
        </w:rPr>
        <w:t> </w:t>
      </w:r>
      <w:r>
        <w:rPr/>
        <w:t>пухлини,</w:t>
      </w:r>
      <w:r>
        <w:rPr>
          <w:spacing w:val="-11"/>
        </w:rPr>
        <w:t> </w:t>
      </w:r>
      <w:r>
        <w:rPr/>
        <w:t>в</w:t>
      </w:r>
      <w:r>
        <w:rPr>
          <w:spacing w:val="-14"/>
        </w:rPr>
        <w:t> </w:t>
      </w:r>
      <w:r>
        <w:rPr/>
        <w:t>більшості</w:t>
      </w:r>
      <w:r>
        <w:rPr>
          <w:spacing w:val="-13"/>
        </w:rPr>
        <w:t> </w:t>
      </w:r>
      <w:r>
        <w:rPr/>
        <w:t>випадків</w:t>
      </w:r>
      <w:r>
        <w:rPr>
          <w:spacing w:val="-16"/>
        </w:rPr>
        <w:t> </w:t>
      </w:r>
      <w:r>
        <w:rPr/>
        <w:t>злоякісної; неспецифічність клінічного прояву; відсутність зв’язку з певними місцевими змінами в уражених органах і тканинах; зникнення після видалення пухлини та поява знову при рецидиві. [3, 8,</w:t>
      </w:r>
      <w:r>
        <w:rPr>
          <w:spacing w:val="11"/>
        </w:rPr>
        <w:t> </w:t>
      </w:r>
      <w:r>
        <w:rPr/>
        <w:t>16]</w:t>
      </w:r>
    </w:p>
    <w:p>
      <w:pPr>
        <w:pStyle w:val="BodyText"/>
        <w:ind w:right="617" w:firstLine="710"/>
      </w:pPr>
      <w:r>
        <w:rPr>
          <w:color w:val="333333"/>
        </w:rPr>
        <w:t>Паранеопластичні синдроми як у людини, так і у тварин розвиваються внаслідок негативного впливу пухлин на реакції імунної відповіді та процеси метаболізму в організмі хворих тварин. [12, 20]</w:t>
      </w:r>
    </w:p>
    <w:p>
      <w:pPr>
        <w:pStyle w:val="BodyText"/>
        <w:ind w:right="618" w:firstLine="710"/>
      </w:pPr>
      <w:r>
        <w:rPr>
          <w:color w:val="333333"/>
        </w:rPr>
        <w:t>З ростом пухлин відмічається підвищення функціональної активності систем регуляції в організмі, внаслідок синтезу пухлиною різноманітних біологічно-активних речовин. [13, 14]</w:t>
      </w:r>
    </w:p>
    <w:p>
      <w:pPr>
        <w:pStyle w:val="BodyText"/>
        <w:spacing w:line="242" w:lineRule="auto"/>
        <w:ind w:right="618" w:firstLine="710"/>
      </w:pPr>
      <w:r>
        <w:rPr>
          <w:color w:val="333333"/>
        </w:rPr>
        <w:t>В більшості випадків ПНС можуть бути обумовлені: синтезом та виділенням антитіл; БАР; виділенням гормонів або їх попередників; різноманітних ферментів; фетальних протеїнів; цитокінів. [3, 5, 15, 21 ]</w:t>
      </w:r>
    </w:p>
    <w:p>
      <w:pPr>
        <w:pStyle w:val="BodyText"/>
        <w:ind w:right="610" w:firstLine="710"/>
      </w:pPr>
      <w:r>
        <w:rPr>
          <w:color w:val="333333"/>
        </w:rPr>
        <w:t>Основними методами надання допомоги тваринам при місцевих пухлинних ураженнях є хірургічні, променеві та гіпертермічні методи, але при системних пухлинних захворюваннях найчастіше застосовують хіміотерапію. В деяких випадках хіміотерапевтична допомога, при неправильному призначенні, може</w:t>
      </w:r>
      <w:r>
        <w:rPr>
          <w:color w:val="333333"/>
          <w:spacing w:val="-10"/>
        </w:rPr>
        <w:t> </w:t>
      </w:r>
      <w:r>
        <w:rPr>
          <w:color w:val="333333"/>
        </w:rPr>
        <w:t>нашкодити</w:t>
      </w:r>
      <w:r>
        <w:rPr>
          <w:color w:val="333333"/>
          <w:spacing w:val="-9"/>
        </w:rPr>
        <w:t> </w:t>
      </w:r>
      <w:r>
        <w:rPr>
          <w:color w:val="333333"/>
        </w:rPr>
        <w:t>хворій</w:t>
      </w:r>
      <w:r>
        <w:rPr>
          <w:color w:val="333333"/>
          <w:spacing w:val="-9"/>
        </w:rPr>
        <w:t> </w:t>
      </w:r>
      <w:r>
        <w:rPr>
          <w:color w:val="333333"/>
        </w:rPr>
        <w:t>тварини.</w:t>
      </w:r>
      <w:r>
        <w:rPr>
          <w:color w:val="333333"/>
          <w:spacing w:val="-8"/>
        </w:rPr>
        <w:t> </w:t>
      </w:r>
      <w:r>
        <w:rPr>
          <w:color w:val="333333"/>
        </w:rPr>
        <w:t>Ветеринарні</w:t>
      </w:r>
      <w:r>
        <w:rPr>
          <w:color w:val="333333"/>
          <w:spacing w:val="-14"/>
        </w:rPr>
        <w:t> </w:t>
      </w:r>
      <w:r>
        <w:rPr>
          <w:color w:val="333333"/>
        </w:rPr>
        <w:t>лікарі,</w:t>
      </w:r>
      <w:r>
        <w:rPr>
          <w:color w:val="333333"/>
          <w:spacing w:val="-7"/>
        </w:rPr>
        <w:t> </w:t>
      </w:r>
      <w:r>
        <w:rPr>
          <w:color w:val="333333"/>
        </w:rPr>
        <w:t>призначаючи</w:t>
      </w:r>
      <w:r>
        <w:rPr>
          <w:color w:val="333333"/>
          <w:spacing w:val="-9"/>
        </w:rPr>
        <w:t> </w:t>
      </w:r>
      <w:r>
        <w:rPr>
          <w:color w:val="333333"/>
        </w:rPr>
        <w:t>той</w:t>
      </w:r>
      <w:r>
        <w:rPr>
          <w:color w:val="333333"/>
          <w:spacing w:val="-10"/>
        </w:rPr>
        <w:t> </w:t>
      </w:r>
      <w:r>
        <w:rPr>
          <w:color w:val="333333"/>
        </w:rPr>
        <w:t>чи</w:t>
      </w:r>
      <w:r>
        <w:rPr>
          <w:color w:val="333333"/>
          <w:spacing w:val="-9"/>
        </w:rPr>
        <w:t> </w:t>
      </w:r>
      <w:r>
        <w:rPr>
          <w:color w:val="333333"/>
        </w:rPr>
        <w:t>інших препарат, кожного разу чітко усвідомлюють потенційну токсичність хіміотерапевтичних агентів, особливо при лікуванні тварин з супутніми захворюваннями. [6, 7,</w:t>
      </w:r>
      <w:r>
        <w:rPr>
          <w:color w:val="333333"/>
          <w:spacing w:val="10"/>
        </w:rPr>
        <w:t> </w:t>
      </w:r>
      <w:r>
        <w:rPr>
          <w:color w:val="333333"/>
        </w:rPr>
        <w:t>10]</w:t>
      </w:r>
    </w:p>
    <w:p>
      <w:pPr>
        <w:pStyle w:val="BodyText"/>
        <w:ind w:right="613" w:firstLine="710"/>
      </w:pPr>
      <w:r>
        <w:rPr>
          <w:color w:val="333333"/>
        </w:rPr>
        <w:t>Крім того, лікарі уважно стежать за ходом лікування так, як деякі ускладнення (тяжка мієлосупресія, блювота, нудота) супроводжують прийом всіх протиракових препаратів, інші (парез кишечника, кишкова непрохідність) тільки деяким препаратам. При тяжкому стані хворої тварини, ускладнення можуть тільки погіршити загальний стан, тому слід припинити лікування. [4, 8, 13]</w:t>
      </w:r>
    </w:p>
    <w:p>
      <w:pPr>
        <w:pStyle w:val="BodyText"/>
        <w:ind w:right="615" w:firstLine="710"/>
      </w:pPr>
      <w:r>
        <w:rPr>
          <w:b/>
          <w:i/>
        </w:rPr>
        <w:t>Мета – </w:t>
      </w:r>
      <w:r>
        <w:rPr/>
        <w:t>провести моніторинг розвитку паранеопластичних синдромів і ускладнень після хіміотерапії у дрібних тварин.</w:t>
      </w:r>
    </w:p>
    <w:p>
      <w:pPr>
        <w:spacing w:before="0"/>
        <w:ind w:left="193" w:right="612" w:firstLine="710"/>
        <w:jc w:val="both"/>
        <w:rPr>
          <w:sz w:val="28"/>
        </w:rPr>
      </w:pPr>
      <w:r>
        <w:rPr>
          <w:b/>
          <w:i/>
          <w:sz w:val="28"/>
        </w:rPr>
        <w:t>Методи дослідження. </w:t>
      </w:r>
      <w:r>
        <w:rPr>
          <w:i/>
          <w:sz w:val="28"/>
        </w:rPr>
        <w:t>Клініко- експериментальний метод ( </w:t>
      </w:r>
      <w:r>
        <w:rPr>
          <w:sz w:val="28"/>
        </w:rPr>
        <w:t>клінічне обстеження хворих тварин, моніторинг захворюваність дрібних тварин на онкологічну патологію); г</w:t>
      </w:r>
      <w:r>
        <w:rPr>
          <w:i/>
          <w:sz w:val="28"/>
        </w:rPr>
        <w:t>ематологічний метод (</w:t>
      </w:r>
      <w:r>
        <w:rPr>
          <w:sz w:val="28"/>
        </w:rPr>
        <w:t>оцінка гемопоезу); </w:t>
      </w:r>
      <w:r>
        <w:rPr>
          <w:i/>
          <w:sz w:val="28"/>
        </w:rPr>
        <w:t>біохімічний </w:t>
      </w:r>
      <w:r>
        <w:rPr>
          <w:i/>
          <w:sz w:val="28"/>
        </w:rPr>
        <w:t>метод </w:t>
      </w:r>
      <w:r>
        <w:rPr>
          <w:sz w:val="28"/>
        </w:rPr>
        <w:t>(оцінки метаболічного та функціонального стану організму); </w:t>
      </w:r>
      <w:r>
        <w:rPr>
          <w:i/>
          <w:sz w:val="28"/>
        </w:rPr>
        <w:t>цитологічний і гістологічний методи ( </w:t>
      </w:r>
      <w:r>
        <w:rPr>
          <w:sz w:val="28"/>
        </w:rPr>
        <w:t>вивчення змін в клітинах і тканинах); </w:t>
      </w:r>
      <w:r>
        <w:rPr>
          <w:i/>
          <w:sz w:val="28"/>
        </w:rPr>
        <w:t>діагностичні методи </w:t>
      </w:r>
      <w:r>
        <w:rPr>
          <w:sz w:val="28"/>
        </w:rPr>
        <w:t>( проведення УЗД, рентгену та КТ).</w:t>
      </w:r>
    </w:p>
    <w:p>
      <w:pPr>
        <w:spacing w:before="0"/>
        <w:ind w:left="193" w:right="616" w:firstLine="710"/>
        <w:jc w:val="both"/>
        <w:rPr>
          <w:sz w:val="28"/>
        </w:rPr>
      </w:pPr>
      <w:r>
        <w:rPr>
          <w:b/>
          <w:i/>
          <w:sz w:val="28"/>
        </w:rPr>
        <w:t>Результати власних досліджень. </w:t>
      </w:r>
      <w:r>
        <w:rPr>
          <w:sz w:val="28"/>
        </w:rPr>
        <w:t>Всі злоякісні пухлини не тільки викликають місцеві симптоми, а й здатні спричиняти множинні різноманітні</w:t>
      </w:r>
    </w:p>
    <w:p>
      <w:pPr>
        <w:spacing w:after="0"/>
        <w:jc w:val="both"/>
        <w:rPr>
          <w:sz w:val="28"/>
        </w:rPr>
        <w:sectPr>
          <w:pgSz w:w="11910" w:h="16840"/>
          <w:pgMar w:header="713" w:footer="778" w:top="1140" w:bottom="960" w:left="940" w:right="520"/>
        </w:sectPr>
      </w:pPr>
    </w:p>
    <w:p>
      <w:pPr>
        <w:pStyle w:val="BodyText"/>
        <w:spacing w:before="92"/>
        <w:ind w:right="623"/>
      </w:pPr>
      <w:r>
        <w:rPr/>
        <w:t>неспецифічні впливи на організм. Такі впливи на організм не залежать від характеру пухлини, її локалізації та поширення самої патології.</w:t>
      </w:r>
    </w:p>
    <w:p>
      <w:pPr>
        <w:pStyle w:val="BodyText"/>
        <w:ind w:right="611" w:firstLine="710"/>
      </w:pPr>
      <w:r>
        <w:rPr/>
        <w:t>Як показують наші дослідження, час появи паранеопластичних симптомів не завжди співпадає з симптоматикою пухлини. Паранеопластичні симптоми можуть задовго передувати симптоматиці пухлини та її метастазів; можуть проявлятися паралельно з симптоматикою пухлини чи метастазів; інколи паранеоплатична симптоматика з’являється тільки на при кінці життя хворої тварини, що значно погіршує загальний перебіг захворювання.</w:t>
      </w:r>
    </w:p>
    <w:p>
      <w:pPr>
        <w:pStyle w:val="BodyText"/>
        <w:spacing w:before="2"/>
        <w:ind w:right="612" w:firstLine="710"/>
      </w:pPr>
      <w:r>
        <w:rPr/>
        <w:t>Основна проблема ветеринарної медицини пов’язана з тим, що основні неспецифічні паранеопластичні симптоми (гарячка, свербіж, зміна та спотворення</w:t>
      </w:r>
      <w:r>
        <w:rPr>
          <w:spacing w:val="-22"/>
        </w:rPr>
        <w:t> </w:t>
      </w:r>
      <w:r>
        <w:rPr/>
        <w:t>апетиту,</w:t>
      </w:r>
      <w:r>
        <w:rPr>
          <w:spacing w:val="-20"/>
        </w:rPr>
        <w:t> </w:t>
      </w:r>
      <w:r>
        <w:rPr/>
        <w:t>анемія)</w:t>
      </w:r>
      <w:r>
        <w:rPr>
          <w:spacing w:val="-20"/>
        </w:rPr>
        <w:t> </w:t>
      </w:r>
      <w:r>
        <w:rPr/>
        <w:t>передують</w:t>
      </w:r>
      <w:r>
        <w:rPr>
          <w:spacing w:val="-20"/>
        </w:rPr>
        <w:t> </w:t>
      </w:r>
      <w:r>
        <w:rPr/>
        <w:t>місцевим</w:t>
      </w:r>
      <w:r>
        <w:rPr>
          <w:spacing w:val="-22"/>
        </w:rPr>
        <w:t> </w:t>
      </w:r>
      <w:r>
        <w:rPr/>
        <w:t>проявам</w:t>
      </w:r>
      <w:r>
        <w:rPr>
          <w:spacing w:val="-21"/>
        </w:rPr>
        <w:t> </w:t>
      </w:r>
      <w:r>
        <w:rPr/>
        <w:t>пухлини</w:t>
      </w:r>
      <w:r>
        <w:rPr>
          <w:spacing w:val="-18"/>
        </w:rPr>
        <w:t> </w:t>
      </w:r>
      <w:r>
        <w:rPr/>
        <w:t>і</w:t>
      </w:r>
      <w:r>
        <w:rPr>
          <w:spacing w:val="-23"/>
        </w:rPr>
        <w:t> </w:t>
      </w:r>
      <w:r>
        <w:rPr/>
        <w:t>в</w:t>
      </w:r>
      <w:r>
        <w:rPr>
          <w:spacing w:val="-23"/>
        </w:rPr>
        <w:t> </w:t>
      </w:r>
      <w:r>
        <w:rPr/>
        <w:t>більшості випадків вважаються лікарями за симптоматику захворювань непухлинного генезу. Саме такі помилки в діагностиці призводять до постановки неправильного діагнозу та відповідно й призначення</w:t>
      </w:r>
      <w:r>
        <w:rPr>
          <w:spacing w:val="-2"/>
        </w:rPr>
        <w:t> </w:t>
      </w:r>
      <w:r>
        <w:rPr/>
        <w:t>лікування.</w:t>
      </w:r>
    </w:p>
    <w:p>
      <w:pPr>
        <w:pStyle w:val="BodyText"/>
        <w:ind w:right="620" w:firstLine="710"/>
      </w:pPr>
      <w:r>
        <w:rPr/>
        <w:t>Не дивлячись на бурхливий розвиток ветеринарної медицини більшість паранеопластичних синдромів залишаються на рівні опису, а їх реальна частота є невідомою.</w:t>
      </w:r>
    </w:p>
    <w:p>
      <w:pPr>
        <w:pStyle w:val="BodyText"/>
        <w:ind w:right="616" w:firstLine="710"/>
      </w:pPr>
      <w:r>
        <w:rPr>
          <w:color w:val="333333"/>
        </w:rPr>
        <w:t>В</w:t>
      </w:r>
      <w:r>
        <w:rPr>
          <w:color w:val="333333"/>
          <w:spacing w:val="-17"/>
        </w:rPr>
        <w:t> </w:t>
      </w:r>
      <w:r>
        <w:rPr>
          <w:color w:val="333333"/>
        </w:rPr>
        <w:t>залежності</w:t>
      </w:r>
      <w:r>
        <w:rPr>
          <w:color w:val="333333"/>
          <w:spacing w:val="-18"/>
        </w:rPr>
        <w:t> </w:t>
      </w:r>
      <w:r>
        <w:rPr>
          <w:color w:val="333333"/>
        </w:rPr>
        <w:t>від</w:t>
      </w:r>
      <w:r>
        <w:rPr>
          <w:color w:val="333333"/>
          <w:spacing w:val="-11"/>
        </w:rPr>
        <w:t> </w:t>
      </w:r>
      <w:r>
        <w:rPr>
          <w:color w:val="333333"/>
        </w:rPr>
        <w:t>симптоматики</w:t>
      </w:r>
      <w:r>
        <w:rPr>
          <w:color w:val="333333"/>
          <w:spacing w:val="-14"/>
        </w:rPr>
        <w:t> </w:t>
      </w:r>
      <w:r>
        <w:rPr>
          <w:color w:val="333333"/>
        </w:rPr>
        <w:t>в</w:t>
      </w:r>
      <w:r>
        <w:rPr>
          <w:color w:val="333333"/>
          <w:spacing w:val="-15"/>
        </w:rPr>
        <w:t> </w:t>
      </w:r>
      <w:r>
        <w:rPr>
          <w:color w:val="333333"/>
        </w:rPr>
        <w:t>клінічній</w:t>
      </w:r>
      <w:r>
        <w:rPr>
          <w:color w:val="333333"/>
          <w:spacing w:val="-13"/>
        </w:rPr>
        <w:t> </w:t>
      </w:r>
      <w:r>
        <w:rPr>
          <w:color w:val="333333"/>
        </w:rPr>
        <w:t>ветеринарній</w:t>
      </w:r>
      <w:r>
        <w:rPr>
          <w:color w:val="333333"/>
          <w:spacing w:val="-14"/>
        </w:rPr>
        <w:t> </w:t>
      </w:r>
      <w:r>
        <w:rPr>
          <w:color w:val="333333"/>
        </w:rPr>
        <w:t>практиці</w:t>
      </w:r>
      <w:r>
        <w:rPr>
          <w:color w:val="333333"/>
          <w:spacing w:val="-18"/>
        </w:rPr>
        <w:t> </w:t>
      </w:r>
      <w:r>
        <w:rPr>
          <w:color w:val="333333"/>
        </w:rPr>
        <w:t>виділять такі паранеопластичні синдроми: гематологічні, нефрологічні, ендокринні, м’язово-скелетні, серцево-судинні, гастроентерологічні, дерматологічні, неврологічні, атипові та змішаними.</w:t>
      </w:r>
    </w:p>
    <w:p>
      <w:pPr>
        <w:pStyle w:val="BodyText"/>
        <w:spacing w:before="1"/>
        <w:ind w:right="610" w:firstLine="710"/>
      </w:pPr>
      <w:r>
        <w:rPr>
          <w:i/>
          <w:color w:val="333333"/>
          <w:u w:val="single" w:color="333333"/>
        </w:rPr>
        <w:t>Неспецифічні паранеопластичні синдроми</w:t>
      </w:r>
      <w:r>
        <w:rPr>
          <w:i/>
          <w:color w:val="333333"/>
        </w:rPr>
        <w:t> </w:t>
      </w:r>
      <w:r>
        <w:rPr>
          <w:color w:val="333333"/>
        </w:rPr>
        <w:t>можуть виникати до появи основних клінічних симптомів пухлинного росту. До неспецифічних симптомів належать: підвищення температури (гарячка), аідсутність апетиту (анорексія), виснаження (кахексія) та анемія.</w:t>
      </w:r>
    </w:p>
    <w:p>
      <w:pPr>
        <w:pStyle w:val="BodyText"/>
        <w:ind w:right="611" w:firstLine="710"/>
      </w:pPr>
      <w:r>
        <w:rPr>
          <w:i/>
          <w:color w:val="333333"/>
          <w:u w:val="single" w:color="333333"/>
        </w:rPr>
        <w:t>Гарячки неясного ґенезу</w:t>
      </w:r>
      <w:r>
        <w:rPr>
          <w:i/>
          <w:color w:val="333333"/>
        </w:rPr>
        <w:t> </w:t>
      </w:r>
      <w:r>
        <w:rPr>
          <w:color w:val="333333"/>
        </w:rPr>
        <w:t>пов’язують з лімфомами, лейкозом ( в бльшості випадків гострим), саркомою, злоякісними пухлинами нирок та органів шлунково-кишкового</w:t>
      </w:r>
      <w:r>
        <w:rPr>
          <w:color w:val="333333"/>
          <w:spacing w:val="-12"/>
        </w:rPr>
        <w:t> </w:t>
      </w:r>
      <w:r>
        <w:rPr>
          <w:color w:val="333333"/>
        </w:rPr>
        <w:t>тракту</w:t>
      </w:r>
      <w:r>
        <w:rPr>
          <w:color w:val="333333"/>
          <w:spacing w:val="-12"/>
        </w:rPr>
        <w:t> </w:t>
      </w:r>
      <w:r>
        <w:rPr>
          <w:color w:val="333333"/>
        </w:rPr>
        <w:t>та</w:t>
      </w:r>
      <w:r>
        <w:rPr>
          <w:color w:val="333333"/>
          <w:spacing w:val="-11"/>
        </w:rPr>
        <w:t> </w:t>
      </w:r>
      <w:r>
        <w:rPr>
          <w:color w:val="333333"/>
        </w:rPr>
        <w:t>печінки</w:t>
      </w:r>
      <w:r>
        <w:rPr>
          <w:color w:val="333333"/>
          <w:spacing w:val="-8"/>
        </w:rPr>
        <w:t> </w:t>
      </w:r>
      <w:r>
        <w:rPr>
          <w:color w:val="333333"/>
        </w:rPr>
        <w:t>При</w:t>
      </w:r>
      <w:r>
        <w:rPr>
          <w:color w:val="333333"/>
          <w:spacing w:val="-12"/>
        </w:rPr>
        <w:t> </w:t>
      </w:r>
      <w:r>
        <w:rPr>
          <w:color w:val="333333"/>
        </w:rPr>
        <w:t>злоякісних</w:t>
      </w:r>
      <w:r>
        <w:rPr>
          <w:color w:val="333333"/>
          <w:spacing w:val="-12"/>
        </w:rPr>
        <w:t> </w:t>
      </w:r>
      <w:r>
        <w:rPr>
          <w:color w:val="333333"/>
        </w:rPr>
        <w:t>пухлинних</w:t>
      </w:r>
      <w:r>
        <w:rPr>
          <w:color w:val="333333"/>
          <w:spacing w:val="-11"/>
        </w:rPr>
        <w:t> </w:t>
      </w:r>
      <w:r>
        <w:rPr>
          <w:color w:val="333333"/>
        </w:rPr>
        <w:t>ураженнях,</w:t>
      </w:r>
      <w:r>
        <w:rPr>
          <w:color w:val="333333"/>
          <w:spacing w:val="-11"/>
        </w:rPr>
        <w:t> </w:t>
      </w:r>
      <w:r>
        <w:rPr>
          <w:color w:val="333333"/>
        </w:rPr>
        <w:t>в більшості випадків, гарячка є послабляючою </w:t>
      </w:r>
      <w:r>
        <w:rPr>
          <w:i/>
          <w:color w:val="333333"/>
        </w:rPr>
        <w:t>(ремітуючого типу): </w:t>
      </w:r>
      <w:r>
        <w:rPr>
          <w:color w:val="333333"/>
        </w:rPr>
        <w:t>постійне підвищена</w:t>
      </w:r>
      <w:r>
        <w:rPr>
          <w:color w:val="333333"/>
          <w:spacing w:val="-11"/>
        </w:rPr>
        <w:t> </w:t>
      </w:r>
      <w:r>
        <w:rPr>
          <w:color w:val="333333"/>
        </w:rPr>
        <w:t>температура</w:t>
      </w:r>
      <w:r>
        <w:rPr>
          <w:color w:val="333333"/>
          <w:spacing w:val="-11"/>
        </w:rPr>
        <w:t> </w:t>
      </w:r>
      <w:r>
        <w:rPr>
          <w:color w:val="333333"/>
        </w:rPr>
        <w:t>тіла,</w:t>
      </w:r>
      <w:r>
        <w:rPr>
          <w:color w:val="333333"/>
          <w:spacing w:val="-9"/>
        </w:rPr>
        <w:t> </w:t>
      </w:r>
      <w:r>
        <w:rPr>
          <w:color w:val="333333"/>
        </w:rPr>
        <w:t>але</w:t>
      </w:r>
      <w:r>
        <w:rPr>
          <w:color w:val="333333"/>
          <w:spacing w:val="-10"/>
        </w:rPr>
        <w:t> </w:t>
      </w:r>
      <w:r>
        <w:rPr>
          <w:color w:val="333333"/>
        </w:rPr>
        <w:t>добові</w:t>
      </w:r>
      <w:r>
        <w:rPr>
          <w:color w:val="333333"/>
          <w:spacing w:val="-15"/>
        </w:rPr>
        <w:t> </w:t>
      </w:r>
      <w:r>
        <w:rPr>
          <w:color w:val="333333"/>
        </w:rPr>
        <w:t>коливання</w:t>
      </w:r>
      <w:r>
        <w:rPr>
          <w:color w:val="333333"/>
          <w:spacing w:val="-11"/>
        </w:rPr>
        <w:t> </w:t>
      </w:r>
      <w:r>
        <w:rPr>
          <w:color w:val="333333"/>
        </w:rPr>
        <w:t>температури</w:t>
      </w:r>
      <w:r>
        <w:rPr>
          <w:color w:val="333333"/>
          <w:spacing w:val="-11"/>
        </w:rPr>
        <w:t> </w:t>
      </w:r>
      <w:r>
        <w:rPr>
          <w:color w:val="333333"/>
        </w:rPr>
        <w:t>не</w:t>
      </w:r>
      <w:r>
        <w:rPr>
          <w:color w:val="333333"/>
          <w:spacing w:val="-11"/>
        </w:rPr>
        <w:t> </w:t>
      </w:r>
      <w:r>
        <w:rPr>
          <w:color w:val="333333"/>
        </w:rPr>
        <w:t>перевищують 1°С.</w:t>
      </w:r>
      <w:r>
        <w:rPr>
          <w:color w:val="333333"/>
          <w:spacing w:val="-17"/>
        </w:rPr>
        <w:t> </w:t>
      </w:r>
      <w:r>
        <w:rPr>
          <w:color w:val="333333"/>
        </w:rPr>
        <w:t>Найчастіше</w:t>
      </w:r>
      <w:r>
        <w:rPr>
          <w:color w:val="333333"/>
          <w:spacing w:val="-17"/>
        </w:rPr>
        <w:t> </w:t>
      </w:r>
      <w:r>
        <w:rPr>
          <w:color w:val="333333"/>
        </w:rPr>
        <w:t>саме</w:t>
      </w:r>
      <w:r>
        <w:rPr>
          <w:color w:val="333333"/>
          <w:spacing w:val="-17"/>
        </w:rPr>
        <w:t> </w:t>
      </w:r>
      <w:r>
        <w:rPr>
          <w:color w:val="333333"/>
        </w:rPr>
        <w:t>солідні</w:t>
      </w:r>
      <w:r>
        <w:rPr>
          <w:color w:val="333333"/>
          <w:spacing w:val="-23"/>
        </w:rPr>
        <w:t> </w:t>
      </w:r>
      <w:r>
        <w:rPr>
          <w:color w:val="333333"/>
        </w:rPr>
        <w:t>пухлини</w:t>
      </w:r>
      <w:r>
        <w:rPr>
          <w:color w:val="333333"/>
          <w:spacing w:val="-18"/>
        </w:rPr>
        <w:t> </w:t>
      </w:r>
      <w:r>
        <w:rPr>
          <w:color w:val="333333"/>
        </w:rPr>
        <w:t>та</w:t>
      </w:r>
      <w:r>
        <w:rPr>
          <w:color w:val="333333"/>
          <w:spacing w:val="-12"/>
        </w:rPr>
        <w:t> </w:t>
      </w:r>
      <w:r>
        <w:rPr>
          <w:color w:val="333333"/>
        </w:rPr>
        <w:t>гемобластози</w:t>
      </w:r>
      <w:r>
        <w:rPr>
          <w:color w:val="333333"/>
          <w:spacing w:val="-18"/>
        </w:rPr>
        <w:t> </w:t>
      </w:r>
      <w:r>
        <w:rPr>
          <w:color w:val="333333"/>
        </w:rPr>
        <w:t>в</w:t>
      </w:r>
      <w:r>
        <w:rPr>
          <w:color w:val="333333"/>
          <w:spacing w:val="-20"/>
        </w:rPr>
        <w:t> </w:t>
      </w:r>
      <w:r>
        <w:rPr>
          <w:color w:val="333333"/>
        </w:rPr>
        <w:t>сукупності</w:t>
      </w:r>
      <w:r>
        <w:rPr>
          <w:color w:val="333333"/>
          <w:spacing w:val="-23"/>
        </w:rPr>
        <w:t> </w:t>
      </w:r>
      <w:r>
        <w:rPr>
          <w:color w:val="333333"/>
        </w:rPr>
        <w:t>можуть</w:t>
      </w:r>
      <w:r>
        <w:rPr>
          <w:color w:val="333333"/>
          <w:spacing w:val="-20"/>
        </w:rPr>
        <w:t> </w:t>
      </w:r>
      <w:r>
        <w:rPr>
          <w:color w:val="333333"/>
        </w:rPr>
        <w:t>бути причиною майже 40-50% випадків лихоманки неясного</w:t>
      </w:r>
      <w:r>
        <w:rPr>
          <w:color w:val="333333"/>
          <w:spacing w:val="-4"/>
        </w:rPr>
        <w:t> </w:t>
      </w:r>
      <w:r>
        <w:rPr>
          <w:color w:val="333333"/>
        </w:rPr>
        <w:t>генезу.</w:t>
      </w:r>
    </w:p>
    <w:p>
      <w:pPr>
        <w:pStyle w:val="BodyText"/>
        <w:spacing w:before="2"/>
        <w:ind w:right="607" w:firstLine="710"/>
      </w:pPr>
      <w:r>
        <w:rPr>
          <w:color w:val="333333"/>
        </w:rPr>
        <w:t>Основні причини гарячки у тварин з пухлинами такі: параканкрозна пневмонія (рак легень), кишкова непрохідність (доброякісні і злоякісні пухлини кишечника), параканкрозний абсцес, пухлини ураження головного </w:t>
      </w:r>
      <w:r>
        <w:rPr>
          <w:color w:val="333333"/>
          <w:spacing w:val="3"/>
        </w:rPr>
        <w:t>мозку </w:t>
      </w:r>
      <w:r>
        <w:rPr>
          <w:color w:val="333333"/>
        </w:rPr>
        <w:t>(включно метастази віддалених пухлин), які можуть справляти вплив на центр терморегуляції. Гарячка при пухлинах є наслідком продукції клітинами біологічно</w:t>
      </w:r>
      <w:r>
        <w:rPr>
          <w:color w:val="333333"/>
          <w:spacing w:val="-20"/>
        </w:rPr>
        <w:t> </w:t>
      </w:r>
      <w:r>
        <w:rPr>
          <w:color w:val="333333"/>
        </w:rPr>
        <w:t>активних</w:t>
      </w:r>
      <w:r>
        <w:rPr>
          <w:color w:val="333333"/>
          <w:spacing w:val="-24"/>
        </w:rPr>
        <w:t> </w:t>
      </w:r>
      <w:r>
        <w:rPr>
          <w:color w:val="333333"/>
        </w:rPr>
        <w:t>речовин,</w:t>
      </w:r>
      <w:r>
        <w:rPr>
          <w:color w:val="333333"/>
          <w:spacing w:val="-18"/>
        </w:rPr>
        <w:t> </w:t>
      </w:r>
      <w:r>
        <w:rPr>
          <w:color w:val="333333"/>
        </w:rPr>
        <w:t>які</w:t>
      </w:r>
      <w:r>
        <w:rPr>
          <w:color w:val="333333"/>
          <w:spacing w:val="-24"/>
        </w:rPr>
        <w:t> </w:t>
      </w:r>
      <w:r>
        <w:rPr>
          <w:color w:val="333333"/>
        </w:rPr>
        <w:t>є</w:t>
      </w:r>
      <w:r>
        <w:rPr>
          <w:color w:val="333333"/>
          <w:spacing w:val="-19"/>
        </w:rPr>
        <w:t> </w:t>
      </w:r>
      <w:r>
        <w:rPr>
          <w:color w:val="333333"/>
        </w:rPr>
        <w:t>пірогенами</w:t>
      </w:r>
      <w:r>
        <w:rPr>
          <w:color w:val="333333"/>
          <w:spacing w:val="-20"/>
        </w:rPr>
        <w:t> </w:t>
      </w:r>
      <w:r>
        <w:rPr>
          <w:color w:val="333333"/>
        </w:rPr>
        <w:t>(гормони,</w:t>
      </w:r>
      <w:r>
        <w:rPr>
          <w:color w:val="333333"/>
          <w:spacing w:val="-18"/>
        </w:rPr>
        <w:t> </w:t>
      </w:r>
      <w:r>
        <w:rPr>
          <w:color w:val="333333"/>
        </w:rPr>
        <w:t>цитокіни).</w:t>
      </w:r>
      <w:r>
        <w:rPr>
          <w:color w:val="333333"/>
          <w:spacing w:val="-18"/>
        </w:rPr>
        <w:t> </w:t>
      </w:r>
      <w:r>
        <w:rPr>
          <w:color w:val="333333"/>
        </w:rPr>
        <w:t>Особливістю таких гарячок є їх чутливість до препаратів кортикостероїдного</w:t>
      </w:r>
      <w:r>
        <w:rPr>
          <w:color w:val="333333"/>
          <w:spacing w:val="-3"/>
        </w:rPr>
        <w:t> </w:t>
      </w:r>
      <w:r>
        <w:rPr>
          <w:color w:val="333333"/>
        </w:rPr>
        <w:t>ряду.</w:t>
      </w:r>
    </w:p>
    <w:p>
      <w:pPr>
        <w:pStyle w:val="BodyText"/>
        <w:ind w:right="607" w:firstLine="710"/>
      </w:pPr>
      <w:r>
        <w:rPr>
          <w:i/>
          <w:color w:val="333333"/>
          <w:u w:val="single" w:color="333333"/>
        </w:rPr>
        <w:t>Гастроентерологічний паранеопластичний синдром «анорексія –</w:t>
      </w:r>
      <w:r>
        <w:rPr>
          <w:i/>
          <w:color w:val="333333"/>
        </w:rPr>
        <w:t> </w:t>
      </w:r>
      <w:r>
        <w:rPr>
          <w:i/>
          <w:color w:val="333333"/>
          <w:u w:val="single" w:color="333333"/>
        </w:rPr>
        <w:t>кахексія»</w:t>
      </w:r>
      <w:r>
        <w:rPr>
          <w:i/>
          <w:color w:val="333333"/>
        </w:rPr>
        <w:t> </w:t>
      </w:r>
      <w:r>
        <w:rPr>
          <w:color w:val="333333"/>
        </w:rPr>
        <w:t>обумовлений тим, що злоякісні пухлини продукують речовини, які здатні</w:t>
      </w:r>
      <w:r>
        <w:rPr>
          <w:color w:val="333333"/>
          <w:spacing w:val="-23"/>
        </w:rPr>
        <w:t> </w:t>
      </w:r>
      <w:r>
        <w:rPr>
          <w:color w:val="333333"/>
        </w:rPr>
        <w:t>змінювати</w:t>
      </w:r>
      <w:r>
        <w:rPr>
          <w:color w:val="333333"/>
          <w:spacing w:val="-17"/>
        </w:rPr>
        <w:t> </w:t>
      </w:r>
      <w:r>
        <w:rPr>
          <w:color w:val="333333"/>
        </w:rPr>
        <w:t>й</w:t>
      </w:r>
      <w:r>
        <w:rPr>
          <w:color w:val="333333"/>
          <w:spacing w:val="-18"/>
        </w:rPr>
        <w:t> </w:t>
      </w:r>
      <w:r>
        <w:rPr>
          <w:color w:val="333333"/>
        </w:rPr>
        <w:t>спотворювати</w:t>
      </w:r>
      <w:r>
        <w:rPr>
          <w:color w:val="333333"/>
          <w:spacing w:val="-18"/>
        </w:rPr>
        <w:t> </w:t>
      </w:r>
      <w:r>
        <w:rPr>
          <w:color w:val="333333"/>
        </w:rPr>
        <w:t>апетит,</w:t>
      </w:r>
      <w:r>
        <w:rPr>
          <w:color w:val="333333"/>
          <w:spacing w:val="-16"/>
        </w:rPr>
        <w:t> </w:t>
      </w:r>
      <w:r>
        <w:rPr>
          <w:color w:val="333333"/>
        </w:rPr>
        <w:t>знижувати</w:t>
      </w:r>
      <w:r>
        <w:rPr>
          <w:color w:val="333333"/>
          <w:spacing w:val="-17"/>
        </w:rPr>
        <w:t> </w:t>
      </w:r>
      <w:r>
        <w:rPr>
          <w:color w:val="333333"/>
        </w:rPr>
        <w:t>сприйняття</w:t>
      </w:r>
      <w:r>
        <w:rPr>
          <w:color w:val="333333"/>
          <w:spacing w:val="-16"/>
        </w:rPr>
        <w:t> </w:t>
      </w:r>
      <w:r>
        <w:rPr>
          <w:color w:val="333333"/>
        </w:rPr>
        <w:t>смаку</w:t>
      </w:r>
      <w:r>
        <w:rPr>
          <w:color w:val="333333"/>
          <w:spacing w:val="-18"/>
        </w:rPr>
        <w:t> </w:t>
      </w:r>
      <w:r>
        <w:rPr>
          <w:color w:val="333333"/>
        </w:rPr>
        <w:t>та</w:t>
      </w:r>
      <w:r>
        <w:rPr>
          <w:color w:val="333333"/>
          <w:spacing w:val="-17"/>
        </w:rPr>
        <w:t> </w:t>
      </w:r>
      <w:r>
        <w:rPr>
          <w:color w:val="333333"/>
        </w:rPr>
        <w:t>запаху, приводячи до втрати задоволення від споживання їжі, голодуванню та кахексії. Найбільш</w:t>
      </w:r>
      <w:r>
        <w:rPr>
          <w:color w:val="333333"/>
          <w:spacing w:val="48"/>
        </w:rPr>
        <w:t> </w:t>
      </w:r>
      <w:r>
        <w:rPr>
          <w:color w:val="333333"/>
        </w:rPr>
        <w:t>частими</w:t>
      </w:r>
      <w:r>
        <w:rPr>
          <w:color w:val="333333"/>
          <w:spacing w:val="48"/>
        </w:rPr>
        <w:t> </w:t>
      </w:r>
      <w:r>
        <w:rPr>
          <w:color w:val="333333"/>
        </w:rPr>
        <w:t>симптомами</w:t>
      </w:r>
      <w:r>
        <w:rPr>
          <w:color w:val="333333"/>
          <w:spacing w:val="48"/>
        </w:rPr>
        <w:t> </w:t>
      </w:r>
      <w:r>
        <w:rPr>
          <w:color w:val="333333"/>
        </w:rPr>
        <w:t>з</w:t>
      </w:r>
      <w:r>
        <w:rPr>
          <w:color w:val="333333"/>
          <w:spacing w:val="49"/>
        </w:rPr>
        <w:t> </w:t>
      </w:r>
      <w:r>
        <w:rPr>
          <w:color w:val="333333"/>
        </w:rPr>
        <w:t>боку</w:t>
      </w:r>
      <w:r>
        <w:rPr>
          <w:color w:val="333333"/>
          <w:spacing w:val="48"/>
        </w:rPr>
        <w:t> </w:t>
      </w:r>
      <w:r>
        <w:rPr>
          <w:color w:val="333333"/>
        </w:rPr>
        <w:t>шлунково-кишкового</w:t>
      </w:r>
      <w:r>
        <w:rPr>
          <w:color w:val="333333"/>
          <w:spacing w:val="48"/>
        </w:rPr>
        <w:t> </w:t>
      </w:r>
      <w:r>
        <w:rPr>
          <w:color w:val="333333"/>
        </w:rPr>
        <w:t>тракту</w:t>
      </w:r>
      <w:r>
        <w:rPr>
          <w:color w:val="333333"/>
          <w:spacing w:val="48"/>
        </w:rPr>
        <w:t> </w:t>
      </w:r>
      <w:r>
        <w:rPr>
          <w:color w:val="333333"/>
        </w:rPr>
        <w:t>у</w:t>
      </w:r>
      <w:r>
        <w:rPr>
          <w:color w:val="333333"/>
          <w:spacing w:val="43"/>
        </w:rPr>
        <w:t> </w:t>
      </w:r>
      <w:r>
        <w:rPr>
          <w:color w:val="333333"/>
        </w:rPr>
        <w:t>тварин</w:t>
      </w:r>
    </w:p>
    <w:p>
      <w:pPr>
        <w:spacing w:after="0"/>
        <w:sectPr>
          <w:pgSz w:w="11910" w:h="16840"/>
          <w:pgMar w:header="713" w:footer="778" w:top="1140" w:bottom="960" w:left="940" w:right="520"/>
        </w:sectPr>
      </w:pPr>
    </w:p>
    <w:p>
      <w:pPr>
        <w:pStyle w:val="BodyText"/>
        <w:spacing w:before="92"/>
        <w:ind w:right="623"/>
      </w:pPr>
      <w:r>
        <w:rPr>
          <w:color w:val="333333"/>
        </w:rPr>
        <w:t>діагностуються блювота, діарея, пронос. Часті блювота та діареї призводять до порушення водного балансу в організмі, а саме до зневоднення (дегідратації). Ступень зневоднення посилюється також внаслідок зниження споживання води та поліурії.</w:t>
      </w:r>
    </w:p>
    <w:p>
      <w:pPr>
        <w:pStyle w:val="BodyText"/>
        <w:ind w:right="607" w:firstLine="710"/>
      </w:pPr>
      <w:r>
        <w:rPr>
          <w:i/>
          <w:color w:val="333333"/>
          <w:u w:val="single" w:color="333333"/>
        </w:rPr>
        <w:t>Гематологічні паранеопластичні синдроми</w:t>
      </w:r>
      <w:r>
        <w:rPr>
          <w:i/>
          <w:color w:val="333333"/>
        </w:rPr>
        <w:t> </w:t>
      </w:r>
      <w:r>
        <w:rPr>
          <w:color w:val="333333"/>
        </w:rPr>
        <w:t>можуть розвиватися при різноманітних видах злоякісних епітеліальних пухлин: щитоподібної залози, легень, шлунку, підшлункової залози, кишечника, молочних залоз, яєчників, передміхурової залози та лімфом. Як реакції на пухлину з </w:t>
      </w:r>
      <w:r>
        <w:rPr/>
        <w:t>боку кровотворної системи відмічають: анемію, тромбоцитопенію, еритроцитоз, тромбоцитоз, лейкоцитоз, еозинофілію, гіперкоагуляційний синдром (ДВС-синдром).</w:t>
      </w:r>
    </w:p>
    <w:p>
      <w:pPr>
        <w:pStyle w:val="BodyText"/>
        <w:spacing w:before="2"/>
        <w:ind w:right="608" w:firstLine="710"/>
      </w:pPr>
      <w:r>
        <w:rPr>
          <w:color w:val="333333"/>
        </w:rPr>
        <w:t>Найчастіше при злоякісних пухлинах у тварин діагностується гіпопроліферативна анемія (нормоцитарна й нормохромна, мікроцитарна й гіпохромна). Наслідком порушень функції червоного кісткового мозку (його недостатністю) є макроцитарна анемія, на відміну від мікроцитарної, яка має зв'язок</w:t>
      </w:r>
      <w:r>
        <w:rPr>
          <w:color w:val="333333"/>
          <w:spacing w:val="-16"/>
        </w:rPr>
        <w:t> </w:t>
      </w:r>
      <w:r>
        <w:rPr>
          <w:color w:val="333333"/>
        </w:rPr>
        <w:t>з</w:t>
      </w:r>
      <w:r>
        <w:rPr>
          <w:color w:val="333333"/>
          <w:spacing w:val="-14"/>
        </w:rPr>
        <w:t> </w:t>
      </w:r>
      <w:r>
        <w:rPr>
          <w:color w:val="333333"/>
        </w:rPr>
        <w:t>гемолізом</w:t>
      </w:r>
      <w:r>
        <w:rPr>
          <w:color w:val="333333"/>
          <w:spacing w:val="-13"/>
        </w:rPr>
        <w:t> </w:t>
      </w:r>
      <w:r>
        <w:rPr>
          <w:color w:val="333333"/>
        </w:rPr>
        <w:t>еритроцитів</w:t>
      </w:r>
      <w:r>
        <w:rPr>
          <w:color w:val="333333"/>
          <w:spacing w:val="-17"/>
        </w:rPr>
        <w:t> </w:t>
      </w:r>
      <w:r>
        <w:rPr>
          <w:color w:val="333333"/>
        </w:rPr>
        <w:t>та</w:t>
      </w:r>
      <w:r>
        <w:rPr>
          <w:color w:val="333333"/>
          <w:spacing w:val="-13"/>
        </w:rPr>
        <w:t> </w:t>
      </w:r>
      <w:r>
        <w:rPr>
          <w:color w:val="333333"/>
        </w:rPr>
        <w:t>порушенням</w:t>
      </w:r>
      <w:r>
        <w:rPr>
          <w:color w:val="333333"/>
          <w:spacing w:val="-13"/>
        </w:rPr>
        <w:t> </w:t>
      </w:r>
      <w:r>
        <w:rPr>
          <w:color w:val="333333"/>
        </w:rPr>
        <w:t>обміну</w:t>
      </w:r>
      <w:r>
        <w:rPr>
          <w:color w:val="333333"/>
          <w:spacing w:val="-19"/>
        </w:rPr>
        <w:t> </w:t>
      </w:r>
      <w:r>
        <w:rPr>
          <w:color w:val="333333"/>
        </w:rPr>
        <w:t>заліза.</w:t>
      </w:r>
      <w:r>
        <w:rPr>
          <w:color w:val="333333"/>
          <w:spacing w:val="-4"/>
        </w:rPr>
        <w:t> </w:t>
      </w:r>
      <w:r>
        <w:rPr>
          <w:color w:val="333333"/>
        </w:rPr>
        <w:t>В</w:t>
      </w:r>
      <w:r>
        <w:rPr>
          <w:color w:val="333333"/>
          <w:spacing w:val="-17"/>
        </w:rPr>
        <w:t> </w:t>
      </w:r>
      <w:r>
        <w:rPr>
          <w:color w:val="333333"/>
        </w:rPr>
        <w:t>організмі</w:t>
      </w:r>
      <w:r>
        <w:rPr>
          <w:color w:val="333333"/>
          <w:spacing w:val="-18"/>
        </w:rPr>
        <w:t> </w:t>
      </w:r>
      <w:r>
        <w:rPr>
          <w:color w:val="333333"/>
        </w:rPr>
        <w:t>хворих тварин відмічається підвищення: нагромадження в клітинах ретикулоендотеліальної системи заліза; протопорфірину (вільного), також зменшення всмоктування заліза в системі</w:t>
      </w:r>
      <w:r>
        <w:rPr>
          <w:color w:val="333333"/>
          <w:spacing w:val="5"/>
        </w:rPr>
        <w:t> </w:t>
      </w:r>
      <w:r>
        <w:rPr>
          <w:color w:val="333333"/>
        </w:rPr>
        <w:t>травлення.</w:t>
      </w:r>
    </w:p>
    <w:p>
      <w:pPr>
        <w:pStyle w:val="BodyText"/>
        <w:spacing w:line="237" w:lineRule="auto" w:before="5"/>
        <w:ind w:right="616" w:firstLine="710"/>
      </w:pPr>
      <w:r>
        <w:rPr>
          <w:color w:val="333333"/>
        </w:rPr>
        <w:t>Ступінь важкості анемій у тварин залежить від: вмісту еритроцитів (Т/л, 10</w:t>
      </w:r>
      <w:r>
        <w:rPr>
          <w:color w:val="333333"/>
          <w:position w:val="10"/>
          <w:sz w:val="18"/>
        </w:rPr>
        <w:t>12</w:t>
      </w:r>
      <w:r>
        <w:rPr>
          <w:color w:val="333333"/>
        </w:rPr>
        <w:t>),</w:t>
      </w:r>
      <w:r>
        <w:rPr>
          <w:color w:val="333333"/>
          <w:spacing w:val="-16"/>
        </w:rPr>
        <w:t> </w:t>
      </w:r>
      <w:r>
        <w:rPr>
          <w:color w:val="333333"/>
        </w:rPr>
        <w:t>вмісту</w:t>
      </w:r>
      <w:r>
        <w:rPr>
          <w:color w:val="333333"/>
          <w:spacing w:val="-21"/>
        </w:rPr>
        <w:t> </w:t>
      </w:r>
      <w:r>
        <w:rPr>
          <w:color w:val="333333"/>
        </w:rPr>
        <w:t>гемоглобіну</w:t>
      </w:r>
      <w:r>
        <w:rPr>
          <w:color w:val="333333"/>
          <w:spacing w:val="-22"/>
        </w:rPr>
        <w:t> </w:t>
      </w:r>
      <w:r>
        <w:rPr>
          <w:color w:val="333333"/>
        </w:rPr>
        <w:t>(г/л),</w:t>
      </w:r>
      <w:r>
        <w:rPr>
          <w:color w:val="333333"/>
          <w:spacing w:val="-16"/>
        </w:rPr>
        <w:t> </w:t>
      </w:r>
      <w:r>
        <w:rPr>
          <w:color w:val="333333"/>
        </w:rPr>
        <w:t>швидкості</w:t>
      </w:r>
      <w:r>
        <w:rPr>
          <w:color w:val="333333"/>
          <w:spacing w:val="-17"/>
        </w:rPr>
        <w:t> </w:t>
      </w:r>
      <w:r>
        <w:rPr>
          <w:color w:val="333333"/>
        </w:rPr>
        <w:t>розвитку</w:t>
      </w:r>
      <w:r>
        <w:rPr>
          <w:color w:val="333333"/>
          <w:spacing w:val="-21"/>
        </w:rPr>
        <w:t> </w:t>
      </w:r>
      <w:r>
        <w:rPr>
          <w:color w:val="333333"/>
        </w:rPr>
        <w:t>процесу,</w:t>
      </w:r>
      <w:r>
        <w:rPr>
          <w:color w:val="333333"/>
          <w:spacing w:val="-16"/>
        </w:rPr>
        <w:t> </w:t>
      </w:r>
      <w:r>
        <w:rPr>
          <w:color w:val="333333"/>
        </w:rPr>
        <w:t>віку</w:t>
      </w:r>
      <w:r>
        <w:rPr>
          <w:color w:val="333333"/>
          <w:spacing w:val="-21"/>
        </w:rPr>
        <w:t> </w:t>
      </w:r>
      <w:r>
        <w:rPr>
          <w:color w:val="333333"/>
        </w:rPr>
        <w:t>тварини.</w:t>
      </w:r>
      <w:r>
        <w:rPr>
          <w:color w:val="333333"/>
          <w:spacing w:val="-11"/>
        </w:rPr>
        <w:t> </w:t>
      </w:r>
      <w:r>
        <w:rPr>
          <w:color w:val="333333"/>
        </w:rPr>
        <w:t>Анемії супроводжуються</w:t>
      </w:r>
      <w:r>
        <w:rPr>
          <w:color w:val="333333"/>
          <w:spacing w:val="-15"/>
        </w:rPr>
        <w:t> </w:t>
      </w:r>
      <w:r>
        <w:rPr>
          <w:color w:val="333333"/>
        </w:rPr>
        <w:t>симптомами</w:t>
      </w:r>
      <w:r>
        <w:rPr>
          <w:color w:val="333333"/>
          <w:spacing w:val="-16"/>
        </w:rPr>
        <w:t> </w:t>
      </w:r>
      <w:r>
        <w:rPr>
          <w:color w:val="333333"/>
        </w:rPr>
        <w:t>такими</w:t>
      </w:r>
      <w:r>
        <w:rPr>
          <w:color w:val="333333"/>
          <w:spacing w:val="-11"/>
        </w:rPr>
        <w:t> </w:t>
      </w:r>
      <w:r>
        <w:rPr>
          <w:color w:val="333333"/>
        </w:rPr>
        <w:t>як:</w:t>
      </w:r>
      <w:r>
        <w:rPr>
          <w:color w:val="333333"/>
          <w:spacing w:val="-20"/>
        </w:rPr>
        <w:t> </w:t>
      </w:r>
      <w:r>
        <w:rPr>
          <w:color w:val="333333"/>
        </w:rPr>
        <w:t>слабкість,</w:t>
      </w:r>
      <w:r>
        <w:rPr>
          <w:color w:val="333333"/>
          <w:spacing w:val="-14"/>
        </w:rPr>
        <w:t> </w:t>
      </w:r>
      <w:r>
        <w:rPr>
          <w:color w:val="333333"/>
        </w:rPr>
        <w:t>задишка,</w:t>
      </w:r>
      <w:r>
        <w:rPr>
          <w:color w:val="333333"/>
          <w:spacing w:val="-14"/>
        </w:rPr>
        <w:t> </w:t>
      </w:r>
      <w:r>
        <w:rPr>
          <w:color w:val="333333"/>
        </w:rPr>
        <w:t>тахікардія,</w:t>
      </w:r>
      <w:r>
        <w:rPr>
          <w:color w:val="333333"/>
          <w:spacing w:val="-14"/>
        </w:rPr>
        <w:t> </w:t>
      </w:r>
      <w:r>
        <w:rPr>
          <w:color w:val="333333"/>
        </w:rPr>
        <w:t>набряк легень.</w:t>
      </w:r>
    </w:p>
    <w:p>
      <w:pPr>
        <w:pStyle w:val="BodyText"/>
        <w:spacing w:before="2"/>
        <w:ind w:right="623" w:firstLine="710"/>
      </w:pPr>
      <w:r>
        <w:rPr>
          <w:color w:val="333333"/>
        </w:rPr>
        <w:t>Лейкемоїдні реакції, в більшості випадків, характеризуються появою в кров’яному руслі незрілих лейкоцитів ( в першу чергу еозинофілів).</w:t>
      </w:r>
    </w:p>
    <w:p>
      <w:pPr>
        <w:pStyle w:val="BodyText"/>
        <w:ind w:right="615" w:firstLine="710"/>
      </w:pPr>
      <w:r>
        <w:rPr>
          <w:i/>
          <w:color w:val="333333"/>
          <w:u w:val="single" w:color="333333"/>
        </w:rPr>
        <w:t>Нефрологічні паранеопластичні синдроми</w:t>
      </w:r>
      <w:r>
        <w:rPr>
          <w:i/>
          <w:color w:val="333333"/>
        </w:rPr>
        <w:t> </w:t>
      </w:r>
      <w:r>
        <w:rPr>
          <w:color w:val="333333"/>
        </w:rPr>
        <w:t>можуть бути обумовлені дією біологічно активних речовин (антигенів, факторів росту, цитокінів, гормонів), синтез яких забезпечують клітини пухлини. Крім того, паранеопластичні нефропатії можуть бути обумовлені поступовим розвитком пухлин в нирках, інвазією нирок чи метастазуванням. Паранеопластичний нефротичний синдром може бути першою ознакою пухлинної патології. При розвитку цього синдрому у тварин діагностується: ліпідурія, протеїнурія, набряки, гіпопротеїнемія з гіпоальбумінемією, гіперліпопротеїнемія.</w:t>
      </w:r>
    </w:p>
    <w:p>
      <w:pPr>
        <w:pStyle w:val="BodyText"/>
        <w:spacing w:before="2"/>
        <w:ind w:right="608" w:firstLine="710"/>
      </w:pPr>
      <w:r>
        <w:rPr>
          <w:color w:val="333333"/>
        </w:rPr>
        <w:t>Крім, нефротичного синдрому, при злоякісних пухлинах таких, як лімфоми, лейкози в нирках можуть розвиватися інші різноманітні порушення (мікроциркуляторні, гломерулярні, тубулоінтерстиціальні). Лабораторно в крові хворих</w:t>
      </w:r>
      <w:r>
        <w:rPr>
          <w:color w:val="333333"/>
          <w:spacing w:val="-8"/>
        </w:rPr>
        <w:t> </w:t>
      </w:r>
      <w:r>
        <w:rPr>
          <w:color w:val="333333"/>
        </w:rPr>
        <w:t>тварин</w:t>
      </w:r>
      <w:r>
        <w:rPr>
          <w:color w:val="333333"/>
          <w:spacing w:val="-9"/>
        </w:rPr>
        <w:t> </w:t>
      </w:r>
      <w:r>
        <w:rPr>
          <w:color w:val="333333"/>
        </w:rPr>
        <w:t>відмічається</w:t>
      </w:r>
      <w:r>
        <w:rPr>
          <w:color w:val="333333"/>
          <w:spacing w:val="-7"/>
        </w:rPr>
        <w:t> </w:t>
      </w:r>
      <w:r>
        <w:rPr>
          <w:color w:val="333333"/>
        </w:rPr>
        <w:t>збільшення</w:t>
      </w:r>
      <w:r>
        <w:rPr>
          <w:color w:val="333333"/>
          <w:spacing w:val="-8"/>
        </w:rPr>
        <w:t> </w:t>
      </w:r>
      <w:r>
        <w:rPr>
          <w:color w:val="333333"/>
        </w:rPr>
        <w:t>сечовини</w:t>
      </w:r>
      <w:r>
        <w:rPr>
          <w:color w:val="333333"/>
          <w:spacing w:val="-8"/>
        </w:rPr>
        <w:t> </w:t>
      </w:r>
      <w:r>
        <w:rPr>
          <w:color w:val="333333"/>
        </w:rPr>
        <w:t>та</w:t>
      </w:r>
      <w:r>
        <w:rPr>
          <w:color w:val="333333"/>
          <w:spacing w:val="-8"/>
        </w:rPr>
        <w:t> </w:t>
      </w:r>
      <w:r>
        <w:rPr>
          <w:color w:val="333333"/>
        </w:rPr>
        <w:t>креатиніну,</w:t>
      </w:r>
      <w:r>
        <w:rPr>
          <w:color w:val="333333"/>
          <w:spacing w:val="-6"/>
        </w:rPr>
        <w:t> </w:t>
      </w:r>
      <w:r>
        <w:rPr>
          <w:color w:val="333333"/>
        </w:rPr>
        <w:t>що</w:t>
      </w:r>
      <w:r>
        <w:rPr>
          <w:color w:val="333333"/>
          <w:spacing w:val="-8"/>
        </w:rPr>
        <w:t> </w:t>
      </w:r>
      <w:r>
        <w:rPr>
          <w:color w:val="333333"/>
        </w:rPr>
        <w:t>підтверджує розвиток нефротичного синдрому та хронічної ниркової недостатності. В організмі хворих тварин поступово розвиваються зміни водно-електролітного балансу.</w:t>
      </w:r>
    </w:p>
    <w:p>
      <w:pPr>
        <w:pStyle w:val="BodyText"/>
        <w:ind w:right="617" w:firstLine="710"/>
      </w:pPr>
      <w:r>
        <w:rPr>
          <w:i/>
          <w:u w:val="single"/>
        </w:rPr>
        <w:t>Неврологічні паранеопластичні синдроми</w:t>
      </w:r>
      <w:r>
        <w:rPr>
          <w:i/>
        </w:rPr>
        <w:t> </w:t>
      </w:r>
      <w:r>
        <w:rPr/>
        <w:t>у тварин характеризуються розвитком паранеопластичної міастенія (MG), яка пов'язана з наявністю злоякісних пухлинних ушкодженнях тимуса, феохромоцитомі, аденокарциномі молочної залози, легеневій аденокарциномі, остеосаркомі, лімфомі, раку жовчних проток. Паранеопластична міастенія може проявлятися: загальною</w:t>
      </w:r>
    </w:p>
    <w:p>
      <w:pPr>
        <w:spacing w:after="0"/>
        <w:sectPr>
          <w:pgSz w:w="11910" w:h="16840"/>
          <w:pgMar w:header="713" w:footer="778" w:top="1140" w:bottom="960" w:left="940" w:right="520"/>
        </w:sectPr>
      </w:pPr>
    </w:p>
    <w:p>
      <w:pPr>
        <w:pStyle w:val="BodyText"/>
        <w:spacing w:line="322" w:lineRule="exact" w:before="92"/>
      </w:pPr>
      <w:r>
        <w:rPr/>
        <w:t>м’язовою слабкістю, поліміозитом, мегаезофагусом, судомами та комою.</w:t>
      </w:r>
    </w:p>
    <w:p>
      <w:pPr>
        <w:pStyle w:val="BodyText"/>
        <w:ind w:right="613" w:firstLine="710"/>
      </w:pPr>
      <w:r>
        <w:rPr/>
        <w:t>Паранеопластичні</w:t>
      </w:r>
      <w:r>
        <w:rPr>
          <w:spacing w:val="-11"/>
        </w:rPr>
        <w:t> </w:t>
      </w:r>
      <w:r>
        <w:rPr/>
        <w:t>синдроми,</w:t>
      </w:r>
      <w:r>
        <w:rPr>
          <w:spacing w:val="-4"/>
        </w:rPr>
        <w:t> </w:t>
      </w:r>
      <w:r>
        <w:rPr/>
        <w:t>що</w:t>
      </w:r>
      <w:r>
        <w:rPr>
          <w:spacing w:val="-9"/>
        </w:rPr>
        <w:t> </w:t>
      </w:r>
      <w:r>
        <w:rPr/>
        <w:t>вражають</w:t>
      </w:r>
      <w:r>
        <w:rPr>
          <w:spacing w:val="-8"/>
        </w:rPr>
        <w:t> </w:t>
      </w:r>
      <w:r>
        <w:rPr/>
        <w:t>центральну</w:t>
      </w:r>
      <w:r>
        <w:rPr>
          <w:spacing w:val="-10"/>
        </w:rPr>
        <w:t> </w:t>
      </w:r>
      <w:r>
        <w:rPr/>
        <w:t>нервову</w:t>
      </w:r>
      <w:r>
        <w:rPr>
          <w:spacing w:val="-9"/>
        </w:rPr>
        <w:t> </w:t>
      </w:r>
      <w:r>
        <w:rPr/>
        <w:t>систему,</w:t>
      </w:r>
      <w:r>
        <w:rPr>
          <w:spacing w:val="-3"/>
        </w:rPr>
        <w:t> </w:t>
      </w:r>
      <w:r>
        <w:rPr/>
        <w:t>у свійських та дрібних тварин розпізнаються не часто. Реакції з боку головного і спинного мозку (гострий параліч тазових кінцівок, прогресуюча втрата рухової функції, зниження поверхневої і глибокої больової чутливості в ділянці тулуба і тазових кінцівок, гіперекстензія грудних кінцівок) можуть бути результатом різних</w:t>
      </w:r>
      <w:r>
        <w:rPr>
          <w:spacing w:val="-15"/>
        </w:rPr>
        <w:t> </w:t>
      </w:r>
      <w:r>
        <w:rPr/>
        <w:t>типів</w:t>
      </w:r>
      <w:r>
        <w:rPr>
          <w:spacing w:val="-12"/>
        </w:rPr>
        <w:t> </w:t>
      </w:r>
      <w:r>
        <w:rPr/>
        <w:t>пухлин:</w:t>
      </w:r>
      <w:r>
        <w:rPr>
          <w:spacing w:val="-15"/>
        </w:rPr>
        <w:t> </w:t>
      </w:r>
      <w:r>
        <w:rPr/>
        <w:t>гепатоцелюлярний</w:t>
      </w:r>
      <w:r>
        <w:rPr>
          <w:spacing w:val="-9"/>
        </w:rPr>
        <w:t> </w:t>
      </w:r>
      <w:r>
        <w:rPr/>
        <w:t>рак</w:t>
      </w:r>
      <w:r>
        <w:rPr>
          <w:spacing w:val="-11"/>
        </w:rPr>
        <w:t> </w:t>
      </w:r>
      <w:r>
        <w:rPr/>
        <w:t>з</w:t>
      </w:r>
      <w:r>
        <w:rPr>
          <w:spacing w:val="-10"/>
        </w:rPr>
        <w:t> </w:t>
      </w:r>
      <w:r>
        <w:rPr/>
        <w:t>метастазуванням</w:t>
      </w:r>
      <w:r>
        <w:rPr>
          <w:spacing w:val="-8"/>
        </w:rPr>
        <w:t> </w:t>
      </w:r>
      <w:r>
        <w:rPr/>
        <w:t>в</w:t>
      </w:r>
      <w:r>
        <w:rPr>
          <w:spacing w:val="-12"/>
        </w:rPr>
        <w:t> </w:t>
      </w:r>
      <w:r>
        <w:rPr/>
        <w:t>легені,</w:t>
      </w:r>
      <w:r>
        <w:rPr>
          <w:spacing w:val="-7"/>
        </w:rPr>
        <w:t> </w:t>
      </w:r>
      <w:r>
        <w:rPr/>
        <w:t>печінку, селезінку і лімфатичні вузли; лімфоцитарній лейкемії,</w:t>
      </w:r>
      <w:r>
        <w:rPr>
          <w:spacing w:val="-8"/>
        </w:rPr>
        <w:t> </w:t>
      </w:r>
      <w:r>
        <w:rPr/>
        <w:t>астроцитомах.</w:t>
      </w:r>
    </w:p>
    <w:p>
      <w:pPr>
        <w:pStyle w:val="BodyText"/>
        <w:spacing w:before="2"/>
        <w:ind w:right="616" w:firstLine="710"/>
      </w:pPr>
      <w:r>
        <w:rPr/>
        <w:t>Периферична невропатія (множинні патологічні зміни в нервових волокнах, включно </w:t>
      </w:r>
      <w:r>
        <w:rPr>
          <w:i/>
        </w:rPr>
        <w:t>паранодальну </w:t>
      </w:r>
      <w:r>
        <w:rPr/>
        <w:t>і </w:t>
      </w:r>
      <w:r>
        <w:rPr>
          <w:i/>
        </w:rPr>
        <w:t>сегментарну </w:t>
      </w:r>
      <w:r>
        <w:rPr/>
        <w:t>демієлінізації, ремієлінізації, дегенерацію аксонів і мієлінових глобул) відмічається при розвитку: мієлом, лімфом, бронхогенного раку, аденокарциномі молочної залози, злоякісній меланомі,</w:t>
      </w:r>
      <w:r>
        <w:rPr>
          <w:spacing w:val="-13"/>
        </w:rPr>
        <w:t> </w:t>
      </w:r>
      <w:r>
        <w:rPr/>
        <w:t>аденокарциномі</w:t>
      </w:r>
      <w:r>
        <w:rPr>
          <w:spacing w:val="-20"/>
        </w:rPr>
        <w:t> </w:t>
      </w:r>
      <w:r>
        <w:rPr/>
        <w:t>щитовидної</w:t>
      </w:r>
      <w:r>
        <w:rPr>
          <w:spacing w:val="-19"/>
        </w:rPr>
        <w:t> </w:t>
      </w:r>
      <w:r>
        <w:rPr/>
        <w:t>залози,</w:t>
      </w:r>
      <w:r>
        <w:rPr>
          <w:spacing w:val="-13"/>
        </w:rPr>
        <w:t> </w:t>
      </w:r>
      <w:r>
        <w:rPr/>
        <w:t>лейоміосаркомі,</w:t>
      </w:r>
      <w:r>
        <w:rPr>
          <w:spacing w:val="-12"/>
        </w:rPr>
        <w:t> </w:t>
      </w:r>
      <w:r>
        <w:rPr/>
        <w:t>гемангіосаркомі, недиференційованій саркомі і пухлинах </w:t>
      </w:r>
      <w:r>
        <w:rPr>
          <w:spacing w:val="-3"/>
        </w:rPr>
        <w:t>із </w:t>
      </w:r>
      <w:r>
        <w:rPr/>
        <w:t>стовбурових</w:t>
      </w:r>
      <w:r>
        <w:rPr>
          <w:spacing w:val="-4"/>
        </w:rPr>
        <w:t> </w:t>
      </w:r>
      <w:r>
        <w:rPr/>
        <w:t>клітин.</w:t>
      </w:r>
    </w:p>
    <w:p>
      <w:pPr>
        <w:pStyle w:val="BodyText"/>
        <w:ind w:right="616" w:firstLine="710"/>
      </w:pPr>
      <w:r>
        <w:rPr>
          <w:i/>
          <w:u w:val="single"/>
        </w:rPr>
        <w:t>Дерматологічні паранеопластичні синдроми,</w:t>
      </w:r>
      <w:r>
        <w:rPr>
          <w:i/>
        </w:rPr>
        <w:t> </w:t>
      </w:r>
      <w:r>
        <w:rPr/>
        <w:t>можуть бути пов’язані з пухлинним ураженням внутрішніх органів та метастазами злоякісних пухлин в шкіру.</w:t>
      </w:r>
      <w:r>
        <w:rPr>
          <w:spacing w:val="-7"/>
        </w:rPr>
        <w:t> </w:t>
      </w:r>
      <w:r>
        <w:rPr/>
        <w:t>При</w:t>
      </w:r>
      <w:r>
        <w:rPr>
          <w:spacing w:val="-7"/>
        </w:rPr>
        <w:t> </w:t>
      </w:r>
      <w:r>
        <w:rPr/>
        <w:t>злоякісних</w:t>
      </w:r>
      <w:r>
        <w:rPr>
          <w:spacing w:val="-13"/>
        </w:rPr>
        <w:t> </w:t>
      </w:r>
      <w:r>
        <w:rPr/>
        <w:t>пухлинах</w:t>
      </w:r>
      <w:r>
        <w:rPr>
          <w:spacing w:val="-12"/>
        </w:rPr>
        <w:t> </w:t>
      </w:r>
      <w:r>
        <w:rPr/>
        <w:t>дерматози</w:t>
      </w:r>
      <w:r>
        <w:rPr>
          <w:spacing w:val="-8"/>
        </w:rPr>
        <w:t> </w:t>
      </w:r>
      <w:r>
        <w:rPr/>
        <w:t>мать</w:t>
      </w:r>
      <w:r>
        <w:rPr>
          <w:spacing w:val="-11"/>
        </w:rPr>
        <w:t> </w:t>
      </w:r>
      <w:r>
        <w:rPr/>
        <w:t>різну</w:t>
      </w:r>
      <w:r>
        <w:rPr>
          <w:spacing w:val="-13"/>
        </w:rPr>
        <w:t> </w:t>
      </w:r>
      <w:r>
        <w:rPr/>
        <w:t>клінічну</w:t>
      </w:r>
      <w:r>
        <w:rPr>
          <w:spacing w:val="-12"/>
        </w:rPr>
        <w:t> </w:t>
      </w:r>
      <w:r>
        <w:rPr/>
        <w:t>картину,</w:t>
      </w:r>
      <w:r>
        <w:rPr>
          <w:spacing w:val="-6"/>
        </w:rPr>
        <w:t> </w:t>
      </w:r>
      <w:r>
        <w:rPr/>
        <w:t>тому</w:t>
      </w:r>
      <w:r>
        <w:rPr>
          <w:spacing w:val="-13"/>
        </w:rPr>
        <w:t> </w:t>
      </w:r>
      <w:r>
        <w:rPr/>
        <w:t>не всі цінні для ветеринарного лікаря для підтвердження онкологічної патології. Серед шкірних паранеопластичних симптомів найбільш поширені і клінічно значимі чорний акантоз; шкірна сверблячка, які виникають переважно за раку шлунку, підшлункової залози, прямої кишки, рідше при раку молочної залози і яєчників.</w:t>
      </w:r>
    </w:p>
    <w:p>
      <w:pPr>
        <w:pStyle w:val="BodyText"/>
        <w:spacing w:before="1"/>
        <w:ind w:right="608" w:firstLine="710"/>
      </w:pPr>
      <w:r>
        <w:rPr/>
        <w:t>Останнім часом у котів діагностуються високо-специфічні дерматози такі, як</w:t>
      </w:r>
      <w:r>
        <w:rPr>
          <w:spacing w:val="-19"/>
        </w:rPr>
        <w:t> </w:t>
      </w:r>
      <w:r>
        <w:rPr/>
        <w:t>паранеопластична</w:t>
      </w:r>
      <w:r>
        <w:rPr>
          <w:spacing w:val="-17"/>
        </w:rPr>
        <w:t> </w:t>
      </w:r>
      <w:r>
        <w:rPr/>
        <w:t>алопеція</w:t>
      </w:r>
      <w:r>
        <w:rPr>
          <w:spacing w:val="-16"/>
        </w:rPr>
        <w:t> </w:t>
      </w:r>
      <w:r>
        <w:rPr/>
        <w:t>та</w:t>
      </w:r>
      <w:r>
        <w:rPr>
          <w:spacing w:val="-13"/>
        </w:rPr>
        <w:t> </w:t>
      </w:r>
      <w:r>
        <w:rPr/>
        <w:t>ексфоліативний</w:t>
      </w:r>
      <w:r>
        <w:rPr>
          <w:spacing w:val="-17"/>
        </w:rPr>
        <w:t> </w:t>
      </w:r>
      <w:r>
        <w:rPr/>
        <w:t>дерматит,</w:t>
      </w:r>
      <w:r>
        <w:rPr>
          <w:spacing w:val="-16"/>
        </w:rPr>
        <w:t> </w:t>
      </w:r>
      <w:r>
        <w:rPr/>
        <w:t>поява</w:t>
      </w:r>
      <w:r>
        <w:rPr>
          <w:spacing w:val="-17"/>
        </w:rPr>
        <w:t> </w:t>
      </w:r>
      <w:r>
        <w:rPr/>
        <w:t>яких</w:t>
      </w:r>
      <w:r>
        <w:rPr>
          <w:spacing w:val="-16"/>
        </w:rPr>
        <w:t> </w:t>
      </w:r>
      <w:r>
        <w:rPr/>
        <w:t>пов’язана </w:t>
      </w:r>
      <w:r>
        <w:rPr>
          <w:spacing w:val="-3"/>
        </w:rPr>
        <w:t>із </w:t>
      </w:r>
      <w:r>
        <w:rPr/>
        <w:t>злоякісними</w:t>
      </w:r>
      <w:r>
        <w:rPr>
          <w:spacing w:val="5"/>
        </w:rPr>
        <w:t> </w:t>
      </w:r>
      <w:r>
        <w:rPr/>
        <w:t>пухлинами.</w:t>
      </w:r>
    </w:p>
    <w:p>
      <w:pPr>
        <w:pStyle w:val="BodyText"/>
        <w:ind w:right="616" w:firstLine="782"/>
      </w:pPr>
      <w:r>
        <w:rPr/>
        <w:t>Паранеопластична алопеція котів в більшості випадків пов'язана з аденокарциномою</w:t>
      </w:r>
      <w:r>
        <w:rPr>
          <w:spacing w:val="-12"/>
        </w:rPr>
        <w:t> </w:t>
      </w:r>
      <w:r>
        <w:rPr/>
        <w:t>підшлункової</w:t>
      </w:r>
      <w:r>
        <w:rPr>
          <w:spacing w:val="-16"/>
        </w:rPr>
        <w:t> </w:t>
      </w:r>
      <w:r>
        <w:rPr/>
        <w:t>залози</w:t>
      </w:r>
      <w:r>
        <w:rPr>
          <w:spacing w:val="-10"/>
        </w:rPr>
        <w:t> </w:t>
      </w:r>
      <w:r>
        <w:rPr/>
        <w:t>або</w:t>
      </w:r>
      <w:r>
        <w:rPr>
          <w:spacing w:val="-10"/>
        </w:rPr>
        <w:t> </w:t>
      </w:r>
      <w:r>
        <w:rPr/>
        <w:t>карциномою</w:t>
      </w:r>
      <w:r>
        <w:rPr>
          <w:spacing w:val="-12"/>
        </w:rPr>
        <w:t> </w:t>
      </w:r>
      <w:r>
        <w:rPr/>
        <w:t>жовчовивідних</w:t>
      </w:r>
      <w:r>
        <w:rPr>
          <w:spacing w:val="-19"/>
        </w:rPr>
        <w:t> </w:t>
      </w:r>
      <w:r>
        <w:rPr/>
        <w:t>шляхів. Схильні до патології тварини похилого віку старші 10 років. Цей дерматит характеризується швидкоплинною прогресуючою алопецією (симетричною), свербіж відсутній. Починається дерматит, найчастіше, з вентральної частини черевної стінки, поступово переходячи на грудну клітку та</w:t>
      </w:r>
      <w:r>
        <w:rPr>
          <w:spacing w:val="-4"/>
        </w:rPr>
        <w:t> </w:t>
      </w:r>
      <w:r>
        <w:rPr/>
        <w:t>кінцівки.</w:t>
      </w:r>
    </w:p>
    <w:p>
      <w:pPr>
        <w:pStyle w:val="BodyText"/>
        <w:spacing w:before="2"/>
        <w:ind w:right="619" w:firstLine="710"/>
      </w:pPr>
      <w:r>
        <w:rPr/>
        <w:t>Ексфоліативний дерматит часто пов'язаний з розвитком у котів тимоми, інколи</w:t>
      </w:r>
      <w:r>
        <w:rPr>
          <w:spacing w:val="-10"/>
        </w:rPr>
        <w:t> </w:t>
      </w:r>
      <w:r>
        <w:rPr/>
        <w:t>і</w:t>
      </w:r>
      <w:r>
        <w:rPr>
          <w:spacing w:val="-18"/>
        </w:rPr>
        <w:t> </w:t>
      </w:r>
      <w:r>
        <w:rPr/>
        <w:t>з</w:t>
      </w:r>
      <w:r>
        <w:rPr>
          <w:spacing w:val="-14"/>
        </w:rPr>
        <w:t> </w:t>
      </w:r>
      <w:r>
        <w:rPr/>
        <w:t>розвитком</w:t>
      </w:r>
      <w:r>
        <w:rPr>
          <w:spacing w:val="-13"/>
        </w:rPr>
        <w:t> </w:t>
      </w:r>
      <w:r>
        <w:rPr/>
        <w:t>лейкозів</w:t>
      </w:r>
      <w:r>
        <w:rPr>
          <w:spacing w:val="-16"/>
        </w:rPr>
        <w:t> </w:t>
      </w:r>
      <w:r>
        <w:rPr/>
        <w:t>та</w:t>
      </w:r>
      <w:r>
        <w:rPr>
          <w:spacing w:val="-13"/>
        </w:rPr>
        <w:t> </w:t>
      </w:r>
      <w:r>
        <w:rPr/>
        <w:t>лімфом.</w:t>
      </w:r>
      <w:r>
        <w:rPr>
          <w:spacing w:val="-7"/>
        </w:rPr>
        <w:t> </w:t>
      </w:r>
      <w:r>
        <w:rPr/>
        <w:t>Починається</w:t>
      </w:r>
      <w:r>
        <w:rPr>
          <w:spacing w:val="-13"/>
        </w:rPr>
        <w:t> </w:t>
      </w:r>
      <w:r>
        <w:rPr/>
        <w:t>дерматит</w:t>
      </w:r>
      <w:r>
        <w:rPr>
          <w:spacing w:val="-16"/>
        </w:rPr>
        <w:t> </w:t>
      </w:r>
      <w:r>
        <w:rPr/>
        <w:t>з</w:t>
      </w:r>
      <w:r>
        <w:rPr>
          <w:spacing w:val="-14"/>
        </w:rPr>
        <w:t> </w:t>
      </w:r>
      <w:r>
        <w:rPr/>
        <w:t>легкої</w:t>
      </w:r>
      <w:r>
        <w:rPr>
          <w:spacing w:val="-18"/>
        </w:rPr>
        <w:t> </w:t>
      </w:r>
      <w:r>
        <w:rPr/>
        <w:t>еритеми, появи лущення в ділянці голови й вушних раковин, при відсутності свербіжу. Дерматит</w:t>
      </w:r>
      <w:r>
        <w:rPr>
          <w:spacing w:val="-20"/>
        </w:rPr>
        <w:t> </w:t>
      </w:r>
      <w:r>
        <w:rPr/>
        <w:t>охоплює</w:t>
      </w:r>
      <w:r>
        <w:rPr>
          <w:spacing w:val="-17"/>
        </w:rPr>
        <w:t> </w:t>
      </w:r>
      <w:r>
        <w:rPr/>
        <w:t>більшу</w:t>
      </w:r>
      <w:r>
        <w:rPr>
          <w:spacing w:val="-23"/>
        </w:rPr>
        <w:t> </w:t>
      </w:r>
      <w:r>
        <w:rPr/>
        <w:t>частину</w:t>
      </w:r>
      <w:r>
        <w:rPr>
          <w:spacing w:val="-18"/>
        </w:rPr>
        <w:t> </w:t>
      </w:r>
      <w:r>
        <w:rPr/>
        <w:t>тіла</w:t>
      </w:r>
      <w:r>
        <w:rPr>
          <w:spacing w:val="-17"/>
        </w:rPr>
        <w:t> </w:t>
      </w:r>
      <w:r>
        <w:rPr/>
        <w:t>тварини,</w:t>
      </w:r>
      <w:r>
        <w:rPr>
          <w:spacing w:val="-16"/>
        </w:rPr>
        <w:t> </w:t>
      </w:r>
      <w:r>
        <w:rPr/>
        <w:t>лущення</w:t>
      </w:r>
      <w:r>
        <w:rPr>
          <w:spacing w:val="-17"/>
        </w:rPr>
        <w:t> </w:t>
      </w:r>
      <w:r>
        <w:rPr/>
        <w:t>посилюється,</w:t>
      </w:r>
      <w:r>
        <w:rPr>
          <w:spacing w:val="-16"/>
        </w:rPr>
        <w:t> </w:t>
      </w:r>
      <w:r>
        <w:rPr/>
        <w:t>алопеція прогресує.</w:t>
      </w:r>
    </w:p>
    <w:p>
      <w:pPr>
        <w:pStyle w:val="BodyText"/>
        <w:ind w:right="626" w:firstLine="710"/>
      </w:pPr>
      <w:r>
        <w:rPr/>
        <w:t>Найчастішим паранеопластичним симптомом більшості пухлин є свербіж невизначеного ґенезу, інтенсивність якого може з часом змінюватися.</w:t>
      </w:r>
    </w:p>
    <w:p>
      <w:pPr>
        <w:pStyle w:val="BodyText"/>
        <w:ind w:right="608" w:firstLine="710"/>
      </w:pPr>
      <w:r>
        <w:rPr>
          <w:i/>
          <w:u w:val="single"/>
        </w:rPr>
        <w:t>Ендокринні паранеопластичні симптом</w:t>
      </w:r>
      <w:r>
        <w:rPr>
          <w:i/>
        </w:rPr>
        <w:t> </w:t>
      </w:r>
      <w:r>
        <w:rPr/>
        <w:t>обумовлені здатністю пухлинних клітин до синтезу біологічно активних речовин, які можуть мати різноманітні гормональні властивості, саме надлишок таких «псевдогормонів» і сприяє розвитку відповідних симптомів. Найчастіше ендокринна симптоматика з’являється при розвитку злоякісних пухлин легень, підшлункової залози, щитовидної залози, передміхурової залози, яєчників.</w:t>
      </w:r>
    </w:p>
    <w:p>
      <w:pPr>
        <w:spacing w:after="0"/>
        <w:sectPr>
          <w:pgSz w:w="11910" w:h="16840"/>
          <w:pgMar w:header="713" w:footer="778" w:top="1140" w:bottom="960" w:left="940" w:right="520"/>
        </w:sectPr>
      </w:pPr>
    </w:p>
    <w:p>
      <w:pPr>
        <w:pStyle w:val="BodyText"/>
        <w:spacing w:before="92"/>
        <w:ind w:right="611" w:firstLine="710"/>
      </w:pPr>
      <w:r>
        <w:rPr/>
        <w:t>Деякі доброякісні пухлини (аденоми) ендокринних залоз (щитовидна, підшлункова) можуть значно змінювати гормональний фон в організмі хворих тварин шляхом додаткового синтезу гормонів. В таких випадках відмічаються симптоми притаманні гіперфункції відповідних залоз.</w:t>
      </w:r>
    </w:p>
    <w:p>
      <w:pPr>
        <w:pStyle w:val="BodyText"/>
        <w:ind w:right="613" w:firstLine="710"/>
      </w:pPr>
      <w:r>
        <w:rPr/>
        <w:t>Клітини деяких злоякісних пухлин (аденокарцинома шлунку, остеогенна саркома,</w:t>
      </w:r>
      <w:r>
        <w:rPr>
          <w:spacing w:val="-16"/>
        </w:rPr>
        <w:t> </w:t>
      </w:r>
      <w:r>
        <w:rPr/>
        <w:t>пухлини</w:t>
      </w:r>
      <w:r>
        <w:rPr>
          <w:spacing w:val="-19"/>
        </w:rPr>
        <w:t> </w:t>
      </w:r>
      <w:r>
        <w:rPr/>
        <w:t>статевих</w:t>
      </w:r>
      <w:r>
        <w:rPr>
          <w:spacing w:val="-22"/>
        </w:rPr>
        <w:t> </w:t>
      </w:r>
      <w:r>
        <w:rPr/>
        <w:t>залоз)</w:t>
      </w:r>
      <w:r>
        <w:rPr>
          <w:spacing w:val="-19"/>
        </w:rPr>
        <w:t> </w:t>
      </w:r>
      <w:r>
        <w:rPr/>
        <w:t>здатні</w:t>
      </w:r>
      <w:r>
        <w:rPr>
          <w:spacing w:val="-18"/>
        </w:rPr>
        <w:t> </w:t>
      </w:r>
      <w:r>
        <w:rPr/>
        <w:t>синтезувати</w:t>
      </w:r>
      <w:r>
        <w:rPr>
          <w:spacing w:val="-18"/>
        </w:rPr>
        <w:t> </w:t>
      </w:r>
      <w:r>
        <w:rPr/>
        <w:t>меланотропін,</w:t>
      </w:r>
      <w:r>
        <w:rPr>
          <w:spacing w:val="-16"/>
        </w:rPr>
        <w:t> </w:t>
      </w:r>
      <w:r>
        <w:rPr/>
        <w:t>дія</w:t>
      </w:r>
      <w:r>
        <w:rPr>
          <w:spacing w:val="-15"/>
        </w:rPr>
        <w:t> </w:t>
      </w:r>
      <w:r>
        <w:rPr/>
        <w:t>якого</w:t>
      </w:r>
      <w:r>
        <w:rPr>
          <w:spacing w:val="-18"/>
        </w:rPr>
        <w:t> </w:t>
      </w:r>
      <w:r>
        <w:rPr/>
        <w:t>має прояв у вигляді гіперпігментації шкіри, чорного акантозу. Чорний акантоз, у тварин на відміну людини, характеризується появою ущільнених ділянок</w:t>
      </w:r>
      <w:r>
        <w:rPr>
          <w:spacing w:val="8"/>
        </w:rPr>
        <w:t> </w:t>
      </w:r>
      <w:r>
        <w:rPr/>
        <w:t>шкіри</w:t>
      </w:r>
    </w:p>
    <w:p>
      <w:pPr>
        <w:pStyle w:val="BodyText"/>
        <w:spacing w:before="2"/>
        <w:ind w:right="622"/>
      </w:pPr>
      <w:r>
        <w:rPr/>
        <w:t>«слонової шкіри» на шиї та паху. Згрубілі ділянки мають більш темне забарвлення, яке може доходити до коричневого чи навіть чорного.</w:t>
      </w:r>
    </w:p>
    <w:p>
      <w:pPr>
        <w:pStyle w:val="BodyText"/>
        <w:ind w:right="615" w:firstLine="710"/>
      </w:pPr>
      <w:r>
        <w:rPr/>
        <w:t>При розвитку у онкохворих тварин лімфом та солідних пухлин (сарком та карцином) особливо тих, що мають розвиток в підшлунковій залозі, паращитовидній</w:t>
      </w:r>
      <w:r>
        <w:rPr>
          <w:spacing w:val="-22"/>
        </w:rPr>
        <w:t> </w:t>
      </w:r>
      <w:r>
        <w:rPr/>
        <w:t>залозі,</w:t>
      </w:r>
      <w:r>
        <w:rPr>
          <w:spacing w:val="-20"/>
        </w:rPr>
        <w:t> </w:t>
      </w:r>
      <w:r>
        <w:rPr/>
        <w:t>молочних</w:t>
      </w:r>
      <w:r>
        <w:rPr>
          <w:spacing w:val="-25"/>
        </w:rPr>
        <w:t> </w:t>
      </w:r>
      <w:r>
        <w:rPr/>
        <w:t>залозах,</w:t>
      </w:r>
      <w:r>
        <w:rPr>
          <w:spacing w:val="-19"/>
        </w:rPr>
        <w:t> </w:t>
      </w:r>
      <w:r>
        <w:rPr/>
        <w:t>легенях</w:t>
      </w:r>
      <w:r>
        <w:rPr>
          <w:spacing w:val="-26"/>
        </w:rPr>
        <w:t> </w:t>
      </w:r>
      <w:r>
        <w:rPr/>
        <w:t>та</w:t>
      </w:r>
      <w:r>
        <w:rPr>
          <w:spacing w:val="-16"/>
        </w:rPr>
        <w:t> </w:t>
      </w:r>
      <w:r>
        <w:rPr/>
        <w:t>кістках</w:t>
      </w:r>
      <w:r>
        <w:rPr>
          <w:spacing w:val="-15"/>
        </w:rPr>
        <w:t> </w:t>
      </w:r>
      <w:r>
        <w:rPr/>
        <w:t>в</w:t>
      </w:r>
      <w:r>
        <w:rPr>
          <w:spacing w:val="-23"/>
        </w:rPr>
        <w:t> </w:t>
      </w:r>
      <w:r>
        <w:rPr/>
        <w:t>крові</w:t>
      </w:r>
      <w:r>
        <w:rPr>
          <w:spacing w:val="-22"/>
        </w:rPr>
        <w:t> </w:t>
      </w:r>
      <w:r>
        <w:rPr/>
        <w:t>відмічається збільшення вмісту кальцію розвивається гіперкальціємія, яка пов’язана з порушенням структури кісткової тварин (резорбція</w:t>
      </w:r>
      <w:r>
        <w:rPr>
          <w:spacing w:val="3"/>
        </w:rPr>
        <w:t> </w:t>
      </w:r>
      <w:r>
        <w:rPr/>
        <w:t>кістки).</w:t>
      </w:r>
    </w:p>
    <w:p>
      <w:pPr>
        <w:pStyle w:val="BodyText"/>
        <w:ind w:right="610" w:firstLine="710"/>
      </w:pPr>
      <w:r>
        <w:rPr>
          <w:i/>
          <w:u w:val="single"/>
        </w:rPr>
        <w:t>Серцево-судинні</w:t>
      </w:r>
      <w:r>
        <w:rPr>
          <w:i/>
          <w:spacing w:val="-20"/>
          <w:u w:val="single"/>
        </w:rPr>
        <w:t> </w:t>
      </w:r>
      <w:r>
        <w:rPr>
          <w:i/>
          <w:u w:val="single"/>
        </w:rPr>
        <w:t>паранеопластичні</w:t>
      </w:r>
      <w:r>
        <w:rPr>
          <w:i/>
          <w:spacing w:val="-20"/>
          <w:u w:val="single"/>
        </w:rPr>
        <w:t> </w:t>
      </w:r>
      <w:r>
        <w:rPr>
          <w:i/>
          <w:u w:val="single"/>
        </w:rPr>
        <w:t>синдроми</w:t>
      </w:r>
      <w:r>
        <w:rPr>
          <w:i/>
          <w:spacing w:val="-14"/>
        </w:rPr>
        <w:t> </w:t>
      </w:r>
      <w:r>
        <w:rPr/>
        <w:t>характеризуються</w:t>
      </w:r>
      <w:r>
        <w:rPr>
          <w:spacing w:val="-18"/>
        </w:rPr>
        <w:t> </w:t>
      </w:r>
      <w:r>
        <w:rPr/>
        <w:t>розвитком серцево-судинної недостатності, частими аритміями (тахікардія), розвитком синдрому гіперкоагуляції й мігруючого тромбофлебіту: злоякісні епітеліальні пухлини легень, статевих органів й молочних залоз, а також органів шлунково- кишкового тракту. Основною причиною зупинки серця у тварин з злоякісними пухлинами є</w:t>
      </w:r>
      <w:r>
        <w:rPr>
          <w:spacing w:val="2"/>
        </w:rPr>
        <w:t> </w:t>
      </w:r>
      <w:r>
        <w:rPr/>
        <w:t>гіперкальціємія.</w:t>
      </w:r>
    </w:p>
    <w:p>
      <w:pPr>
        <w:pStyle w:val="BodyText"/>
        <w:spacing w:before="1"/>
        <w:ind w:right="607" w:firstLine="710"/>
      </w:pPr>
      <w:r>
        <w:rPr/>
        <w:t>Останнім часом діагностика пухлин у тварин значно розширилася та покращилася, що дає можливість ветеринарним лікарям діагностувати пухлини на ранніх стадіях і допомагати тваринам. При місцевих пухлинних ураженнях хіміотерапію призначають для зменшення пухлин до операбельних розмірів та боротьбі з прихованими метастазами. Але при призначенні </w:t>
      </w:r>
      <w:r>
        <w:rPr>
          <w:spacing w:val="2"/>
        </w:rPr>
        <w:t>будь-яких </w:t>
      </w:r>
      <w:r>
        <w:rPr/>
        <w:t>хіміопрепаратів, в першу чергу, страждають здорові клітини, саме вони пошкоджуються першими, при застосуванні всіх протипухлинних препаратів. Головним недоліком хіміотерапевтичних препаратів є відсутність строго вибіркової дії препарату, яка була б спрямована на знешкодження тільки клітин пухлини. Тому всі хіміотерапевтичні препарати мають ряд побічних дій і є додатковим навантаженням для хворого організму. Ступінь побічної дії препаратів залежить від виду та дози. Однією з особливостей призначення хіміопрепаратів є розрахунок дози препарату. Дозу препарату розраховують на площу поверхні тіла тварини, а не на масу тіла.Ускладнення після застосування хіміопрепаратів</w:t>
      </w:r>
      <w:r>
        <w:rPr>
          <w:spacing w:val="-20"/>
        </w:rPr>
        <w:t> </w:t>
      </w:r>
      <w:r>
        <w:rPr/>
        <w:t>класифікуються</w:t>
      </w:r>
      <w:r>
        <w:rPr>
          <w:spacing w:val="-16"/>
        </w:rPr>
        <w:t> </w:t>
      </w:r>
      <w:r>
        <w:rPr/>
        <w:t>в</w:t>
      </w:r>
      <w:r>
        <w:rPr>
          <w:spacing w:val="-20"/>
        </w:rPr>
        <w:t> </w:t>
      </w:r>
      <w:r>
        <w:rPr/>
        <w:t>залежності</w:t>
      </w:r>
      <w:r>
        <w:rPr>
          <w:spacing w:val="-23"/>
        </w:rPr>
        <w:t> </w:t>
      </w:r>
      <w:r>
        <w:rPr/>
        <w:t>від</w:t>
      </w:r>
      <w:r>
        <w:rPr>
          <w:spacing w:val="-16"/>
        </w:rPr>
        <w:t> </w:t>
      </w:r>
      <w:r>
        <w:rPr/>
        <w:t>часу</w:t>
      </w:r>
      <w:r>
        <w:rPr>
          <w:spacing w:val="-18"/>
        </w:rPr>
        <w:t> </w:t>
      </w:r>
      <w:r>
        <w:rPr/>
        <w:t>їх</w:t>
      </w:r>
      <w:r>
        <w:rPr>
          <w:spacing w:val="-22"/>
        </w:rPr>
        <w:t> </w:t>
      </w:r>
      <w:r>
        <w:rPr/>
        <w:t>виникнення:</w:t>
      </w:r>
      <w:r>
        <w:rPr>
          <w:spacing w:val="-23"/>
        </w:rPr>
        <w:t> </w:t>
      </w:r>
      <w:r>
        <w:rPr/>
        <w:t>найближчі, безпосередні і відстрочені. В продовж першої доби у хворих тварин виявляють: блювоту, діарею, анорексію, слабкість, сонливість. Через 1-2 тижні діагностується: анемія, тромбоцитопенія, лейкопенія. Відмічаються також порушення функцій органів системи дихання, запалення слизової оболонки ротової порожнини і шлунково-кишкового тракту, зміни в периферичної нервової системи. Відстрочені ускладнення мають прояв у вигляді алопецій, зниження імунного захисту, ураження серця і пригнічення гемопоезу. Ускладнення</w:t>
      </w:r>
      <w:r>
        <w:rPr>
          <w:spacing w:val="-8"/>
        </w:rPr>
        <w:t> </w:t>
      </w:r>
      <w:r>
        <w:rPr/>
        <w:t>після</w:t>
      </w:r>
      <w:r>
        <w:rPr>
          <w:spacing w:val="-3"/>
        </w:rPr>
        <w:t> </w:t>
      </w:r>
      <w:r>
        <w:rPr/>
        <w:t>хіміотерапії</w:t>
      </w:r>
      <w:r>
        <w:rPr>
          <w:spacing w:val="-13"/>
        </w:rPr>
        <w:t> </w:t>
      </w:r>
      <w:r>
        <w:rPr/>
        <w:t>залежать</w:t>
      </w:r>
      <w:r>
        <w:rPr>
          <w:spacing w:val="-6"/>
        </w:rPr>
        <w:t> </w:t>
      </w:r>
      <w:r>
        <w:rPr/>
        <w:t>від</w:t>
      </w:r>
      <w:r>
        <w:rPr>
          <w:spacing w:val="-6"/>
        </w:rPr>
        <w:t> </w:t>
      </w:r>
      <w:r>
        <w:rPr/>
        <w:t>препарату</w:t>
      </w:r>
      <w:r>
        <w:rPr>
          <w:spacing w:val="-13"/>
        </w:rPr>
        <w:t> </w:t>
      </w:r>
      <w:r>
        <w:rPr/>
        <w:t>та</w:t>
      </w:r>
      <w:r>
        <w:rPr>
          <w:spacing w:val="-7"/>
        </w:rPr>
        <w:t> </w:t>
      </w:r>
      <w:r>
        <w:rPr/>
        <w:t>шляху</w:t>
      </w:r>
      <w:r>
        <w:rPr>
          <w:spacing w:val="-13"/>
        </w:rPr>
        <w:t> </w:t>
      </w:r>
      <w:r>
        <w:rPr/>
        <w:t>його</w:t>
      </w:r>
      <w:r>
        <w:rPr>
          <w:spacing w:val="-8"/>
        </w:rPr>
        <w:t> </w:t>
      </w:r>
      <w:r>
        <w:rPr/>
        <w:t>виведення</w:t>
      </w:r>
    </w:p>
    <w:p>
      <w:pPr>
        <w:spacing w:after="0"/>
        <w:sectPr>
          <w:pgSz w:w="11910" w:h="16840"/>
          <w:pgMar w:header="713" w:footer="778" w:top="1140" w:bottom="960" w:left="940" w:right="520"/>
        </w:sectPr>
      </w:pPr>
    </w:p>
    <w:p>
      <w:pPr>
        <w:pStyle w:val="BodyText"/>
        <w:spacing w:line="322" w:lineRule="exact" w:before="92"/>
      </w:pPr>
      <w:r>
        <w:rPr/>
        <w:t>з організму.</w:t>
      </w:r>
    </w:p>
    <w:p>
      <w:pPr>
        <w:spacing w:line="240" w:lineRule="auto" w:before="0"/>
        <w:ind w:left="193" w:right="613" w:firstLine="710"/>
        <w:jc w:val="both"/>
        <w:rPr>
          <w:sz w:val="28"/>
        </w:rPr>
      </w:pPr>
      <w:r>
        <w:rPr>
          <w:sz w:val="28"/>
        </w:rPr>
        <w:t>Ускладнення після використання препаратів групи «Алкілуючі сполуки»: </w:t>
      </w:r>
      <w:r>
        <w:rPr>
          <w:i/>
          <w:sz w:val="28"/>
        </w:rPr>
        <w:t>шлунково-кишковий тракт </w:t>
      </w:r>
      <w:r>
        <w:rPr>
          <w:sz w:val="28"/>
        </w:rPr>
        <w:t>– анорексія, нудота, блювання та пронос, токсичне ураження печінки; </w:t>
      </w:r>
      <w:r>
        <w:rPr>
          <w:i/>
          <w:sz w:val="28"/>
        </w:rPr>
        <w:t>система крові </w:t>
      </w:r>
      <w:r>
        <w:rPr>
          <w:sz w:val="28"/>
        </w:rPr>
        <w:t>– анемія, лейкопенія, тромбоцитопенія, мієлосупресія; </w:t>
      </w:r>
      <w:r>
        <w:rPr>
          <w:i/>
          <w:sz w:val="28"/>
        </w:rPr>
        <w:t>органи сечовиділення </w:t>
      </w:r>
      <w:r>
        <w:rPr>
          <w:sz w:val="28"/>
        </w:rPr>
        <w:t>– відмічається подразнення стінок</w:t>
      </w:r>
      <w:r>
        <w:rPr>
          <w:spacing w:val="-41"/>
          <w:sz w:val="28"/>
        </w:rPr>
        <w:t> </w:t>
      </w:r>
      <w:r>
        <w:rPr>
          <w:sz w:val="28"/>
        </w:rPr>
        <w:t>сечового міхура, геморагічний цистит; </w:t>
      </w:r>
      <w:r>
        <w:rPr>
          <w:i/>
          <w:sz w:val="28"/>
        </w:rPr>
        <w:t>ендокринна система </w:t>
      </w:r>
      <w:r>
        <w:rPr>
          <w:sz w:val="28"/>
        </w:rPr>
        <w:t>– гіперпігментація шкіри, гіперфункція надниркових залоз; </w:t>
      </w:r>
      <w:r>
        <w:rPr>
          <w:i/>
          <w:sz w:val="28"/>
        </w:rPr>
        <w:t>система дихання </w:t>
      </w:r>
      <w:r>
        <w:rPr>
          <w:sz w:val="28"/>
        </w:rPr>
        <w:t>– кашель, прогресуюче диспное, відкладення в легенях фібрину; </w:t>
      </w:r>
      <w:r>
        <w:rPr>
          <w:i/>
          <w:sz w:val="28"/>
        </w:rPr>
        <w:t>органи зору </w:t>
      </w:r>
      <w:r>
        <w:rPr>
          <w:sz w:val="28"/>
        </w:rPr>
        <w:t>– зміни кришталика, катаракта; </w:t>
      </w:r>
      <w:r>
        <w:rPr>
          <w:i/>
          <w:sz w:val="28"/>
        </w:rPr>
        <w:t>шкіра </w:t>
      </w:r>
      <w:r>
        <w:rPr>
          <w:sz w:val="28"/>
        </w:rPr>
        <w:t>–</w:t>
      </w:r>
      <w:r>
        <w:rPr>
          <w:spacing w:val="6"/>
          <w:sz w:val="28"/>
        </w:rPr>
        <w:t> </w:t>
      </w:r>
      <w:r>
        <w:rPr>
          <w:sz w:val="28"/>
        </w:rPr>
        <w:t>алопеції.</w:t>
      </w:r>
    </w:p>
    <w:p>
      <w:pPr>
        <w:pStyle w:val="BodyText"/>
        <w:spacing w:before="2"/>
        <w:ind w:right="609" w:firstLine="710"/>
      </w:pPr>
      <w:r>
        <w:rPr/>
        <w:t>Ускладнення після використання препаратів групи «Антиметаболіти»: </w:t>
      </w:r>
      <w:r>
        <w:rPr>
          <w:i/>
        </w:rPr>
        <w:t>шлунково-кишковий тракт </w:t>
      </w:r>
      <w:r>
        <w:rPr/>
        <w:t>– стоматити, пронос, геморагічний ентерит, випадки перфорації кишечника, анорексія, блювання, грубі порушення функції печінки, цироз; </w:t>
      </w:r>
      <w:r>
        <w:rPr>
          <w:i/>
        </w:rPr>
        <w:t>система крові </w:t>
      </w:r>
      <w:r>
        <w:rPr/>
        <w:t>– легка лейкопенія, тромбоцитопенія і анемія; </w:t>
      </w:r>
      <w:r>
        <w:rPr>
          <w:i/>
        </w:rPr>
        <w:t>органи </w:t>
      </w:r>
      <w:r>
        <w:rPr>
          <w:i/>
        </w:rPr>
        <w:t>сечовиділення </w:t>
      </w:r>
      <w:r>
        <w:rPr/>
        <w:t>– гострий некроз канальців; </w:t>
      </w:r>
      <w:r>
        <w:rPr>
          <w:i/>
        </w:rPr>
        <w:t>шкіра </w:t>
      </w:r>
      <w:r>
        <w:rPr/>
        <w:t>– алопеції, дерматити, гіперпігментації. Ускладнення після використання препаратів групи «Рослинні алколоїди»: </w:t>
      </w:r>
      <w:r>
        <w:rPr>
          <w:i/>
        </w:rPr>
        <w:t>нервова система </w:t>
      </w:r>
      <w:r>
        <w:rPr/>
        <w:t>– сенсорна нейропатія, парестезія, атаксія, м’язове виснаження; </w:t>
      </w:r>
      <w:r>
        <w:rPr>
          <w:i/>
        </w:rPr>
        <w:t>шлунково-кишковий тракт </w:t>
      </w:r>
      <w:r>
        <w:rPr/>
        <w:t>– нудота, блювання, запори; шкіра – слаба алопеція, облисіння в місцях введення препарату.</w:t>
      </w:r>
    </w:p>
    <w:p>
      <w:pPr>
        <w:spacing w:before="2"/>
        <w:ind w:left="193" w:right="605" w:firstLine="710"/>
        <w:jc w:val="both"/>
        <w:rPr>
          <w:sz w:val="28"/>
        </w:rPr>
      </w:pPr>
      <w:r>
        <w:rPr>
          <w:sz w:val="28"/>
        </w:rPr>
        <w:t>Ускладнення після використання препаратів групи «Протипухлинні антибіотики»: </w:t>
      </w:r>
      <w:r>
        <w:rPr>
          <w:i/>
          <w:sz w:val="28"/>
        </w:rPr>
        <w:t>шлунково-кишковий тракт </w:t>
      </w:r>
      <w:r>
        <w:rPr>
          <w:sz w:val="28"/>
        </w:rPr>
        <w:t>– анорексія, нудота, блювання, пронос; </w:t>
      </w:r>
      <w:r>
        <w:rPr>
          <w:i/>
          <w:sz w:val="28"/>
        </w:rPr>
        <w:t>система крові </w:t>
      </w:r>
      <w:r>
        <w:rPr>
          <w:sz w:val="28"/>
        </w:rPr>
        <w:t>– супресія кісткового мозку, лейкопенія, анемія, тромбоцитопенія; </w:t>
      </w:r>
      <w:r>
        <w:rPr>
          <w:i/>
          <w:sz w:val="28"/>
        </w:rPr>
        <w:t>шкіра </w:t>
      </w:r>
      <w:r>
        <w:rPr>
          <w:sz w:val="28"/>
        </w:rPr>
        <w:t>– алопеція, місцеві подразнення; </w:t>
      </w:r>
      <w:r>
        <w:rPr>
          <w:i/>
          <w:sz w:val="28"/>
        </w:rPr>
        <w:t>серцево-судинна </w:t>
      </w:r>
      <w:r>
        <w:rPr>
          <w:i/>
          <w:sz w:val="28"/>
        </w:rPr>
        <w:t>система </w:t>
      </w:r>
      <w:r>
        <w:rPr>
          <w:sz w:val="28"/>
        </w:rPr>
        <w:t>– кардіоміопатії, аритмії; </w:t>
      </w:r>
      <w:r>
        <w:rPr>
          <w:i/>
          <w:sz w:val="28"/>
        </w:rPr>
        <w:t>органи сечовиділення </w:t>
      </w:r>
      <w:r>
        <w:rPr>
          <w:sz w:val="28"/>
        </w:rPr>
        <w:t>– грубі порушення структури нирок, гематурія; </w:t>
      </w:r>
      <w:r>
        <w:rPr>
          <w:i/>
          <w:sz w:val="28"/>
        </w:rPr>
        <w:t>органи дихання </w:t>
      </w:r>
      <w:r>
        <w:rPr>
          <w:sz w:val="28"/>
        </w:rPr>
        <w:t>– фіброз легень; </w:t>
      </w:r>
      <w:r>
        <w:rPr>
          <w:i/>
          <w:sz w:val="28"/>
        </w:rPr>
        <w:t>алергічні реакції </w:t>
      </w:r>
      <w:r>
        <w:rPr>
          <w:sz w:val="28"/>
        </w:rPr>
        <w:t>- анафілаксія, ангіоневротичні набряки.</w:t>
      </w:r>
    </w:p>
    <w:p>
      <w:pPr>
        <w:spacing w:line="240" w:lineRule="auto" w:before="0"/>
        <w:ind w:left="193" w:right="611" w:firstLine="710"/>
        <w:jc w:val="both"/>
        <w:rPr>
          <w:sz w:val="28"/>
        </w:rPr>
      </w:pPr>
      <w:r>
        <w:rPr>
          <w:sz w:val="28"/>
        </w:rPr>
        <w:t>Ускладнення після використання препаратів групи «Змішані препарати»: </w:t>
      </w:r>
      <w:r>
        <w:rPr>
          <w:b/>
          <w:i/>
          <w:sz w:val="28"/>
        </w:rPr>
        <w:t>L-asparaginase </w:t>
      </w:r>
      <w:r>
        <w:rPr>
          <w:sz w:val="28"/>
        </w:rPr>
        <w:t>- </w:t>
      </w:r>
      <w:r>
        <w:rPr>
          <w:i/>
          <w:sz w:val="28"/>
        </w:rPr>
        <w:t>шлунково-кишковий тракт</w:t>
      </w:r>
      <w:r>
        <w:rPr>
          <w:sz w:val="28"/>
        </w:rPr>
        <w:t>- анорексія, нудота, блювання, геморагічний панкреатит; </w:t>
      </w:r>
      <w:r>
        <w:rPr>
          <w:i/>
          <w:sz w:val="28"/>
        </w:rPr>
        <w:t>алергічні реакції </w:t>
      </w:r>
      <w:r>
        <w:rPr>
          <w:sz w:val="28"/>
        </w:rPr>
        <w:t>– можливі при в/в та п/ш введенні; </w:t>
      </w:r>
      <w:r>
        <w:rPr>
          <w:i/>
          <w:sz w:val="28"/>
        </w:rPr>
        <w:t>система крові </w:t>
      </w:r>
      <w:r>
        <w:rPr>
          <w:sz w:val="28"/>
        </w:rPr>
        <w:t>– порушення коагуляції; </w:t>
      </w:r>
      <w:r>
        <w:rPr>
          <w:b/>
          <w:i/>
          <w:sz w:val="28"/>
        </w:rPr>
        <w:t>Cis-platinum </w:t>
      </w:r>
      <w:r>
        <w:rPr>
          <w:sz w:val="28"/>
        </w:rPr>
        <w:t>– </w:t>
      </w:r>
      <w:r>
        <w:rPr>
          <w:i/>
          <w:sz w:val="28"/>
        </w:rPr>
        <w:t>органи сечовиділення </w:t>
      </w:r>
      <w:r>
        <w:rPr>
          <w:sz w:val="28"/>
        </w:rPr>
        <w:t>– зниження ниркового кровотоку, некроз ниркових канальців, </w:t>
      </w:r>
      <w:r>
        <w:rPr>
          <w:i/>
          <w:sz w:val="28"/>
        </w:rPr>
        <w:t>система крові </w:t>
      </w:r>
      <w:r>
        <w:rPr>
          <w:sz w:val="28"/>
        </w:rPr>
        <w:t>– мієлосупресія.</w:t>
      </w:r>
    </w:p>
    <w:p>
      <w:pPr>
        <w:pStyle w:val="BodyText"/>
        <w:spacing w:before="1"/>
        <w:ind w:right="616" w:firstLine="710"/>
      </w:pPr>
      <w:r>
        <w:rPr/>
        <w:t>Як видно з отриманих даних, ускладнення після використання хіміопрепаратів у деяких препаратів майже ідентичні – нудота, блювання, анорексія, мієлосупресія, а у інших – строго специфічні.</w:t>
      </w:r>
    </w:p>
    <w:p>
      <w:pPr>
        <w:pStyle w:val="BodyText"/>
        <w:ind w:right="615" w:firstLine="710"/>
      </w:pPr>
      <w:r>
        <w:rPr>
          <w:i/>
          <w:u w:val="single"/>
        </w:rPr>
        <w:t>Синдром пухлинного лізису</w:t>
      </w:r>
      <w:r>
        <w:rPr>
          <w:i/>
        </w:rPr>
        <w:t> </w:t>
      </w:r>
      <w:r>
        <w:rPr>
          <w:b/>
          <w:i/>
        </w:rPr>
        <w:t>- </w:t>
      </w:r>
      <w:r>
        <w:rPr/>
        <w:t>комплекс загрожуючих життю метаболічних порушень, які виникають внаслідок швидкого розпаду клітин пухлини та потраплянню цих речовин в кров. Відмічається: гіперкаліємія, гіперфосфатемія, гіпокальціємія, гіперурикемія, азотемія. Ці метаболічні порушення викликають нудоту, блювання, гостру ниркову недостатність, аритмії серця і смерть.</w:t>
      </w:r>
    </w:p>
    <w:p>
      <w:pPr>
        <w:pStyle w:val="BodyText"/>
        <w:ind w:right="613" w:firstLine="710"/>
      </w:pPr>
      <w:r>
        <w:rPr>
          <w:i/>
          <w:u w:val="single"/>
        </w:rPr>
        <w:t>Мієлосупресія</w:t>
      </w:r>
      <w:r>
        <w:rPr>
          <w:i/>
        </w:rPr>
        <w:t> </w:t>
      </w:r>
      <w:r>
        <w:rPr/>
        <w:t>- зниження лейкоцитів і тромбоцитів в крові. Препарати діють</w:t>
      </w:r>
      <w:r>
        <w:rPr>
          <w:spacing w:val="-10"/>
        </w:rPr>
        <w:t> </w:t>
      </w:r>
      <w:r>
        <w:rPr/>
        <w:t>на</w:t>
      </w:r>
      <w:r>
        <w:rPr>
          <w:spacing w:val="-7"/>
        </w:rPr>
        <w:t> </w:t>
      </w:r>
      <w:r>
        <w:rPr/>
        <w:t>швидко</w:t>
      </w:r>
      <w:r>
        <w:rPr>
          <w:spacing w:val="-7"/>
        </w:rPr>
        <w:t> </w:t>
      </w:r>
      <w:r>
        <w:rPr/>
        <w:t>зростаючі</w:t>
      </w:r>
      <w:r>
        <w:rPr>
          <w:spacing w:val="-13"/>
        </w:rPr>
        <w:t> </w:t>
      </w:r>
      <w:r>
        <w:rPr/>
        <w:t>злоякісні</w:t>
      </w:r>
      <w:r>
        <w:rPr>
          <w:spacing w:val="-13"/>
        </w:rPr>
        <w:t> </w:t>
      </w:r>
      <w:r>
        <w:rPr/>
        <w:t>клітини,</w:t>
      </w:r>
      <w:r>
        <w:rPr>
          <w:spacing w:val="-7"/>
        </w:rPr>
        <w:t> </w:t>
      </w:r>
      <w:r>
        <w:rPr/>
        <w:t>а</w:t>
      </w:r>
      <w:r>
        <w:rPr>
          <w:spacing w:val="-7"/>
        </w:rPr>
        <w:t> </w:t>
      </w:r>
      <w:r>
        <w:rPr/>
        <w:t>система</w:t>
      </w:r>
      <w:r>
        <w:rPr>
          <w:spacing w:val="-7"/>
        </w:rPr>
        <w:t> </w:t>
      </w:r>
      <w:r>
        <w:rPr/>
        <w:t>кровотворення</w:t>
      </w:r>
      <w:r>
        <w:rPr>
          <w:spacing w:val="-8"/>
        </w:rPr>
        <w:t> </w:t>
      </w:r>
      <w:r>
        <w:rPr/>
        <w:t>в</w:t>
      </w:r>
      <w:r>
        <w:rPr>
          <w:spacing w:val="-9"/>
        </w:rPr>
        <w:t> </w:t>
      </w:r>
      <w:r>
        <w:rPr/>
        <w:t>нормі</w:t>
      </w:r>
      <w:r>
        <w:rPr>
          <w:spacing w:val="-13"/>
        </w:rPr>
        <w:t> </w:t>
      </w:r>
      <w:r>
        <w:rPr/>
        <w:t>є органом який активно продукує клітини, то абсолютно очевидно, що кістковий мозок підпадає під вплив </w:t>
      </w:r>
      <w:r>
        <w:rPr>
          <w:spacing w:val="2"/>
        </w:rPr>
        <w:t>такої </w:t>
      </w:r>
      <w:r>
        <w:rPr/>
        <w:t>терапії. Мієлосупресія розвивається через те, що тривалість життя лейкоцитів і тромбоцитів менша у порівнянні з</w:t>
      </w:r>
      <w:r>
        <w:rPr>
          <w:spacing w:val="-2"/>
        </w:rPr>
        <w:t> </w:t>
      </w:r>
      <w:r>
        <w:rPr/>
        <w:t>еритроцитами.</w:t>
      </w:r>
    </w:p>
    <w:p>
      <w:pPr>
        <w:spacing w:after="0"/>
        <w:sectPr>
          <w:pgSz w:w="11910" w:h="16840"/>
          <w:pgMar w:header="713" w:footer="778" w:top="1140" w:bottom="960" w:left="940" w:right="520"/>
        </w:sectPr>
      </w:pPr>
    </w:p>
    <w:p>
      <w:pPr>
        <w:pStyle w:val="BodyText"/>
        <w:spacing w:before="92"/>
        <w:ind w:right="620"/>
      </w:pPr>
      <w:r>
        <w:rPr/>
        <w:t>Основні</w:t>
      </w:r>
      <w:r>
        <w:rPr>
          <w:spacing w:val="-15"/>
        </w:rPr>
        <w:t> </w:t>
      </w:r>
      <w:r>
        <w:rPr/>
        <w:t>ускладнення</w:t>
      </w:r>
      <w:r>
        <w:rPr>
          <w:spacing w:val="-13"/>
        </w:rPr>
        <w:t> </w:t>
      </w:r>
      <w:r>
        <w:rPr/>
        <w:t>обмовлені</w:t>
      </w:r>
      <w:r>
        <w:rPr>
          <w:spacing w:val="-14"/>
        </w:rPr>
        <w:t> </w:t>
      </w:r>
      <w:r>
        <w:rPr/>
        <w:t>зниженням</w:t>
      </w:r>
      <w:r>
        <w:rPr>
          <w:spacing w:val="-11"/>
        </w:rPr>
        <w:t> </w:t>
      </w:r>
      <w:r>
        <w:rPr/>
        <w:t>в</w:t>
      </w:r>
      <w:r>
        <w:rPr>
          <w:spacing w:val="-15"/>
        </w:rPr>
        <w:t> </w:t>
      </w:r>
      <w:r>
        <w:rPr/>
        <w:t>периферичній</w:t>
      </w:r>
      <w:r>
        <w:rPr>
          <w:spacing w:val="-14"/>
        </w:rPr>
        <w:t> </w:t>
      </w:r>
      <w:r>
        <w:rPr/>
        <w:t>крові:</w:t>
      </w:r>
      <w:r>
        <w:rPr>
          <w:spacing w:val="-19"/>
        </w:rPr>
        <w:t> </w:t>
      </w:r>
      <w:r>
        <w:rPr/>
        <w:t>гранулоцитів; еритроцитів і гемоглобіну; тромбоцитів.</w:t>
      </w:r>
    </w:p>
    <w:p>
      <w:pPr>
        <w:pStyle w:val="BodyText"/>
        <w:ind w:right="616" w:firstLine="710"/>
      </w:pPr>
      <w:r>
        <w:rPr/>
        <w:t>Мієлосупресія небезпечна ризиком розвитку різноманітних тяжких інфекційних захворювань, які і можуть стати основною причиною загибелі тварин.</w:t>
      </w:r>
    </w:p>
    <w:p>
      <w:pPr>
        <w:pStyle w:val="BodyText"/>
        <w:spacing w:before="3"/>
        <w:ind w:right="609" w:firstLine="710"/>
      </w:pPr>
      <w:r>
        <w:rPr>
          <w:i/>
          <w:u w:val="single"/>
        </w:rPr>
        <w:t>Нудота та блювання</w:t>
      </w:r>
      <w:r>
        <w:rPr>
          <w:i/>
        </w:rPr>
        <w:t> </w:t>
      </w:r>
      <w:r>
        <w:rPr/>
        <w:t>– виникають внаслідок подразнення центрів мозку, які</w:t>
      </w:r>
      <w:r>
        <w:rPr>
          <w:spacing w:val="-10"/>
        </w:rPr>
        <w:t> </w:t>
      </w:r>
      <w:r>
        <w:rPr/>
        <w:t>контролюють</w:t>
      </w:r>
      <w:r>
        <w:rPr>
          <w:spacing w:val="-10"/>
        </w:rPr>
        <w:t> </w:t>
      </w:r>
      <w:r>
        <w:rPr/>
        <w:t>нудоту</w:t>
      </w:r>
      <w:r>
        <w:rPr>
          <w:spacing w:val="-13"/>
        </w:rPr>
        <w:t> </w:t>
      </w:r>
      <w:r>
        <w:rPr/>
        <w:t>та</w:t>
      </w:r>
      <w:r>
        <w:rPr>
          <w:spacing w:val="-7"/>
        </w:rPr>
        <w:t> </w:t>
      </w:r>
      <w:r>
        <w:rPr/>
        <w:t>блювання,</w:t>
      </w:r>
      <w:r>
        <w:rPr>
          <w:spacing w:val="-6"/>
        </w:rPr>
        <w:t> </w:t>
      </w:r>
      <w:r>
        <w:rPr/>
        <w:t>а</w:t>
      </w:r>
      <w:r>
        <w:rPr>
          <w:spacing w:val="-8"/>
        </w:rPr>
        <w:t> </w:t>
      </w:r>
      <w:r>
        <w:rPr/>
        <w:t>також</w:t>
      </w:r>
      <w:r>
        <w:rPr>
          <w:spacing w:val="-8"/>
        </w:rPr>
        <w:t> </w:t>
      </w:r>
      <w:r>
        <w:rPr/>
        <w:t>подразнюючої</w:t>
      </w:r>
      <w:r>
        <w:rPr>
          <w:spacing w:val="-13"/>
        </w:rPr>
        <w:t> </w:t>
      </w:r>
      <w:r>
        <w:rPr/>
        <w:t>дії</w:t>
      </w:r>
      <w:r>
        <w:rPr>
          <w:spacing w:val="-14"/>
        </w:rPr>
        <w:t> </w:t>
      </w:r>
      <w:r>
        <w:rPr/>
        <w:t>ліків</w:t>
      </w:r>
      <w:r>
        <w:rPr>
          <w:spacing w:val="-11"/>
        </w:rPr>
        <w:t> </w:t>
      </w:r>
      <w:r>
        <w:rPr/>
        <w:t>на</w:t>
      </w:r>
      <w:r>
        <w:rPr>
          <w:spacing w:val="-8"/>
        </w:rPr>
        <w:t> </w:t>
      </w:r>
      <w:r>
        <w:rPr/>
        <w:t>слизову оболонку порожнини рота, горла, шлунку або кишечника. Саме нудота та блювання, призводять до порушення обміну електролітів в організмі, зневодненню,</w:t>
      </w:r>
      <w:r>
        <w:rPr>
          <w:spacing w:val="3"/>
        </w:rPr>
        <w:t> </w:t>
      </w:r>
      <w:r>
        <w:rPr/>
        <w:t>кахексії.</w:t>
      </w:r>
    </w:p>
    <w:p>
      <w:pPr>
        <w:pStyle w:val="BodyText"/>
        <w:ind w:right="608" w:firstLine="710"/>
      </w:pPr>
      <w:r>
        <w:rPr>
          <w:i/>
          <w:u w:val="single"/>
        </w:rPr>
        <w:t>Ускладнення з боку органів шлунково-кишкового тракту</w:t>
      </w:r>
      <w:r>
        <w:rPr>
          <w:i/>
        </w:rPr>
        <w:t> </w:t>
      </w:r>
      <w:r>
        <w:rPr/>
        <w:t>пов’язані з неспецифічною дією препаратів на клітини базального шару слизової оболонки ротової порожнини, стравоходу, шлунку та кишечника. У тварин розвивається стоматит, слизова та геморагічна діарея. Такі порушення призводять до порушення обміну електролітів в організмі, зневодненню, кровотечі, кахексії.</w:t>
      </w:r>
    </w:p>
    <w:p>
      <w:pPr>
        <w:pStyle w:val="BodyText"/>
        <w:ind w:right="610" w:firstLine="710"/>
      </w:pPr>
      <w:r>
        <w:rPr>
          <w:i/>
          <w:u w:val="single"/>
        </w:rPr>
        <w:t>Порушення з боку серцево-судинної системи</w:t>
      </w:r>
      <w:r>
        <w:rPr>
          <w:i/>
        </w:rPr>
        <w:t> </w:t>
      </w:r>
      <w:r>
        <w:rPr/>
        <w:t>– у тварин можуть розвиватися гострі порушення серцевого ритму (аритмії) та віддалені зміни при порушенні</w:t>
      </w:r>
      <w:r>
        <w:rPr>
          <w:spacing w:val="-9"/>
        </w:rPr>
        <w:t> </w:t>
      </w:r>
      <w:r>
        <w:rPr/>
        <w:t>обмінних</w:t>
      </w:r>
      <w:r>
        <w:rPr>
          <w:spacing w:val="-7"/>
        </w:rPr>
        <w:t> </w:t>
      </w:r>
      <w:r>
        <w:rPr/>
        <w:t>процесів</w:t>
      </w:r>
      <w:r>
        <w:rPr>
          <w:spacing w:val="-5"/>
        </w:rPr>
        <w:t> </w:t>
      </w:r>
      <w:r>
        <w:rPr/>
        <w:t>в</w:t>
      </w:r>
      <w:r>
        <w:rPr>
          <w:spacing w:val="-5"/>
        </w:rPr>
        <w:t> </w:t>
      </w:r>
      <w:r>
        <w:rPr/>
        <w:t>міокарді</w:t>
      </w:r>
      <w:r>
        <w:rPr>
          <w:spacing w:val="-3"/>
        </w:rPr>
        <w:t> </w:t>
      </w:r>
      <w:r>
        <w:rPr/>
        <w:t>у</w:t>
      </w:r>
      <w:r>
        <w:rPr>
          <w:spacing w:val="-8"/>
        </w:rPr>
        <w:t> </w:t>
      </w:r>
      <w:r>
        <w:rPr/>
        <w:t>вигляді</w:t>
      </w:r>
      <w:r>
        <w:rPr>
          <w:spacing w:val="-8"/>
        </w:rPr>
        <w:t> </w:t>
      </w:r>
      <w:r>
        <w:rPr/>
        <w:t>хронічної</w:t>
      </w:r>
      <w:r>
        <w:rPr>
          <w:spacing w:val="-8"/>
        </w:rPr>
        <w:t> </w:t>
      </w:r>
      <w:r>
        <w:rPr/>
        <w:t>міокардіодистрофії (аритмії - тахікардія,</w:t>
      </w:r>
      <w:r>
        <w:rPr>
          <w:spacing w:val="3"/>
        </w:rPr>
        <w:t> </w:t>
      </w:r>
      <w:r>
        <w:rPr/>
        <w:t>екстрасистолія).</w:t>
      </w:r>
    </w:p>
    <w:p>
      <w:pPr>
        <w:pStyle w:val="BodyText"/>
        <w:spacing w:before="1"/>
        <w:ind w:right="616" w:firstLine="710"/>
      </w:pPr>
      <w:r>
        <w:rPr>
          <w:i/>
          <w:u w:val="single"/>
        </w:rPr>
        <w:t>Гепатотоксичність</w:t>
      </w:r>
      <w:r>
        <w:rPr>
          <w:i/>
        </w:rPr>
        <w:t> </w:t>
      </w:r>
      <w:r>
        <w:rPr/>
        <w:t>– відмічаються ураження печінки за типом гострого гепатиту, печінковий фіброз різного ступеня. Прояв токсичності характеризується некрозом й ожирінням гепатоцитів, формуванням фіброзу портальних трактів, холестатичним ураженням.</w:t>
      </w:r>
    </w:p>
    <w:p>
      <w:pPr>
        <w:pStyle w:val="BodyText"/>
        <w:ind w:right="612" w:firstLine="710"/>
      </w:pPr>
      <w:r>
        <w:rPr>
          <w:i/>
          <w:u w:val="single"/>
        </w:rPr>
        <w:t>Нефротоксичність</w:t>
      </w:r>
      <w:r>
        <w:rPr>
          <w:i/>
        </w:rPr>
        <w:t> </w:t>
      </w:r>
      <w:r>
        <w:rPr/>
        <w:t>– відмічається зниження ниркового кровотоку й швидкості клубочкової фільтрації, некрозу канальцевої системи нирок, що поступово сприяє розвитку ниркової недостатності. Цистит та запальні процеси в сечовидільних шляхах розвиваються внаслідок негативного впливу</w:t>
      </w:r>
      <w:r>
        <w:rPr>
          <w:spacing w:val="-48"/>
        </w:rPr>
        <w:t> </w:t>
      </w:r>
      <w:r>
        <w:rPr/>
        <w:t>препаратів на епітелій цих</w:t>
      </w:r>
      <w:r>
        <w:rPr>
          <w:spacing w:val="1"/>
        </w:rPr>
        <w:t> </w:t>
      </w:r>
      <w:r>
        <w:rPr/>
        <w:t>органів.</w:t>
      </w:r>
    </w:p>
    <w:p>
      <w:pPr>
        <w:pStyle w:val="BodyText"/>
        <w:ind w:right="615" w:firstLine="710"/>
      </w:pPr>
      <w:r>
        <w:rPr>
          <w:b/>
        </w:rPr>
        <w:t>Висновки.</w:t>
      </w:r>
      <w:r>
        <w:rPr/>
        <w:t>1.</w:t>
      </w:r>
      <w:r>
        <w:rPr>
          <w:spacing w:val="-11"/>
        </w:rPr>
        <w:t> </w:t>
      </w:r>
      <w:r>
        <w:rPr/>
        <w:t>Паранеопластичні</w:t>
      </w:r>
      <w:r>
        <w:rPr>
          <w:spacing w:val="-18"/>
        </w:rPr>
        <w:t> </w:t>
      </w:r>
      <w:r>
        <w:rPr/>
        <w:t>синдроми</w:t>
      </w:r>
      <w:r>
        <w:rPr>
          <w:spacing w:val="-8"/>
        </w:rPr>
        <w:t> </w:t>
      </w:r>
      <w:r>
        <w:rPr/>
        <w:t>-</w:t>
      </w:r>
      <w:r>
        <w:rPr>
          <w:spacing w:val="-13"/>
        </w:rPr>
        <w:t> </w:t>
      </w:r>
      <w:r>
        <w:rPr/>
        <w:t>це</w:t>
      </w:r>
      <w:r>
        <w:rPr>
          <w:spacing w:val="-12"/>
        </w:rPr>
        <w:t> </w:t>
      </w:r>
      <w:r>
        <w:rPr/>
        <w:t>клінічні</w:t>
      </w:r>
      <w:r>
        <w:rPr>
          <w:spacing w:val="-17"/>
        </w:rPr>
        <w:t> </w:t>
      </w:r>
      <w:r>
        <w:rPr/>
        <w:t>прояви</w:t>
      </w:r>
      <w:r>
        <w:rPr>
          <w:spacing w:val="-13"/>
        </w:rPr>
        <w:t> </w:t>
      </w:r>
      <w:r>
        <w:rPr/>
        <w:t>порушеного пухлиною гомеостазу в організмі хворих на онкологію тварин. В більшості випадків вони виникають як результат виснаження компенсаторних механізмів організму.</w:t>
      </w:r>
    </w:p>
    <w:p>
      <w:pPr>
        <w:pStyle w:val="ListParagraph"/>
        <w:numPr>
          <w:ilvl w:val="0"/>
          <w:numId w:val="5"/>
        </w:numPr>
        <w:tabs>
          <w:tab w:pos="1235" w:val="left" w:leader="none"/>
        </w:tabs>
        <w:spacing w:line="240" w:lineRule="auto" w:before="1" w:after="0"/>
        <w:ind w:left="193" w:right="607" w:firstLine="710"/>
        <w:jc w:val="both"/>
        <w:rPr>
          <w:sz w:val="28"/>
        </w:rPr>
      </w:pPr>
      <w:r>
        <w:rPr>
          <w:sz w:val="28"/>
        </w:rPr>
        <w:t>Паранеопластичні синдроми, завжди, спостерігаються на відстані від первинного осередку (первинної пухлини) й розвиваються, як наслідок біохімічних, імунологічних і гормональних відхилень в організмі, що викликані пухлиною.</w:t>
      </w:r>
    </w:p>
    <w:p>
      <w:pPr>
        <w:pStyle w:val="ListParagraph"/>
        <w:numPr>
          <w:ilvl w:val="0"/>
          <w:numId w:val="5"/>
        </w:numPr>
        <w:tabs>
          <w:tab w:pos="1196" w:val="left" w:leader="none"/>
        </w:tabs>
        <w:spacing w:line="240" w:lineRule="auto" w:before="0" w:after="0"/>
        <w:ind w:left="193" w:right="623" w:firstLine="710"/>
        <w:jc w:val="both"/>
        <w:rPr>
          <w:sz w:val="28"/>
        </w:rPr>
      </w:pPr>
      <w:r>
        <w:rPr>
          <w:sz w:val="28"/>
        </w:rPr>
        <w:t>Обов’язковою умовою для виникнення паранеопластичних синдромів є наявність пухлин. В більшості випадків, синдроми виникають раніше ніж з’являються перші клінічні ознаки</w:t>
      </w:r>
      <w:r>
        <w:rPr>
          <w:spacing w:val="-6"/>
          <w:sz w:val="28"/>
        </w:rPr>
        <w:t> </w:t>
      </w:r>
      <w:r>
        <w:rPr>
          <w:sz w:val="28"/>
        </w:rPr>
        <w:t>пухлин.</w:t>
      </w:r>
    </w:p>
    <w:p>
      <w:pPr>
        <w:pStyle w:val="ListParagraph"/>
        <w:numPr>
          <w:ilvl w:val="0"/>
          <w:numId w:val="5"/>
        </w:numPr>
        <w:tabs>
          <w:tab w:pos="1288" w:val="left" w:leader="none"/>
        </w:tabs>
        <w:spacing w:line="240" w:lineRule="auto" w:before="0" w:after="0"/>
        <w:ind w:left="193" w:right="610" w:firstLine="710"/>
        <w:jc w:val="both"/>
        <w:rPr>
          <w:sz w:val="28"/>
        </w:rPr>
      </w:pPr>
      <w:r>
        <w:rPr>
          <w:sz w:val="28"/>
        </w:rPr>
        <w:t>Вивчення розвитку паранеопластичних синдромів є корисним для ветеринарної</w:t>
      </w:r>
      <w:r>
        <w:rPr>
          <w:spacing w:val="-15"/>
          <w:sz w:val="28"/>
        </w:rPr>
        <w:t> </w:t>
      </w:r>
      <w:r>
        <w:rPr>
          <w:sz w:val="28"/>
        </w:rPr>
        <w:t>медицини</w:t>
      </w:r>
      <w:r>
        <w:rPr>
          <w:spacing w:val="-7"/>
          <w:sz w:val="28"/>
        </w:rPr>
        <w:t> </w:t>
      </w:r>
      <w:r>
        <w:rPr>
          <w:sz w:val="28"/>
        </w:rPr>
        <w:t>так,</w:t>
      </w:r>
      <w:r>
        <w:rPr>
          <w:spacing w:val="-8"/>
          <w:sz w:val="28"/>
        </w:rPr>
        <w:t> </w:t>
      </w:r>
      <w:r>
        <w:rPr>
          <w:sz w:val="28"/>
        </w:rPr>
        <w:t>як</w:t>
      </w:r>
      <w:r>
        <w:rPr>
          <w:spacing w:val="-11"/>
          <w:sz w:val="28"/>
        </w:rPr>
        <w:t> </w:t>
      </w:r>
      <w:r>
        <w:rPr>
          <w:sz w:val="28"/>
        </w:rPr>
        <w:t>вони</w:t>
      </w:r>
      <w:r>
        <w:rPr>
          <w:spacing w:val="-10"/>
          <w:sz w:val="28"/>
        </w:rPr>
        <w:t> </w:t>
      </w:r>
      <w:r>
        <w:rPr>
          <w:sz w:val="28"/>
        </w:rPr>
        <w:t>можуть</w:t>
      </w:r>
      <w:r>
        <w:rPr>
          <w:spacing w:val="-12"/>
          <w:sz w:val="28"/>
        </w:rPr>
        <w:t> </w:t>
      </w:r>
      <w:r>
        <w:rPr>
          <w:sz w:val="28"/>
        </w:rPr>
        <w:t>бути</w:t>
      </w:r>
      <w:r>
        <w:rPr>
          <w:spacing w:val="-9"/>
          <w:sz w:val="28"/>
        </w:rPr>
        <w:t> </w:t>
      </w:r>
      <w:r>
        <w:rPr>
          <w:sz w:val="28"/>
        </w:rPr>
        <w:t>використані</w:t>
      </w:r>
      <w:r>
        <w:rPr>
          <w:spacing w:val="-15"/>
          <w:sz w:val="28"/>
        </w:rPr>
        <w:t> </w:t>
      </w:r>
      <w:r>
        <w:rPr>
          <w:sz w:val="28"/>
        </w:rPr>
        <w:t>як</w:t>
      </w:r>
      <w:r>
        <w:rPr>
          <w:spacing w:val="-11"/>
          <w:sz w:val="28"/>
        </w:rPr>
        <w:t> </w:t>
      </w:r>
      <w:r>
        <w:rPr>
          <w:sz w:val="28"/>
        </w:rPr>
        <w:t>маркери</w:t>
      </w:r>
      <w:r>
        <w:rPr>
          <w:spacing w:val="-10"/>
          <w:sz w:val="28"/>
        </w:rPr>
        <w:t> </w:t>
      </w:r>
      <w:r>
        <w:rPr>
          <w:sz w:val="28"/>
        </w:rPr>
        <w:t>ремісії пухлин. Багато з симптомів зникають, у випадку досягнення стійкої ремісії та знову з'являться у випадку закінчення цього</w:t>
      </w:r>
      <w:r>
        <w:rPr>
          <w:spacing w:val="-7"/>
          <w:sz w:val="28"/>
        </w:rPr>
        <w:t> </w:t>
      </w:r>
      <w:r>
        <w:rPr>
          <w:sz w:val="28"/>
        </w:rPr>
        <w:t>періоду.</w:t>
      </w:r>
    </w:p>
    <w:p>
      <w:pPr>
        <w:pStyle w:val="ListParagraph"/>
        <w:numPr>
          <w:ilvl w:val="0"/>
          <w:numId w:val="5"/>
        </w:numPr>
        <w:tabs>
          <w:tab w:pos="1192" w:val="left" w:leader="none"/>
        </w:tabs>
        <w:spacing w:line="321" w:lineRule="exact" w:before="0" w:after="0"/>
        <w:ind w:left="1191" w:right="0" w:hanging="289"/>
        <w:jc w:val="both"/>
        <w:rPr>
          <w:sz w:val="28"/>
        </w:rPr>
      </w:pPr>
      <w:r>
        <w:rPr>
          <w:spacing w:val="-3"/>
          <w:sz w:val="28"/>
        </w:rPr>
        <w:t>Не </w:t>
      </w:r>
      <w:r>
        <w:rPr>
          <w:sz w:val="28"/>
        </w:rPr>
        <w:t>дивлячись на те, що основна мета використання</w:t>
      </w:r>
      <w:r>
        <w:rPr>
          <w:spacing w:val="34"/>
          <w:sz w:val="28"/>
        </w:rPr>
        <w:t> </w:t>
      </w:r>
      <w:r>
        <w:rPr>
          <w:sz w:val="28"/>
        </w:rPr>
        <w:t>хіміотерапевтичних</w:t>
      </w:r>
    </w:p>
    <w:p>
      <w:pPr>
        <w:spacing w:after="0" w:line="321" w:lineRule="exact"/>
        <w:jc w:val="both"/>
        <w:rPr>
          <w:sz w:val="28"/>
        </w:rPr>
        <w:sectPr>
          <w:pgSz w:w="11910" w:h="16840"/>
          <w:pgMar w:header="713" w:footer="778" w:top="1140" w:bottom="960" w:left="940" w:right="520"/>
        </w:sectPr>
      </w:pPr>
    </w:p>
    <w:p>
      <w:pPr>
        <w:pStyle w:val="BodyText"/>
        <w:spacing w:before="92"/>
        <w:ind w:right="618"/>
      </w:pPr>
      <w:r>
        <w:rPr/>
        <w:t>препаратів це надання допомоги та максимально швидке знищення більшості пухлинних клітин, ветеринарні лікарі повинні звертати увагу на негативний вплив цих препаратів і на здорові клітини органів і тканин.</w:t>
      </w:r>
    </w:p>
    <w:p>
      <w:pPr>
        <w:pStyle w:val="BodyText"/>
        <w:spacing w:before="3"/>
        <w:ind w:left="0"/>
        <w:jc w:val="left"/>
      </w:pPr>
    </w:p>
    <w:p>
      <w:pPr>
        <w:pStyle w:val="Heading1"/>
        <w:spacing w:line="322" w:lineRule="exact" w:before="1"/>
        <w:ind w:left="894"/>
      </w:pPr>
      <w:r>
        <w:rPr/>
        <w:t>ЛІТЕРАТУРА</w:t>
      </w:r>
    </w:p>
    <w:p>
      <w:pPr>
        <w:pStyle w:val="ListParagraph"/>
        <w:numPr>
          <w:ilvl w:val="0"/>
          <w:numId w:val="6"/>
        </w:numPr>
        <w:tabs>
          <w:tab w:pos="1235" w:val="left" w:leader="none"/>
        </w:tabs>
        <w:spacing w:line="240" w:lineRule="auto" w:before="0" w:after="0"/>
        <w:ind w:left="193" w:right="610" w:firstLine="710"/>
        <w:jc w:val="both"/>
        <w:rPr>
          <w:sz w:val="28"/>
        </w:rPr>
      </w:pPr>
      <w:r>
        <w:rPr>
          <w:sz w:val="28"/>
        </w:rPr>
        <w:t>Давыдов М.И., Летягин В.П. Рак молочной железы. Атлас М.: </w:t>
      </w:r>
      <w:r>
        <w:rPr>
          <w:spacing w:val="2"/>
          <w:sz w:val="28"/>
        </w:rPr>
        <w:t>АБВ- </w:t>
      </w:r>
      <w:r>
        <w:rPr>
          <w:sz w:val="28"/>
        </w:rPr>
        <w:t>пресс, 2006. 136</w:t>
      </w:r>
      <w:r>
        <w:rPr>
          <w:spacing w:val="8"/>
          <w:sz w:val="28"/>
        </w:rPr>
        <w:t> </w:t>
      </w:r>
      <w:r>
        <w:rPr>
          <w:sz w:val="28"/>
        </w:rPr>
        <w:t>с.</w:t>
      </w:r>
    </w:p>
    <w:p>
      <w:pPr>
        <w:pStyle w:val="ListParagraph"/>
        <w:numPr>
          <w:ilvl w:val="0"/>
          <w:numId w:val="6"/>
        </w:numPr>
        <w:tabs>
          <w:tab w:pos="1403" w:val="left" w:leader="none"/>
        </w:tabs>
        <w:spacing w:line="240" w:lineRule="auto" w:before="0" w:after="0"/>
        <w:ind w:left="193" w:right="615" w:firstLine="710"/>
        <w:jc w:val="both"/>
        <w:rPr>
          <w:sz w:val="28"/>
        </w:rPr>
      </w:pPr>
      <w:r>
        <w:rPr>
          <w:sz w:val="28"/>
        </w:rPr>
        <w:t>Игнатенко Н.А. Диагностика, лечение и прогноз некоторых круглоклеточных новообразований кожи у собак. VetPharma. №3.</w:t>
      </w:r>
      <w:r>
        <w:rPr>
          <w:spacing w:val="-5"/>
          <w:sz w:val="28"/>
        </w:rPr>
        <w:t> </w:t>
      </w:r>
      <w:r>
        <w:rPr>
          <w:sz w:val="28"/>
        </w:rPr>
        <w:t>2016.</w:t>
      </w:r>
    </w:p>
    <w:p>
      <w:pPr>
        <w:pStyle w:val="ListParagraph"/>
        <w:numPr>
          <w:ilvl w:val="0"/>
          <w:numId w:val="6"/>
        </w:numPr>
        <w:tabs>
          <w:tab w:pos="1245" w:val="left" w:leader="none"/>
        </w:tabs>
        <w:spacing w:line="240" w:lineRule="auto" w:before="0" w:after="0"/>
        <w:ind w:left="193" w:right="607" w:firstLine="710"/>
        <w:jc w:val="both"/>
        <w:rPr>
          <w:sz w:val="28"/>
        </w:rPr>
      </w:pPr>
      <w:r>
        <w:rPr>
          <w:sz w:val="28"/>
        </w:rPr>
        <w:t>Игнатенко Н.А. Паранеопластические дерматологические синдромы– как распознать? VetPharma. 2017. Р.</w:t>
      </w:r>
      <w:r>
        <w:rPr>
          <w:spacing w:val="9"/>
          <w:sz w:val="28"/>
        </w:rPr>
        <w:t> </w:t>
      </w:r>
      <w:r>
        <w:rPr>
          <w:sz w:val="28"/>
        </w:rPr>
        <w:t>76-81</w:t>
      </w:r>
    </w:p>
    <w:p>
      <w:pPr>
        <w:pStyle w:val="ListParagraph"/>
        <w:numPr>
          <w:ilvl w:val="0"/>
          <w:numId w:val="6"/>
        </w:numPr>
        <w:tabs>
          <w:tab w:pos="1374" w:val="left" w:leader="none"/>
        </w:tabs>
        <w:spacing w:line="240" w:lineRule="auto" w:before="0" w:after="0"/>
        <w:ind w:left="193" w:right="622" w:firstLine="710"/>
        <w:jc w:val="both"/>
        <w:rPr>
          <w:sz w:val="28"/>
        </w:rPr>
      </w:pPr>
      <w:r>
        <w:rPr>
          <w:sz w:val="28"/>
        </w:rPr>
        <w:t>Лисихин А.А., Марьин Е.М., Пономаренко А.В. Диагностика злокачественных опухолей на основе показателей крови. Международный студенческий научный вестник. 2016. №</w:t>
      </w:r>
      <w:r>
        <w:rPr>
          <w:spacing w:val="16"/>
          <w:sz w:val="28"/>
        </w:rPr>
        <w:t> </w:t>
      </w:r>
      <w:r>
        <w:rPr>
          <w:sz w:val="28"/>
        </w:rPr>
        <w:t>4-3.</w:t>
      </w:r>
    </w:p>
    <w:p>
      <w:pPr>
        <w:pStyle w:val="ListParagraph"/>
        <w:numPr>
          <w:ilvl w:val="0"/>
          <w:numId w:val="6"/>
        </w:numPr>
        <w:tabs>
          <w:tab w:pos="1235" w:val="left" w:leader="none"/>
        </w:tabs>
        <w:spacing w:line="240" w:lineRule="auto" w:before="0" w:after="0"/>
        <w:ind w:left="193" w:right="618" w:firstLine="710"/>
        <w:jc w:val="both"/>
        <w:rPr>
          <w:sz w:val="28"/>
        </w:rPr>
      </w:pPr>
      <w:r>
        <w:rPr>
          <w:sz w:val="28"/>
        </w:rPr>
        <w:t>Митрохина Н.В. Клинико-морфологическая характеристика опухолей молочных залоз у мелких домашних животных VetPharma. №5. 2016.</w:t>
      </w:r>
      <w:r>
        <w:rPr>
          <w:spacing w:val="-12"/>
          <w:sz w:val="28"/>
        </w:rPr>
        <w:t> </w:t>
      </w:r>
      <w:r>
        <w:rPr>
          <w:sz w:val="28"/>
        </w:rPr>
        <w:t>С.50-53.</w:t>
      </w:r>
    </w:p>
    <w:p>
      <w:pPr>
        <w:pStyle w:val="ListParagraph"/>
        <w:numPr>
          <w:ilvl w:val="0"/>
          <w:numId w:val="6"/>
        </w:numPr>
        <w:tabs>
          <w:tab w:pos="1196" w:val="left" w:leader="none"/>
        </w:tabs>
        <w:spacing w:line="242" w:lineRule="auto" w:before="0" w:after="0"/>
        <w:ind w:left="193" w:right="613" w:firstLine="710"/>
        <w:jc w:val="both"/>
        <w:rPr>
          <w:sz w:val="28"/>
        </w:rPr>
      </w:pPr>
      <w:r>
        <w:rPr>
          <w:sz w:val="28"/>
        </w:rPr>
        <w:t>Пухлини тварин: етіологія, патогенез, дiагностика, комплексна терапія/ </w:t>
      </w:r>
      <w:r>
        <w:rPr>
          <w:spacing w:val="-3"/>
          <w:sz w:val="28"/>
        </w:rPr>
        <w:t>А. А. </w:t>
      </w:r>
      <w:r>
        <w:rPr>
          <w:sz w:val="28"/>
        </w:rPr>
        <w:t>Гамота, В. I. Завiрюха, Я. Г. Крупник, </w:t>
      </w:r>
      <w:r>
        <w:rPr>
          <w:spacing w:val="-3"/>
          <w:sz w:val="28"/>
        </w:rPr>
        <w:t>А. </w:t>
      </w:r>
      <w:r>
        <w:rPr>
          <w:sz w:val="28"/>
        </w:rPr>
        <w:t>Р. Мисак. Львiв: Галицька видавнича спiлка, 2007. 168</w:t>
      </w:r>
      <w:r>
        <w:rPr>
          <w:spacing w:val="9"/>
          <w:sz w:val="28"/>
        </w:rPr>
        <w:t> </w:t>
      </w:r>
      <w:r>
        <w:rPr>
          <w:sz w:val="28"/>
        </w:rPr>
        <w:t>с.</w:t>
      </w:r>
    </w:p>
    <w:p>
      <w:pPr>
        <w:pStyle w:val="ListParagraph"/>
        <w:numPr>
          <w:ilvl w:val="0"/>
          <w:numId w:val="6"/>
        </w:numPr>
        <w:tabs>
          <w:tab w:pos="1201" w:val="left" w:leader="none"/>
        </w:tabs>
        <w:spacing w:line="240" w:lineRule="auto" w:before="0" w:after="0"/>
        <w:ind w:left="193" w:right="616" w:firstLine="710"/>
        <w:jc w:val="both"/>
        <w:rPr>
          <w:sz w:val="28"/>
        </w:rPr>
      </w:pPr>
      <w:r>
        <w:rPr>
          <w:sz w:val="28"/>
        </w:rPr>
        <w:t>Пухлини дрiбних свiйських тварин: клініка, дiагностика, лiкування / За ред. В. Ф. Чехуна, </w:t>
      </w:r>
      <w:r>
        <w:rPr>
          <w:spacing w:val="-3"/>
          <w:sz w:val="28"/>
        </w:rPr>
        <w:t>А. Й. </w:t>
      </w:r>
      <w:r>
        <w:rPr>
          <w:sz w:val="28"/>
        </w:rPr>
        <w:t>Мазуркевича. Київ: Д1А, 2001. 164</w:t>
      </w:r>
      <w:r>
        <w:rPr>
          <w:spacing w:val="23"/>
          <w:sz w:val="28"/>
        </w:rPr>
        <w:t> </w:t>
      </w:r>
      <w:r>
        <w:rPr>
          <w:sz w:val="28"/>
        </w:rPr>
        <w:t>с.</w:t>
      </w:r>
    </w:p>
    <w:p>
      <w:pPr>
        <w:pStyle w:val="ListParagraph"/>
        <w:numPr>
          <w:ilvl w:val="0"/>
          <w:numId w:val="6"/>
        </w:numPr>
        <w:tabs>
          <w:tab w:pos="1192" w:val="left" w:leader="none"/>
        </w:tabs>
        <w:spacing w:line="240" w:lineRule="auto" w:before="0" w:after="0"/>
        <w:ind w:left="193" w:right="624" w:firstLine="710"/>
        <w:jc w:val="left"/>
        <w:rPr>
          <w:sz w:val="28"/>
        </w:rPr>
      </w:pPr>
      <w:r>
        <w:rPr>
          <w:sz w:val="28"/>
        </w:rPr>
        <w:t>Сидорова К.А., Татарникова Н.А. Лимфопролиферативные заболевания мелких домашних животных Ветеринарная патология. № 3. 2018. С.</w:t>
      </w:r>
      <w:r>
        <w:rPr>
          <w:spacing w:val="3"/>
          <w:sz w:val="28"/>
        </w:rPr>
        <w:t> </w:t>
      </w:r>
      <w:r>
        <w:rPr>
          <w:sz w:val="28"/>
        </w:rPr>
        <w:t>5-10</w:t>
      </w:r>
    </w:p>
    <w:p>
      <w:pPr>
        <w:pStyle w:val="ListParagraph"/>
        <w:numPr>
          <w:ilvl w:val="0"/>
          <w:numId w:val="6"/>
        </w:numPr>
        <w:tabs>
          <w:tab w:pos="1249" w:val="left" w:leader="none"/>
        </w:tabs>
        <w:spacing w:line="240" w:lineRule="auto" w:before="0" w:after="0"/>
        <w:ind w:left="193" w:right="623" w:firstLine="710"/>
        <w:jc w:val="left"/>
        <w:rPr>
          <w:sz w:val="28"/>
        </w:rPr>
      </w:pPr>
      <w:r>
        <w:rPr>
          <w:sz w:val="28"/>
        </w:rPr>
        <w:t>Хурані І.Ф., Ковальчук А.П. Паранеопластичний синдром як ранній прояв злоякісної пухлини. Шпитальна хірургія. 2009. № 1. С.</w:t>
      </w:r>
      <w:r>
        <w:rPr>
          <w:spacing w:val="13"/>
          <w:sz w:val="28"/>
        </w:rPr>
        <w:t> </w:t>
      </w:r>
      <w:r>
        <w:rPr>
          <w:sz w:val="28"/>
        </w:rPr>
        <w:t>80-83.</w:t>
      </w:r>
    </w:p>
    <w:p>
      <w:pPr>
        <w:pStyle w:val="ListParagraph"/>
        <w:numPr>
          <w:ilvl w:val="0"/>
          <w:numId w:val="6"/>
        </w:numPr>
        <w:tabs>
          <w:tab w:pos="1360" w:val="left" w:leader="none"/>
        </w:tabs>
        <w:spacing w:line="240" w:lineRule="auto" w:before="0" w:after="0"/>
        <w:ind w:left="193" w:right="619" w:firstLine="710"/>
        <w:jc w:val="left"/>
        <w:rPr>
          <w:sz w:val="28"/>
        </w:rPr>
      </w:pPr>
      <w:r>
        <w:rPr>
          <w:sz w:val="28"/>
        </w:rPr>
        <w:t>Якунина М.Н., Голубева В.А., Д.В. Гаранин Рак молочной железы у собак и кошек. </w:t>
      </w:r>
      <w:r>
        <w:rPr>
          <w:spacing w:val="2"/>
          <w:sz w:val="28"/>
        </w:rPr>
        <w:t>М.: </w:t>
      </w:r>
      <w:r>
        <w:rPr>
          <w:sz w:val="28"/>
        </w:rPr>
        <w:t>Зоомедлит: Колос-с, 2010. 80</w:t>
      </w:r>
      <w:r>
        <w:rPr>
          <w:spacing w:val="4"/>
          <w:sz w:val="28"/>
        </w:rPr>
        <w:t> </w:t>
      </w:r>
      <w:r>
        <w:rPr>
          <w:sz w:val="28"/>
        </w:rPr>
        <w:t>с.</w:t>
      </w:r>
    </w:p>
    <w:p>
      <w:pPr>
        <w:pStyle w:val="ListParagraph"/>
        <w:numPr>
          <w:ilvl w:val="0"/>
          <w:numId w:val="6"/>
        </w:numPr>
        <w:tabs>
          <w:tab w:pos="1408" w:val="left" w:leader="none"/>
        </w:tabs>
        <w:spacing w:line="321" w:lineRule="exact" w:before="0" w:after="0"/>
        <w:ind w:left="1407" w:right="0" w:hanging="505"/>
        <w:jc w:val="left"/>
        <w:rPr>
          <w:sz w:val="28"/>
        </w:rPr>
      </w:pPr>
      <w:r>
        <w:rPr>
          <w:sz w:val="28"/>
        </w:rPr>
        <w:t>Agarwala S.S. Paraneoplastic syndromes. Med Clin North </w:t>
      </w:r>
      <w:r>
        <w:rPr>
          <w:spacing w:val="-4"/>
          <w:sz w:val="28"/>
        </w:rPr>
        <w:t>Am.</w:t>
      </w:r>
      <w:r>
        <w:rPr>
          <w:spacing w:val="7"/>
          <w:sz w:val="28"/>
        </w:rPr>
        <w:t> </w:t>
      </w:r>
      <w:r>
        <w:rPr>
          <w:sz w:val="28"/>
        </w:rPr>
        <w:t>1996.</w:t>
      </w:r>
    </w:p>
    <w:p>
      <w:pPr>
        <w:pStyle w:val="BodyText"/>
        <w:spacing w:line="322" w:lineRule="exact"/>
        <w:jc w:val="left"/>
      </w:pPr>
      <w:r>
        <w:rPr/>
        <w:t>№80(1). Р.173-184.</w:t>
      </w:r>
    </w:p>
    <w:p>
      <w:pPr>
        <w:pStyle w:val="ListParagraph"/>
        <w:numPr>
          <w:ilvl w:val="0"/>
          <w:numId w:val="6"/>
        </w:numPr>
        <w:tabs>
          <w:tab w:pos="1475" w:val="left" w:leader="none"/>
        </w:tabs>
        <w:spacing w:line="240" w:lineRule="auto" w:before="0" w:after="0"/>
        <w:ind w:left="193" w:right="615" w:firstLine="710"/>
        <w:jc w:val="both"/>
        <w:rPr>
          <w:color w:val="212121"/>
          <w:sz w:val="28"/>
        </w:rPr>
      </w:pPr>
      <w:r>
        <w:rPr>
          <w:color w:val="212121"/>
          <w:sz w:val="28"/>
        </w:rPr>
        <w:t>Alabduljalil T, Behbehani R. Paraneoplastic syndromes in neuro- ophthalmology. Curr Opin Ophthalmol. 2007. №18(6).</w:t>
      </w:r>
      <w:r>
        <w:rPr>
          <w:color w:val="212121"/>
          <w:spacing w:val="11"/>
          <w:sz w:val="28"/>
        </w:rPr>
        <w:t> </w:t>
      </w:r>
      <w:r>
        <w:rPr>
          <w:color w:val="212121"/>
          <w:sz w:val="28"/>
        </w:rPr>
        <w:t>Р.463-469.</w:t>
      </w:r>
    </w:p>
    <w:p>
      <w:pPr>
        <w:pStyle w:val="ListParagraph"/>
        <w:numPr>
          <w:ilvl w:val="0"/>
          <w:numId w:val="6"/>
        </w:numPr>
        <w:tabs>
          <w:tab w:pos="1475" w:val="left" w:leader="none"/>
        </w:tabs>
        <w:spacing w:line="240" w:lineRule="auto" w:before="0" w:after="0"/>
        <w:ind w:left="193" w:right="621" w:firstLine="710"/>
        <w:jc w:val="both"/>
        <w:rPr>
          <w:color w:val="212121"/>
          <w:sz w:val="28"/>
        </w:rPr>
      </w:pPr>
      <w:r>
        <w:rPr>
          <w:color w:val="212121"/>
          <w:sz w:val="28"/>
        </w:rPr>
        <w:t>Back </w:t>
      </w:r>
      <w:r>
        <w:rPr>
          <w:color w:val="212121"/>
          <w:spacing w:val="-3"/>
          <w:sz w:val="28"/>
        </w:rPr>
        <w:t>A, </w:t>
      </w:r>
      <w:r>
        <w:rPr>
          <w:color w:val="212121"/>
          <w:sz w:val="28"/>
        </w:rPr>
        <w:t>Schleis S, Smrkovski O, Smith </w:t>
      </w:r>
      <w:r>
        <w:rPr>
          <w:color w:val="212121"/>
          <w:spacing w:val="-3"/>
          <w:sz w:val="28"/>
        </w:rPr>
        <w:t>A, Lee </w:t>
      </w:r>
      <w:r>
        <w:rPr>
          <w:color w:val="212121"/>
          <w:sz w:val="28"/>
        </w:rPr>
        <w:t>J, Phillips J. Mechlorethamine, vincristine, melphalan, and prednisone (MOMP) </w:t>
      </w:r>
      <w:r>
        <w:rPr>
          <w:color w:val="212121"/>
          <w:spacing w:val="-3"/>
          <w:sz w:val="28"/>
        </w:rPr>
        <w:t>for </w:t>
      </w:r>
      <w:r>
        <w:rPr>
          <w:color w:val="212121"/>
          <w:sz w:val="28"/>
        </w:rPr>
        <w:t>the treatment of relapsed lymphoma in dogs. Vet Comparative Oncol 5 AUG.</w:t>
      </w:r>
      <w:r>
        <w:rPr>
          <w:color w:val="212121"/>
          <w:spacing w:val="-6"/>
          <w:sz w:val="28"/>
        </w:rPr>
        <w:t> </w:t>
      </w:r>
      <w:r>
        <w:rPr>
          <w:color w:val="212121"/>
          <w:sz w:val="28"/>
        </w:rPr>
        <w:t>2013.</w:t>
      </w:r>
    </w:p>
    <w:p>
      <w:pPr>
        <w:pStyle w:val="ListParagraph"/>
        <w:numPr>
          <w:ilvl w:val="0"/>
          <w:numId w:val="6"/>
        </w:numPr>
        <w:tabs>
          <w:tab w:pos="1369" w:val="left" w:leader="none"/>
        </w:tabs>
        <w:spacing w:line="240" w:lineRule="auto" w:before="0" w:after="0"/>
        <w:ind w:left="193" w:right="616" w:firstLine="710"/>
        <w:jc w:val="both"/>
        <w:rPr>
          <w:color w:val="212121"/>
          <w:sz w:val="28"/>
        </w:rPr>
      </w:pPr>
      <w:r>
        <w:rPr>
          <w:color w:val="212121"/>
          <w:sz w:val="28"/>
        </w:rPr>
        <w:t>Chung L.W., Baseman </w:t>
      </w:r>
      <w:r>
        <w:rPr>
          <w:color w:val="212121"/>
          <w:spacing w:val="-3"/>
          <w:sz w:val="28"/>
        </w:rPr>
        <w:t>A, </w:t>
      </w:r>
      <w:r>
        <w:rPr>
          <w:color w:val="212121"/>
          <w:sz w:val="28"/>
        </w:rPr>
        <w:t>Assikis V, Zhau H.E. Molecular insights into prostate cancer progression: the missing link of tumor microenvironment.. J. Urol. 2005 Jan; 173(1).</w:t>
      </w:r>
      <w:r>
        <w:rPr>
          <w:color w:val="212121"/>
          <w:spacing w:val="7"/>
          <w:sz w:val="28"/>
        </w:rPr>
        <w:t> </w:t>
      </w:r>
      <w:r>
        <w:rPr>
          <w:color w:val="212121"/>
          <w:sz w:val="28"/>
        </w:rPr>
        <w:t>Р.10-20.</w:t>
      </w:r>
    </w:p>
    <w:p>
      <w:pPr>
        <w:pStyle w:val="ListParagraph"/>
        <w:numPr>
          <w:ilvl w:val="0"/>
          <w:numId w:val="6"/>
        </w:numPr>
        <w:tabs>
          <w:tab w:pos="1441" w:val="left" w:leader="none"/>
        </w:tabs>
        <w:spacing w:line="240" w:lineRule="auto" w:before="0" w:after="0"/>
        <w:ind w:left="193" w:right="614" w:firstLine="710"/>
        <w:jc w:val="both"/>
        <w:rPr>
          <w:sz w:val="28"/>
        </w:rPr>
      </w:pPr>
      <w:r>
        <w:rPr>
          <w:sz w:val="28"/>
        </w:rPr>
        <w:t>Merrick C, Smith AN, Schleis SE, Mallett C, Graff E, Weiss R. Hypercalcemia of malignancy associated </w:t>
      </w:r>
      <w:r>
        <w:rPr>
          <w:spacing w:val="2"/>
          <w:sz w:val="28"/>
        </w:rPr>
        <w:t>with </w:t>
      </w:r>
      <w:r>
        <w:rPr>
          <w:sz w:val="28"/>
        </w:rPr>
        <w:t>renal cell carcinoma in a dog. J </w:t>
      </w:r>
      <w:r>
        <w:rPr>
          <w:spacing w:val="2"/>
          <w:sz w:val="28"/>
        </w:rPr>
        <w:t>Am </w:t>
      </w:r>
      <w:r>
        <w:rPr>
          <w:sz w:val="28"/>
        </w:rPr>
        <w:t>Animal Hosp Assoc 2013. 49.</w:t>
      </w:r>
      <w:r>
        <w:rPr>
          <w:spacing w:val="10"/>
          <w:sz w:val="28"/>
        </w:rPr>
        <w:t> </w:t>
      </w:r>
      <w:r>
        <w:rPr>
          <w:sz w:val="28"/>
        </w:rPr>
        <w:t>385-388.</w:t>
      </w:r>
    </w:p>
    <w:p>
      <w:pPr>
        <w:pStyle w:val="ListParagraph"/>
        <w:numPr>
          <w:ilvl w:val="0"/>
          <w:numId w:val="6"/>
        </w:numPr>
        <w:tabs>
          <w:tab w:pos="1365" w:val="left" w:leader="none"/>
        </w:tabs>
        <w:spacing w:line="240" w:lineRule="auto" w:before="0" w:after="0"/>
        <w:ind w:left="193" w:right="610" w:firstLine="710"/>
        <w:jc w:val="both"/>
        <w:rPr>
          <w:sz w:val="28"/>
        </w:rPr>
      </w:pPr>
      <w:hyperlink r:id="rId24">
        <w:r>
          <w:rPr>
            <w:sz w:val="28"/>
            <w:u w:val="single"/>
          </w:rPr>
          <w:t>Hall T.C</w:t>
        </w:r>
      </w:hyperlink>
      <w:r>
        <w:rPr>
          <w:sz w:val="28"/>
        </w:rPr>
        <w:t>. Paraneoplastic syndromes: mechanisms. Semin Oncol. 1997.№ 24(3).</w:t>
      </w:r>
      <w:r>
        <w:rPr>
          <w:spacing w:val="3"/>
          <w:sz w:val="28"/>
        </w:rPr>
        <w:t> </w:t>
      </w:r>
      <w:r>
        <w:rPr>
          <w:sz w:val="28"/>
        </w:rPr>
        <w:t>Р.269-276.</w:t>
      </w:r>
    </w:p>
    <w:p>
      <w:pPr>
        <w:pStyle w:val="ListParagraph"/>
        <w:numPr>
          <w:ilvl w:val="0"/>
          <w:numId w:val="6"/>
        </w:numPr>
        <w:tabs>
          <w:tab w:pos="1340" w:val="left" w:leader="none"/>
        </w:tabs>
        <w:spacing w:line="321" w:lineRule="exact" w:before="0" w:after="0"/>
        <w:ind w:left="1339" w:right="0" w:hanging="437"/>
        <w:jc w:val="both"/>
        <w:rPr>
          <w:sz w:val="28"/>
        </w:rPr>
      </w:pPr>
      <w:r>
        <w:rPr>
          <w:sz w:val="28"/>
        </w:rPr>
        <w:t>Honnorat, J., Antoine, J. Paraneoplastic neurological syndromes.</w:t>
      </w:r>
      <w:r>
        <w:rPr>
          <w:spacing w:val="25"/>
          <w:sz w:val="28"/>
        </w:rPr>
        <w:t> </w:t>
      </w:r>
      <w:r>
        <w:rPr>
          <w:sz w:val="28"/>
        </w:rPr>
        <w:t>Orphanet</w:t>
      </w:r>
    </w:p>
    <w:p>
      <w:pPr>
        <w:pStyle w:val="BodyText"/>
      </w:pPr>
      <w:r>
        <w:rPr/>
        <w:t>J. Rare Dis 2, 22. 2007</w:t>
      </w:r>
    </w:p>
    <w:p>
      <w:pPr>
        <w:spacing w:after="0"/>
        <w:sectPr>
          <w:pgSz w:w="11910" w:h="16840"/>
          <w:pgMar w:header="713" w:footer="778" w:top="1140" w:bottom="960" w:left="940" w:right="520"/>
        </w:sectPr>
      </w:pPr>
    </w:p>
    <w:p>
      <w:pPr>
        <w:pStyle w:val="ListParagraph"/>
        <w:numPr>
          <w:ilvl w:val="0"/>
          <w:numId w:val="6"/>
        </w:numPr>
        <w:tabs>
          <w:tab w:pos="1312" w:val="left" w:leader="none"/>
        </w:tabs>
        <w:spacing w:line="240" w:lineRule="auto" w:before="92" w:after="0"/>
        <w:ind w:left="193" w:right="607" w:firstLine="710"/>
        <w:jc w:val="left"/>
        <w:rPr>
          <w:sz w:val="28"/>
        </w:rPr>
      </w:pPr>
      <w:r>
        <w:rPr>
          <w:sz w:val="28"/>
        </w:rPr>
        <w:t>Odell</w:t>
      </w:r>
      <w:r>
        <w:rPr>
          <w:spacing w:val="-24"/>
          <w:sz w:val="28"/>
        </w:rPr>
        <w:t> </w:t>
      </w:r>
      <w:r>
        <w:rPr>
          <w:sz w:val="28"/>
        </w:rPr>
        <w:t>W.D.</w:t>
      </w:r>
      <w:r>
        <w:rPr>
          <w:spacing w:val="-21"/>
          <w:sz w:val="28"/>
        </w:rPr>
        <w:t> </w:t>
      </w:r>
      <w:r>
        <w:rPr>
          <w:sz w:val="28"/>
        </w:rPr>
        <w:t>Paraendocrine</w:t>
      </w:r>
      <w:r>
        <w:rPr>
          <w:spacing w:val="-17"/>
          <w:sz w:val="28"/>
        </w:rPr>
        <w:t> </w:t>
      </w:r>
      <w:r>
        <w:rPr>
          <w:sz w:val="28"/>
        </w:rPr>
        <w:t>syndromes</w:t>
      </w:r>
      <w:r>
        <w:rPr>
          <w:spacing w:val="-17"/>
          <w:sz w:val="28"/>
        </w:rPr>
        <w:t> </w:t>
      </w:r>
      <w:r>
        <w:rPr>
          <w:sz w:val="28"/>
        </w:rPr>
        <w:t>of</w:t>
      </w:r>
      <w:r>
        <w:rPr>
          <w:spacing w:val="-19"/>
          <w:sz w:val="28"/>
        </w:rPr>
        <w:t> </w:t>
      </w:r>
      <w:r>
        <w:rPr>
          <w:sz w:val="28"/>
        </w:rPr>
        <w:t>cancer.</w:t>
      </w:r>
      <w:r>
        <w:rPr>
          <w:spacing w:val="-17"/>
          <w:sz w:val="28"/>
        </w:rPr>
        <w:t> </w:t>
      </w:r>
      <w:r>
        <w:rPr>
          <w:sz w:val="28"/>
        </w:rPr>
        <w:t>Adv</w:t>
      </w:r>
      <w:r>
        <w:rPr>
          <w:spacing w:val="-23"/>
          <w:sz w:val="28"/>
        </w:rPr>
        <w:t> </w:t>
      </w:r>
      <w:r>
        <w:rPr>
          <w:sz w:val="28"/>
        </w:rPr>
        <w:t>Intern</w:t>
      </w:r>
      <w:r>
        <w:rPr>
          <w:spacing w:val="-23"/>
          <w:sz w:val="28"/>
        </w:rPr>
        <w:t> </w:t>
      </w:r>
      <w:r>
        <w:rPr>
          <w:sz w:val="28"/>
        </w:rPr>
        <w:t>Med.</w:t>
      </w:r>
      <w:r>
        <w:rPr>
          <w:spacing w:val="-17"/>
          <w:sz w:val="28"/>
        </w:rPr>
        <w:t> </w:t>
      </w:r>
      <w:r>
        <w:rPr>
          <w:sz w:val="28"/>
        </w:rPr>
        <w:t>1989.</w:t>
      </w:r>
      <w:r>
        <w:rPr>
          <w:spacing w:val="-12"/>
          <w:sz w:val="28"/>
        </w:rPr>
        <w:t> </w:t>
      </w:r>
      <w:r>
        <w:rPr>
          <w:sz w:val="28"/>
        </w:rPr>
        <w:t>№34 Р.325-351.</w:t>
      </w:r>
    </w:p>
    <w:p>
      <w:pPr>
        <w:pStyle w:val="ListParagraph"/>
        <w:numPr>
          <w:ilvl w:val="0"/>
          <w:numId w:val="6"/>
        </w:numPr>
        <w:tabs>
          <w:tab w:pos="1417" w:val="left" w:leader="none"/>
        </w:tabs>
        <w:spacing w:line="240" w:lineRule="auto" w:before="0" w:after="0"/>
        <w:ind w:left="193" w:right="615" w:firstLine="710"/>
        <w:jc w:val="left"/>
        <w:rPr>
          <w:sz w:val="28"/>
        </w:rPr>
      </w:pPr>
      <w:r>
        <w:rPr>
          <w:sz w:val="28"/>
        </w:rPr>
        <w:t>Pelosof L.C., Gerber D.E. Paraneoplastic syndromes: an approach to diagnosis and treatment. Mayo Clin Proc. 2010 85(9).</w:t>
      </w:r>
      <w:r>
        <w:rPr>
          <w:spacing w:val="11"/>
          <w:sz w:val="28"/>
        </w:rPr>
        <w:t> </w:t>
      </w:r>
      <w:r>
        <w:rPr>
          <w:sz w:val="28"/>
        </w:rPr>
        <w:t>Р.838-854.</w:t>
      </w:r>
    </w:p>
    <w:p>
      <w:pPr>
        <w:pStyle w:val="ListParagraph"/>
        <w:numPr>
          <w:ilvl w:val="0"/>
          <w:numId w:val="6"/>
        </w:numPr>
        <w:tabs>
          <w:tab w:pos="1331" w:val="left" w:leader="none"/>
        </w:tabs>
        <w:spacing w:line="242" w:lineRule="auto" w:before="0" w:after="0"/>
        <w:ind w:left="193" w:right="618" w:firstLine="710"/>
        <w:jc w:val="left"/>
        <w:rPr>
          <w:sz w:val="28"/>
        </w:rPr>
      </w:pPr>
      <w:r>
        <w:rPr>
          <w:sz w:val="28"/>
        </w:rPr>
        <w:t>Pelosof L.C., Gerber D.E.Раraneoplastic Syndromes. </w:t>
      </w:r>
      <w:r>
        <w:rPr>
          <w:spacing w:val="-3"/>
          <w:sz w:val="28"/>
        </w:rPr>
        <w:t>The </w:t>
      </w:r>
      <w:r>
        <w:rPr>
          <w:sz w:val="28"/>
        </w:rPr>
        <w:t>American Cancer Society&amp;apos;s Oncology in Practice: Clinical Management.</w:t>
      </w:r>
      <w:r>
        <w:rPr>
          <w:spacing w:val="-7"/>
          <w:sz w:val="28"/>
        </w:rPr>
        <w:t> </w:t>
      </w:r>
      <w:r>
        <w:rPr>
          <w:sz w:val="28"/>
        </w:rPr>
        <w:t>2018</w:t>
      </w:r>
    </w:p>
    <w:p>
      <w:pPr>
        <w:pStyle w:val="ListParagraph"/>
        <w:numPr>
          <w:ilvl w:val="0"/>
          <w:numId w:val="6"/>
        </w:numPr>
        <w:tabs>
          <w:tab w:pos="1408" w:val="left" w:leader="none"/>
        </w:tabs>
        <w:spacing w:line="240" w:lineRule="auto" w:before="0" w:after="0"/>
        <w:ind w:left="193" w:right="614" w:firstLine="710"/>
        <w:jc w:val="left"/>
        <w:rPr>
          <w:sz w:val="28"/>
        </w:rPr>
      </w:pPr>
      <w:r>
        <w:rPr>
          <w:sz w:val="28"/>
        </w:rPr>
        <w:t>Smits B., Reid M.M. Feline paraneoplastic syndrome associated with thymoma. New Zealand Veterinary Journal . 2003. №51. Р.</w:t>
      </w:r>
      <w:r>
        <w:rPr>
          <w:spacing w:val="11"/>
          <w:sz w:val="28"/>
        </w:rPr>
        <w:t> </w:t>
      </w:r>
      <w:r>
        <w:rPr>
          <w:sz w:val="28"/>
        </w:rPr>
        <w:t>244–247.</w:t>
      </w:r>
    </w:p>
    <w:p>
      <w:pPr>
        <w:pStyle w:val="BodyText"/>
        <w:ind w:left="0"/>
        <w:jc w:val="left"/>
      </w:pPr>
    </w:p>
    <w:p>
      <w:pPr>
        <w:pStyle w:val="Heading1"/>
        <w:ind w:left="481" w:right="799" w:firstLine="787"/>
        <w:jc w:val="left"/>
      </w:pPr>
      <w:r>
        <w:rPr/>
        <w:t>ПАРАНЕОПЛАСТИЧЕСКИЕ СИНДРОМЫ И ОСЛОЖНЕНИЯ ПОСЛЕ ХИМИОТЕРАПИИ У МЕЛКИХ ДОМАШНИХ ЖИВОТНЫХ.</w:t>
      </w:r>
    </w:p>
    <w:p>
      <w:pPr>
        <w:pStyle w:val="BodyText"/>
        <w:spacing w:line="317" w:lineRule="exact"/>
        <w:ind w:left="2527"/>
      </w:pPr>
      <w:r>
        <w:rPr/>
        <w:t>Коренева Ж., Ушаков О., Химич М., Найдич О.</w:t>
      </w:r>
    </w:p>
    <w:p>
      <w:pPr>
        <w:spacing w:line="240" w:lineRule="auto" w:before="0"/>
        <w:ind w:left="193" w:right="613" w:firstLine="710"/>
        <w:jc w:val="both"/>
        <w:rPr>
          <w:i/>
          <w:sz w:val="28"/>
        </w:rPr>
      </w:pPr>
      <w:r>
        <w:rPr>
          <w:i/>
          <w:sz w:val="28"/>
        </w:rPr>
        <w:t>Паранеопластические синдромы - клинические симптомы, развитие </w:t>
      </w:r>
      <w:r>
        <w:rPr>
          <w:i/>
          <w:sz w:val="28"/>
        </w:rPr>
        <w:t>которых обусловлено неспецифическими реакциями со стороны органов и систем больного организма и развитием в организме опухоли. В патогенезе развития синдрома есть общие черты: появление только при наличии определенной злокачественной опухоли, неспецифичность клинического проявления; отсутствие связи с определенными местными изменениями в пораженных</w:t>
      </w:r>
      <w:r>
        <w:rPr>
          <w:i/>
          <w:spacing w:val="-13"/>
          <w:sz w:val="28"/>
        </w:rPr>
        <w:t> </w:t>
      </w:r>
      <w:r>
        <w:rPr>
          <w:i/>
          <w:sz w:val="28"/>
        </w:rPr>
        <w:t>органах</w:t>
      </w:r>
      <w:r>
        <w:rPr>
          <w:i/>
          <w:spacing w:val="-13"/>
          <w:sz w:val="28"/>
        </w:rPr>
        <w:t> </w:t>
      </w:r>
      <w:r>
        <w:rPr>
          <w:i/>
          <w:sz w:val="28"/>
        </w:rPr>
        <w:t>и</w:t>
      </w:r>
      <w:r>
        <w:rPr>
          <w:i/>
          <w:spacing w:val="-14"/>
          <w:sz w:val="28"/>
        </w:rPr>
        <w:t> </w:t>
      </w:r>
      <w:r>
        <w:rPr>
          <w:i/>
          <w:sz w:val="28"/>
        </w:rPr>
        <w:t>тканях;</w:t>
      </w:r>
      <w:r>
        <w:rPr>
          <w:i/>
          <w:spacing w:val="-15"/>
          <w:sz w:val="28"/>
        </w:rPr>
        <w:t> </w:t>
      </w:r>
      <w:r>
        <w:rPr>
          <w:i/>
          <w:sz w:val="28"/>
        </w:rPr>
        <w:t>исчезновение</w:t>
      </w:r>
      <w:r>
        <w:rPr>
          <w:i/>
          <w:spacing w:val="-13"/>
          <w:sz w:val="28"/>
        </w:rPr>
        <w:t> </w:t>
      </w:r>
      <w:r>
        <w:rPr>
          <w:i/>
          <w:sz w:val="28"/>
        </w:rPr>
        <w:t>после</w:t>
      </w:r>
      <w:r>
        <w:rPr>
          <w:i/>
          <w:spacing w:val="-13"/>
          <w:sz w:val="28"/>
        </w:rPr>
        <w:t> </w:t>
      </w:r>
      <w:r>
        <w:rPr>
          <w:i/>
          <w:sz w:val="28"/>
        </w:rPr>
        <w:t>удаления</w:t>
      </w:r>
      <w:r>
        <w:rPr>
          <w:i/>
          <w:spacing w:val="-14"/>
          <w:sz w:val="28"/>
        </w:rPr>
        <w:t> </w:t>
      </w:r>
      <w:r>
        <w:rPr>
          <w:i/>
          <w:sz w:val="28"/>
        </w:rPr>
        <w:t>опухоли</w:t>
      </w:r>
      <w:r>
        <w:rPr>
          <w:i/>
          <w:spacing w:val="-13"/>
          <w:sz w:val="28"/>
        </w:rPr>
        <w:t> </w:t>
      </w:r>
      <w:r>
        <w:rPr>
          <w:i/>
          <w:sz w:val="28"/>
        </w:rPr>
        <w:t>и</w:t>
      </w:r>
      <w:r>
        <w:rPr>
          <w:i/>
          <w:spacing w:val="-14"/>
          <w:sz w:val="28"/>
        </w:rPr>
        <w:t> </w:t>
      </w:r>
      <w:r>
        <w:rPr>
          <w:i/>
          <w:sz w:val="28"/>
        </w:rPr>
        <w:t>появление опять за рецидива. В зависимости от симптоматики в клинической ветеринарной практике выделят такие паранеопластические синдромы: эндокринные, мышечно-скелетные, сердечно-сосудистые, дерматологические, гематологические,</w:t>
      </w:r>
      <w:r>
        <w:rPr>
          <w:i/>
          <w:spacing w:val="-23"/>
          <w:sz w:val="28"/>
        </w:rPr>
        <w:t> </w:t>
      </w:r>
      <w:r>
        <w:rPr>
          <w:i/>
          <w:sz w:val="28"/>
        </w:rPr>
        <w:t>гастроэнтерологические,</w:t>
      </w:r>
      <w:r>
        <w:rPr>
          <w:i/>
          <w:spacing w:val="-22"/>
          <w:sz w:val="28"/>
        </w:rPr>
        <w:t> </w:t>
      </w:r>
      <w:r>
        <w:rPr>
          <w:i/>
          <w:sz w:val="28"/>
        </w:rPr>
        <w:t>нефрологические,</w:t>
      </w:r>
      <w:r>
        <w:rPr>
          <w:i/>
          <w:spacing w:val="-23"/>
          <w:sz w:val="28"/>
        </w:rPr>
        <w:t> </w:t>
      </w:r>
      <w:r>
        <w:rPr>
          <w:i/>
          <w:sz w:val="28"/>
        </w:rPr>
        <w:t>неврологические, атипичные</w:t>
      </w:r>
      <w:r>
        <w:rPr>
          <w:i/>
          <w:spacing w:val="-21"/>
          <w:sz w:val="28"/>
        </w:rPr>
        <w:t> </w:t>
      </w:r>
      <w:r>
        <w:rPr>
          <w:i/>
          <w:sz w:val="28"/>
        </w:rPr>
        <w:t>и</w:t>
      </w:r>
      <w:r>
        <w:rPr>
          <w:i/>
          <w:spacing w:val="-22"/>
          <w:sz w:val="28"/>
        </w:rPr>
        <w:t> </w:t>
      </w:r>
      <w:r>
        <w:rPr>
          <w:i/>
          <w:sz w:val="28"/>
        </w:rPr>
        <w:t>смешанными.В</w:t>
      </w:r>
      <w:r>
        <w:rPr>
          <w:i/>
          <w:spacing w:val="-20"/>
          <w:sz w:val="28"/>
        </w:rPr>
        <w:t> </w:t>
      </w:r>
      <w:r>
        <w:rPr>
          <w:i/>
          <w:sz w:val="28"/>
        </w:rPr>
        <w:t>последнее</w:t>
      </w:r>
      <w:r>
        <w:rPr>
          <w:i/>
          <w:spacing w:val="-21"/>
          <w:sz w:val="28"/>
        </w:rPr>
        <w:t> </w:t>
      </w:r>
      <w:r>
        <w:rPr>
          <w:i/>
          <w:sz w:val="28"/>
        </w:rPr>
        <w:t>время</w:t>
      </w:r>
      <w:r>
        <w:rPr>
          <w:i/>
          <w:spacing w:val="-21"/>
          <w:sz w:val="28"/>
        </w:rPr>
        <w:t> </w:t>
      </w:r>
      <w:r>
        <w:rPr>
          <w:i/>
          <w:sz w:val="28"/>
        </w:rPr>
        <w:t>диагностика</w:t>
      </w:r>
      <w:r>
        <w:rPr>
          <w:i/>
          <w:spacing w:val="-21"/>
          <w:sz w:val="28"/>
        </w:rPr>
        <w:t> </w:t>
      </w:r>
      <w:r>
        <w:rPr>
          <w:i/>
          <w:sz w:val="28"/>
        </w:rPr>
        <w:t>опухолей</w:t>
      </w:r>
      <w:r>
        <w:rPr>
          <w:i/>
          <w:spacing w:val="-22"/>
          <w:sz w:val="28"/>
        </w:rPr>
        <w:t> </w:t>
      </w:r>
      <w:r>
        <w:rPr>
          <w:i/>
          <w:sz w:val="28"/>
        </w:rPr>
        <w:t>у</w:t>
      </w:r>
      <w:r>
        <w:rPr>
          <w:i/>
          <w:spacing w:val="-21"/>
          <w:sz w:val="28"/>
        </w:rPr>
        <w:t> </w:t>
      </w:r>
      <w:r>
        <w:rPr>
          <w:i/>
          <w:sz w:val="28"/>
        </w:rPr>
        <w:t>животных значительно</w:t>
      </w:r>
      <w:r>
        <w:rPr>
          <w:i/>
          <w:spacing w:val="-11"/>
          <w:sz w:val="28"/>
        </w:rPr>
        <w:t> </w:t>
      </w:r>
      <w:r>
        <w:rPr>
          <w:i/>
          <w:sz w:val="28"/>
        </w:rPr>
        <w:t>расширилась</w:t>
      </w:r>
      <w:r>
        <w:rPr>
          <w:i/>
          <w:spacing w:val="-13"/>
          <w:sz w:val="28"/>
        </w:rPr>
        <w:t> </w:t>
      </w:r>
      <w:r>
        <w:rPr>
          <w:i/>
          <w:sz w:val="28"/>
        </w:rPr>
        <w:t>и</w:t>
      </w:r>
      <w:r>
        <w:rPr>
          <w:i/>
          <w:spacing w:val="-11"/>
          <w:sz w:val="28"/>
        </w:rPr>
        <w:t> </w:t>
      </w:r>
      <w:r>
        <w:rPr>
          <w:i/>
          <w:sz w:val="28"/>
        </w:rPr>
        <w:t>улучшилась,</w:t>
      </w:r>
      <w:r>
        <w:rPr>
          <w:i/>
          <w:spacing w:val="-9"/>
          <w:sz w:val="28"/>
        </w:rPr>
        <w:t> </w:t>
      </w:r>
      <w:r>
        <w:rPr>
          <w:i/>
          <w:sz w:val="28"/>
        </w:rPr>
        <w:t>что</w:t>
      </w:r>
      <w:r>
        <w:rPr>
          <w:i/>
          <w:spacing w:val="-11"/>
          <w:sz w:val="28"/>
        </w:rPr>
        <w:t> </w:t>
      </w:r>
      <w:r>
        <w:rPr>
          <w:i/>
          <w:sz w:val="28"/>
        </w:rPr>
        <w:t>дает</w:t>
      </w:r>
      <w:r>
        <w:rPr>
          <w:i/>
          <w:spacing w:val="-11"/>
          <w:sz w:val="28"/>
        </w:rPr>
        <w:t> </w:t>
      </w:r>
      <w:r>
        <w:rPr>
          <w:i/>
          <w:sz w:val="28"/>
        </w:rPr>
        <w:t>возможность</w:t>
      </w:r>
      <w:r>
        <w:rPr>
          <w:i/>
          <w:spacing w:val="-13"/>
          <w:sz w:val="28"/>
        </w:rPr>
        <w:t> </w:t>
      </w:r>
      <w:r>
        <w:rPr>
          <w:i/>
          <w:sz w:val="28"/>
        </w:rPr>
        <w:t>ветеринарным врачам диагностировать опухоли на ранних стадиях и помогать животным. При назначении химиопрепаратов, в первую очередь, страдают здоровые клетки, именно они повреждаются первыми, при применении всех противоопухолевых</w:t>
      </w:r>
      <w:r>
        <w:rPr>
          <w:i/>
          <w:spacing w:val="-22"/>
          <w:sz w:val="28"/>
        </w:rPr>
        <w:t> </w:t>
      </w:r>
      <w:r>
        <w:rPr>
          <w:i/>
          <w:sz w:val="28"/>
        </w:rPr>
        <w:t>препаратов.</w:t>
      </w:r>
      <w:r>
        <w:rPr>
          <w:i/>
          <w:spacing w:val="-21"/>
          <w:sz w:val="28"/>
        </w:rPr>
        <w:t> </w:t>
      </w:r>
      <w:r>
        <w:rPr>
          <w:i/>
          <w:sz w:val="28"/>
        </w:rPr>
        <w:t>Главным</w:t>
      </w:r>
      <w:r>
        <w:rPr>
          <w:i/>
          <w:spacing w:val="-23"/>
          <w:sz w:val="28"/>
        </w:rPr>
        <w:t> </w:t>
      </w:r>
      <w:r>
        <w:rPr>
          <w:i/>
          <w:sz w:val="28"/>
        </w:rPr>
        <w:t>недостатком</w:t>
      </w:r>
      <w:r>
        <w:rPr>
          <w:i/>
          <w:spacing w:val="-24"/>
          <w:sz w:val="28"/>
        </w:rPr>
        <w:t> </w:t>
      </w:r>
      <w:r>
        <w:rPr>
          <w:i/>
          <w:sz w:val="28"/>
        </w:rPr>
        <w:t>химиотерапевтических препаратов</w:t>
      </w:r>
      <w:r>
        <w:rPr>
          <w:i/>
          <w:spacing w:val="-17"/>
          <w:sz w:val="28"/>
        </w:rPr>
        <w:t> </w:t>
      </w:r>
      <w:r>
        <w:rPr>
          <w:i/>
          <w:sz w:val="28"/>
        </w:rPr>
        <w:t>является</w:t>
      </w:r>
      <w:r>
        <w:rPr>
          <w:i/>
          <w:spacing w:val="-17"/>
          <w:sz w:val="28"/>
        </w:rPr>
        <w:t> </w:t>
      </w:r>
      <w:r>
        <w:rPr>
          <w:i/>
          <w:sz w:val="28"/>
        </w:rPr>
        <w:t>отсутствие</w:t>
      </w:r>
      <w:r>
        <w:rPr>
          <w:i/>
          <w:spacing w:val="-17"/>
          <w:sz w:val="28"/>
        </w:rPr>
        <w:t> </w:t>
      </w:r>
      <w:r>
        <w:rPr>
          <w:i/>
          <w:sz w:val="28"/>
        </w:rPr>
        <w:t>строго</w:t>
      </w:r>
      <w:r>
        <w:rPr>
          <w:i/>
          <w:spacing w:val="-17"/>
          <w:sz w:val="28"/>
        </w:rPr>
        <w:t> </w:t>
      </w:r>
      <w:r>
        <w:rPr>
          <w:i/>
          <w:sz w:val="28"/>
        </w:rPr>
        <w:t>избирательного</w:t>
      </w:r>
      <w:r>
        <w:rPr>
          <w:i/>
          <w:spacing w:val="-17"/>
          <w:sz w:val="28"/>
        </w:rPr>
        <w:t> </w:t>
      </w:r>
      <w:r>
        <w:rPr>
          <w:i/>
          <w:sz w:val="28"/>
        </w:rPr>
        <w:t>действия</w:t>
      </w:r>
      <w:r>
        <w:rPr>
          <w:i/>
          <w:spacing w:val="-17"/>
          <w:sz w:val="28"/>
        </w:rPr>
        <w:t> </w:t>
      </w:r>
      <w:r>
        <w:rPr>
          <w:i/>
          <w:sz w:val="28"/>
        </w:rPr>
        <w:t>препарата, которая была бы направлена на обезвреживание только клеток опухоли. Поэтому все препараты имеют ряд побочных действий и является дополнительной нагрузкой для больного</w:t>
      </w:r>
      <w:r>
        <w:rPr>
          <w:i/>
          <w:spacing w:val="6"/>
          <w:sz w:val="28"/>
        </w:rPr>
        <w:t> </w:t>
      </w:r>
      <w:r>
        <w:rPr>
          <w:i/>
          <w:sz w:val="28"/>
        </w:rPr>
        <w:t>организма.</w:t>
      </w:r>
    </w:p>
    <w:p>
      <w:pPr>
        <w:spacing w:before="4"/>
        <w:ind w:left="193" w:right="621" w:firstLine="710"/>
        <w:jc w:val="both"/>
        <w:rPr>
          <w:i/>
          <w:sz w:val="28"/>
        </w:rPr>
      </w:pPr>
      <w:r>
        <w:rPr>
          <w:b/>
          <w:i/>
          <w:sz w:val="28"/>
        </w:rPr>
        <w:t>Ключевые слова</w:t>
      </w:r>
      <w:r>
        <w:rPr>
          <w:i/>
          <w:sz w:val="28"/>
        </w:rPr>
        <w:t>: опухоль, паранеопластические синдромы, </w:t>
      </w:r>
      <w:r>
        <w:rPr>
          <w:i/>
          <w:sz w:val="28"/>
        </w:rPr>
        <w:t>химиотерапия, осложнения, ветеринария.</w:t>
      </w:r>
    </w:p>
    <w:p>
      <w:pPr>
        <w:pStyle w:val="BodyText"/>
        <w:spacing w:before="3"/>
        <w:ind w:left="0"/>
        <w:jc w:val="left"/>
        <w:rPr>
          <w:i/>
        </w:rPr>
      </w:pPr>
    </w:p>
    <w:p>
      <w:pPr>
        <w:pStyle w:val="Heading1"/>
        <w:ind w:left="2330" w:right="737" w:hanging="1287"/>
        <w:jc w:val="left"/>
      </w:pPr>
      <w:r>
        <w:rPr/>
        <w:t>PARANEOPLASTIC SYNDROMES AND COMPLICATIONS AFTER CHEMOTHERAPY IN SMALL ANIMALS.</w:t>
      </w:r>
    </w:p>
    <w:p>
      <w:pPr>
        <w:pStyle w:val="BodyText"/>
        <w:spacing w:line="317" w:lineRule="exact"/>
        <w:ind w:left="2253"/>
      </w:pPr>
      <w:r>
        <w:rPr/>
        <w:t>Koreneva Zh., Ushakov O., Khimych M., Naidich O.V.</w:t>
      </w:r>
    </w:p>
    <w:p>
      <w:pPr>
        <w:spacing w:before="0"/>
        <w:ind w:left="193" w:right="607" w:firstLine="710"/>
        <w:jc w:val="both"/>
        <w:rPr>
          <w:i/>
          <w:sz w:val="28"/>
        </w:rPr>
      </w:pPr>
      <w:r>
        <w:rPr>
          <w:i/>
          <w:sz w:val="28"/>
        </w:rPr>
        <w:t>Paraneoplastic syndromes are clinical symptoms, the development of which is </w:t>
      </w:r>
      <w:r>
        <w:rPr>
          <w:i/>
          <w:sz w:val="28"/>
        </w:rPr>
        <w:t>caused by nonspecific reactions from the organs and systems of the sick body and the development of the tumor in the body. There are common features in the pathogenesis of the development of the syndrome: appearance only in the presence of a certain malignant tumor, nonspecific clinical manifestation; lack of communication</w:t>
      </w:r>
      <w:r>
        <w:rPr>
          <w:i/>
          <w:spacing w:val="58"/>
          <w:sz w:val="28"/>
        </w:rPr>
        <w:t> </w:t>
      </w:r>
      <w:r>
        <w:rPr>
          <w:i/>
          <w:sz w:val="28"/>
        </w:rPr>
        <w:t>with</w:t>
      </w:r>
    </w:p>
    <w:p>
      <w:pPr>
        <w:spacing w:after="0"/>
        <w:jc w:val="both"/>
        <w:rPr>
          <w:sz w:val="28"/>
        </w:rPr>
        <w:sectPr>
          <w:pgSz w:w="11910" w:h="16840"/>
          <w:pgMar w:header="713" w:footer="778" w:top="1140" w:bottom="960" w:left="940" w:right="520"/>
        </w:sectPr>
      </w:pPr>
    </w:p>
    <w:p>
      <w:pPr>
        <w:spacing w:line="240" w:lineRule="auto" w:before="92"/>
        <w:ind w:left="193" w:right="613" w:firstLine="0"/>
        <w:jc w:val="both"/>
        <w:rPr>
          <w:i/>
          <w:sz w:val="28"/>
        </w:rPr>
      </w:pPr>
      <w:r>
        <w:rPr>
          <w:i/>
          <w:sz w:val="28"/>
        </w:rPr>
        <w:t>certain local changes in the affected organs and tissues; disappearance after removal </w:t>
      </w:r>
      <w:r>
        <w:rPr>
          <w:i/>
          <w:sz w:val="28"/>
        </w:rPr>
        <w:t>of the tumor and the appearance again for relapse. Depending on the symptoms in clinical veterinary practice, paraneoplastic syndromes can be distinguished: endocrine, musculoskeletal, cardiovascular, dermatological, hematological, gastroenterological, nephrological, neurological, atypical and mixed.Recently, the diagnosis</w:t>
      </w:r>
      <w:r>
        <w:rPr>
          <w:i/>
          <w:spacing w:val="-8"/>
          <w:sz w:val="28"/>
        </w:rPr>
        <w:t> </w:t>
      </w:r>
      <w:r>
        <w:rPr>
          <w:i/>
          <w:sz w:val="28"/>
        </w:rPr>
        <w:t>of</w:t>
      </w:r>
      <w:r>
        <w:rPr>
          <w:i/>
          <w:spacing w:val="-10"/>
          <w:sz w:val="28"/>
        </w:rPr>
        <w:t> </w:t>
      </w:r>
      <w:r>
        <w:rPr>
          <w:i/>
          <w:sz w:val="28"/>
        </w:rPr>
        <w:t>tumors</w:t>
      </w:r>
      <w:r>
        <w:rPr>
          <w:i/>
          <w:spacing w:val="-7"/>
          <w:sz w:val="28"/>
        </w:rPr>
        <w:t> </w:t>
      </w:r>
      <w:r>
        <w:rPr>
          <w:i/>
          <w:sz w:val="28"/>
        </w:rPr>
        <w:t>in</w:t>
      </w:r>
      <w:r>
        <w:rPr>
          <w:i/>
          <w:spacing w:val="-9"/>
          <w:sz w:val="28"/>
        </w:rPr>
        <w:t> </w:t>
      </w:r>
      <w:r>
        <w:rPr>
          <w:i/>
          <w:sz w:val="28"/>
        </w:rPr>
        <w:t>animals</w:t>
      </w:r>
      <w:r>
        <w:rPr>
          <w:i/>
          <w:spacing w:val="-8"/>
          <w:sz w:val="28"/>
        </w:rPr>
        <w:t> </w:t>
      </w:r>
      <w:r>
        <w:rPr>
          <w:i/>
          <w:sz w:val="28"/>
        </w:rPr>
        <w:t>has</w:t>
      </w:r>
      <w:r>
        <w:rPr>
          <w:i/>
          <w:spacing w:val="-11"/>
          <w:sz w:val="28"/>
        </w:rPr>
        <w:t> </w:t>
      </w:r>
      <w:r>
        <w:rPr>
          <w:i/>
          <w:sz w:val="28"/>
        </w:rPr>
        <w:t>expanded</w:t>
      </w:r>
      <w:r>
        <w:rPr>
          <w:i/>
          <w:spacing w:val="-9"/>
          <w:sz w:val="28"/>
        </w:rPr>
        <w:t> </w:t>
      </w:r>
      <w:r>
        <w:rPr>
          <w:i/>
          <w:sz w:val="28"/>
        </w:rPr>
        <w:t>significantly</w:t>
      </w:r>
      <w:r>
        <w:rPr>
          <w:i/>
          <w:spacing w:val="-9"/>
          <w:sz w:val="28"/>
        </w:rPr>
        <w:t> </w:t>
      </w:r>
      <w:r>
        <w:rPr>
          <w:i/>
          <w:sz w:val="28"/>
        </w:rPr>
        <w:t>and</w:t>
      </w:r>
      <w:r>
        <w:rPr>
          <w:i/>
          <w:spacing w:val="-9"/>
          <w:sz w:val="28"/>
        </w:rPr>
        <w:t> </w:t>
      </w:r>
      <w:r>
        <w:rPr>
          <w:i/>
          <w:sz w:val="28"/>
        </w:rPr>
        <w:t>improved,</w:t>
      </w:r>
      <w:r>
        <w:rPr>
          <w:i/>
          <w:spacing w:val="-6"/>
          <w:sz w:val="28"/>
        </w:rPr>
        <w:t> </w:t>
      </w:r>
      <w:r>
        <w:rPr>
          <w:i/>
          <w:sz w:val="28"/>
        </w:rPr>
        <w:t>which</w:t>
      </w:r>
      <w:r>
        <w:rPr>
          <w:i/>
          <w:spacing w:val="-9"/>
          <w:sz w:val="28"/>
        </w:rPr>
        <w:t> </w:t>
      </w:r>
      <w:r>
        <w:rPr>
          <w:i/>
          <w:sz w:val="28"/>
        </w:rPr>
        <w:t>makes it possible for veterinarians to diagnose tumors in the early stages and help animals. When prescribing chemotherapy drugs, healthy cells suffer in the first place, they are the ones that are damaged first, </w:t>
      </w:r>
      <w:r>
        <w:rPr>
          <w:i/>
          <w:spacing w:val="-3"/>
          <w:sz w:val="28"/>
        </w:rPr>
        <w:t>when </w:t>
      </w:r>
      <w:r>
        <w:rPr>
          <w:i/>
          <w:sz w:val="28"/>
        </w:rPr>
        <w:t>using all antitumor drugs. The main disadvantage of chemotherapeutic drugs is the lack of strictly selective action of the drug,</w:t>
      </w:r>
      <w:r>
        <w:rPr>
          <w:i/>
          <w:spacing w:val="-11"/>
          <w:sz w:val="28"/>
        </w:rPr>
        <w:t> </w:t>
      </w:r>
      <w:r>
        <w:rPr>
          <w:i/>
          <w:sz w:val="28"/>
        </w:rPr>
        <w:t>which</w:t>
      </w:r>
      <w:r>
        <w:rPr>
          <w:i/>
          <w:spacing w:val="-7"/>
          <w:sz w:val="28"/>
        </w:rPr>
        <w:t> </w:t>
      </w:r>
      <w:r>
        <w:rPr>
          <w:i/>
          <w:sz w:val="28"/>
        </w:rPr>
        <w:t>would</w:t>
      </w:r>
      <w:r>
        <w:rPr>
          <w:i/>
          <w:spacing w:val="-13"/>
          <w:sz w:val="28"/>
        </w:rPr>
        <w:t> </w:t>
      </w:r>
      <w:r>
        <w:rPr>
          <w:i/>
          <w:sz w:val="28"/>
        </w:rPr>
        <w:t>be</w:t>
      </w:r>
      <w:r>
        <w:rPr>
          <w:i/>
          <w:spacing w:val="-11"/>
          <w:sz w:val="28"/>
        </w:rPr>
        <w:t> </w:t>
      </w:r>
      <w:r>
        <w:rPr>
          <w:i/>
          <w:sz w:val="28"/>
        </w:rPr>
        <w:t>aimed</w:t>
      </w:r>
      <w:r>
        <w:rPr>
          <w:i/>
          <w:spacing w:val="-12"/>
          <w:sz w:val="28"/>
        </w:rPr>
        <w:t> </w:t>
      </w:r>
      <w:r>
        <w:rPr>
          <w:i/>
          <w:sz w:val="28"/>
        </w:rPr>
        <w:t>at</w:t>
      </w:r>
      <w:r>
        <w:rPr>
          <w:i/>
          <w:spacing w:val="-12"/>
          <w:sz w:val="28"/>
        </w:rPr>
        <w:t> </w:t>
      </w:r>
      <w:r>
        <w:rPr>
          <w:i/>
          <w:sz w:val="28"/>
        </w:rPr>
        <w:t>neutralizing</w:t>
      </w:r>
      <w:r>
        <w:rPr>
          <w:i/>
          <w:spacing w:val="-9"/>
          <w:sz w:val="28"/>
        </w:rPr>
        <w:t> </w:t>
      </w:r>
      <w:r>
        <w:rPr>
          <w:i/>
          <w:sz w:val="28"/>
        </w:rPr>
        <w:t>only</w:t>
      </w:r>
      <w:r>
        <w:rPr>
          <w:i/>
          <w:spacing w:val="-11"/>
          <w:sz w:val="28"/>
        </w:rPr>
        <w:t> </w:t>
      </w:r>
      <w:r>
        <w:rPr>
          <w:i/>
          <w:sz w:val="28"/>
        </w:rPr>
        <w:t>tumor</w:t>
      </w:r>
      <w:r>
        <w:rPr>
          <w:i/>
          <w:spacing w:val="-11"/>
          <w:sz w:val="28"/>
        </w:rPr>
        <w:t> </w:t>
      </w:r>
      <w:r>
        <w:rPr>
          <w:i/>
          <w:sz w:val="28"/>
        </w:rPr>
        <w:t>cells.</w:t>
      </w:r>
      <w:r>
        <w:rPr>
          <w:i/>
          <w:spacing w:val="-10"/>
          <w:sz w:val="28"/>
        </w:rPr>
        <w:t> </w:t>
      </w:r>
      <w:r>
        <w:rPr>
          <w:i/>
          <w:sz w:val="28"/>
        </w:rPr>
        <w:t>Therefore,</w:t>
      </w:r>
      <w:r>
        <w:rPr>
          <w:i/>
          <w:spacing w:val="-10"/>
          <w:sz w:val="28"/>
        </w:rPr>
        <w:t> </w:t>
      </w:r>
      <w:r>
        <w:rPr>
          <w:i/>
          <w:sz w:val="28"/>
        </w:rPr>
        <w:t>all</w:t>
      </w:r>
      <w:r>
        <w:rPr>
          <w:i/>
          <w:spacing w:val="-12"/>
          <w:sz w:val="28"/>
        </w:rPr>
        <w:t> </w:t>
      </w:r>
      <w:r>
        <w:rPr>
          <w:i/>
          <w:sz w:val="28"/>
        </w:rPr>
        <w:t>drugs</w:t>
      </w:r>
      <w:r>
        <w:rPr>
          <w:i/>
          <w:spacing w:val="-11"/>
          <w:sz w:val="28"/>
        </w:rPr>
        <w:t> </w:t>
      </w:r>
      <w:r>
        <w:rPr>
          <w:i/>
          <w:sz w:val="28"/>
        </w:rPr>
        <w:t>have a number of side effects and is an additional burden for the sick body.</w:t>
      </w:r>
    </w:p>
    <w:p>
      <w:pPr>
        <w:spacing w:before="1"/>
        <w:ind w:left="193" w:right="612" w:firstLine="710"/>
        <w:jc w:val="both"/>
        <w:rPr>
          <w:i/>
          <w:sz w:val="28"/>
        </w:rPr>
      </w:pPr>
      <w:r>
        <w:rPr>
          <w:b/>
          <w:i/>
          <w:sz w:val="28"/>
        </w:rPr>
        <w:t>Key words: </w:t>
      </w:r>
      <w:r>
        <w:rPr>
          <w:i/>
          <w:sz w:val="28"/>
        </w:rPr>
        <w:t>tumor, paraneoplastic syndromes, chemotherapy, complications, </w:t>
      </w:r>
      <w:r>
        <w:rPr>
          <w:i/>
          <w:sz w:val="28"/>
        </w:rPr>
        <w:t>veterinary medicine.</w:t>
      </w:r>
    </w:p>
    <w:p>
      <w:pPr>
        <w:spacing w:after="0"/>
        <w:jc w:val="both"/>
        <w:rPr>
          <w:sz w:val="28"/>
        </w:rPr>
        <w:sectPr>
          <w:pgSz w:w="11910" w:h="16840"/>
          <w:pgMar w:header="713" w:footer="778" w:top="1140" w:bottom="960" w:left="940" w:right="520"/>
        </w:sectPr>
      </w:pPr>
    </w:p>
    <w:p>
      <w:pPr>
        <w:pStyle w:val="Heading1"/>
        <w:tabs>
          <w:tab w:pos="5931" w:val="left" w:leader="none"/>
        </w:tabs>
        <w:spacing w:before="96"/>
        <w:ind w:right="0"/>
        <w:jc w:val="left"/>
      </w:pPr>
      <w:r>
        <w:rPr/>
        <w:t>УДК 636.4,</w:t>
      </w:r>
      <w:r>
        <w:rPr>
          <w:spacing w:val="2"/>
        </w:rPr>
        <w:t> </w:t>
      </w:r>
      <w:r>
        <w:rPr/>
        <w:t>612.014</w:t>
        <w:tab/>
        <w:t>DOI:</w:t>
      </w:r>
      <w:r>
        <w:rPr>
          <w:spacing w:val="-1"/>
        </w:rPr>
        <w:t> </w:t>
      </w:r>
      <w:r>
        <w:rPr/>
        <w:t>10.37000/abbsl.2020.96.03</w:t>
      </w:r>
    </w:p>
    <w:p>
      <w:pPr>
        <w:pStyle w:val="BodyText"/>
        <w:spacing w:before="11"/>
        <w:ind w:left="0"/>
        <w:jc w:val="left"/>
        <w:rPr>
          <w:b/>
          <w:sz w:val="27"/>
        </w:rPr>
      </w:pPr>
    </w:p>
    <w:p>
      <w:pPr>
        <w:spacing w:before="0"/>
        <w:ind w:left="567" w:right="799" w:firstLine="595"/>
        <w:jc w:val="left"/>
        <w:rPr>
          <w:b/>
          <w:sz w:val="28"/>
        </w:rPr>
      </w:pPr>
      <w:r>
        <w:rPr>
          <w:b/>
          <w:sz w:val="28"/>
        </w:rPr>
        <w:t>ФОРМУВАННЯ ПРООКСИДАНТНО-АНТИОКСИДАНТНОГО ГОМЕОСТАЗУ В СВИНОК У ПЕРІОД СТАНОВЛЕННЯ СТАТЕВОЇ</w:t>
      </w:r>
    </w:p>
    <w:p>
      <w:pPr>
        <w:spacing w:before="0"/>
        <w:ind w:left="1619" w:right="0" w:firstLine="0"/>
        <w:jc w:val="left"/>
        <w:rPr>
          <w:b/>
          <w:sz w:val="28"/>
        </w:rPr>
      </w:pPr>
      <w:r>
        <w:rPr>
          <w:b/>
          <w:sz w:val="28"/>
        </w:rPr>
        <w:t>ФУНКЦІЇ ЗА КОРЕКЦІЇ ВІМІННОГО ЖИВЛЕННЯ</w:t>
      </w:r>
    </w:p>
    <w:p>
      <w:pPr>
        <w:spacing w:line="319" w:lineRule="exact" w:before="4"/>
        <w:ind w:left="882" w:right="603" w:firstLine="0"/>
        <w:jc w:val="center"/>
        <w:rPr>
          <w:b/>
          <w:sz w:val="28"/>
        </w:rPr>
      </w:pPr>
      <w:r>
        <w:rPr>
          <w:b/>
          <w:sz w:val="28"/>
        </w:rPr>
        <w:t>С. Усенко, A. Шостя, О. Мироненко, Б. Шаферівський,</w:t>
      </w:r>
    </w:p>
    <w:p>
      <w:pPr>
        <w:spacing w:line="319" w:lineRule="exact" w:before="0"/>
        <w:ind w:left="888" w:right="603" w:firstLine="0"/>
        <w:jc w:val="center"/>
        <w:rPr>
          <w:i/>
          <w:sz w:val="28"/>
        </w:rPr>
      </w:pPr>
      <w:r>
        <w:rPr>
          <w:i/>
          <w:sz w:val="28"/>
        </w:rPr>
        <w:t>Полтавська державна аграрна академія</w:t>
      </w:r>
    </w:p>
    <w:p>
      <w:pPr>
        <w:pStyle w:val="Heading1"/>
        <w:spacing w:line="319" w:lineRule="exact" w:before="5"/>
        <w:ind w:left="891"/>
      </w:pPr>
      <w:r>
        <w:rPr/>
        <w:t>Г. Бірта, Л. Флока</w:t>
      </w:r>
    </w:p>
    <w:p>
      <w:pPr>
        <w:spacing w:line="319" w:lineRule="exact" w:before="0"/>
        <w:ind w:left="739" w:right="603" w:firstLine="0"/>
        <w:jc w:val="center"/>
        <w:rPr>
          <w:i/>
          <w:sz w:val="28"/>
        </w:rPr>
      </w:pPr>
      <w:r>
        <w:rPr>
          <w:i/>
          <w:sz w:val="28"/>
        </w:rPr>
        <w:t>Полтавський університет економіки і торгівлі</w:t>
      </w:r>
    </w:p>
    <w:p>
      <w:pPr>
        <w:pStyle w:val="BodyText"/>
        <w:spacing w:before="9"/>
        <w:ind w:left="0"/>
        <w:jc w:val="left"/>
        <w:rPr>
          <w:i/>
          <w:sz w:val="23"/>
        </w:rPr>
      </w:pPr>
    </w:p>
    <w:p>
      <w:pPr>
        <w:spacing w:line="240" w:lineRule="auto" w:before="0"/>
        <w:ind w:left="193" w:right="612" w:firstLine="710"/>
        <w:jc w:val="both"/>
        <w:rPr>
          <w:i/>
          <w:sz w:val="28"/>
        </w:rPr>
      </w:pPr>
      <w:r>
        <w:rPr>
          <w:i/>
          <w:sz w:val="28"/>
        </w:rPr>
        <w:t>Виявлено,</w:t>
      </w:r>
      <w:r>
        <w:rPr>
          <w:i/>
          <w:spacing w:val="-14"/>
          <w:sz w:val="28"/>
        </w:rPr>
        <w:t> </w:t>
      </w:r>
      <w:r>
        <w:rPr>
          <w:i/>
          <w:sz w:val="28"/>
        </w:rPr>
        <w:t>що</w:t>
      </w:r>
      <w:r>
        <w:rPr>
          <w:i/>
          <w:spacing w:val="-15"/>
          <w:sz w:val="28"/>
        </w:rPr>
        <w:t> </w:t>
      </w:r>
      <w:r>
        <w:rPr>
          <w:i/>
          <w:sz w:val="28"/>
        </w:rPr>
        <w:t>в</w:t>
      </w:r>
      <w:r>
        <w:rPr>
          <w:i/>
          <w:spacing w:val="-16"/>
          <w:sz w:val="28"/>
        </w:rPr>
        <w:t> </w:t>
      </w:r>
      <w:r>
        <w:rPr>
          <w:i/>
          <w:sz w:val="28"/>
        </w:rPr>
        <w:t>період</w:t>
      </w:r>
      <w:r>
        <w:rPr>
          <w:i/>
          <w:spacing w:val="-17"/>
          <w:sz w:val="28"/>
        </w:rPr>
        <w:t> </w:t>
      </w:r>
      <w:r>
        <w:rPr>
          <w:i/>
          <w:sz w:val="28"/>
        </w:rPr>
        <w:t>становлення</w:t>
      </w:r>
      <w:r>
        <w:rPr>
          <w:i/>
          <w:spacing w:val="-15"/>
          <w:sz w:val="28"/>
        </w:rPr>
        <w:t> </w:t>
      </w:r>
      <w:r>
        <w:rPr>
          <w:i/>
          <w:sz w:val="28"/>
        </w:rPr>
        <w:t>статевих</w:t>
      </w:r>
      <w:r>
        <w:rPr>
          <w:i/>
          <w:spacing w:val="-15"/>
          <w:sz w:val="28"/>
        </w:rPr>
        <w:t> </w:t>
      </w:r>
      <w:r>
        <w:rPr>
          <w:i/>
          <w:sz w:val="28"/>
        </w:rPr>
        <w:t>циклів</w:t>
      </w:r>
      <w:r>
        <w:rPr>
          <w:i/>
          <w:spacing w:val="-16"/>
          <w:sz w:val="28"/>
        </w:rPr>
        <w:t> </w:t>
      </w:r>
      <w:r>
        <w:rPr>
          <w:i/>
          <w:sz w:val="28"/>
        </w:rPr>
        <w:t>відбуваються</w:t>
      </w:r>
      <w:r>
        <w:rPr>
          <w:i/>
          <w:spacing w:val="-15"/>
          <w:sz w:val="28"/>
        </w:rPr>
        <w:t> </w:t>
      </w:r>
      <w:r>
        <w:rPr>
          <w:i/>
          <w:sz w:val="28"/>
        </w:rPr>
        <w:t>суттєві </w:t>
      </w:r>
      <w:r>
        <w:rPr>
          <w:i/>
          <w:sz w:val="28"/>
        </w:rPr>
        <w:t>коливання гормонального фону, що супроводжуються змінами прооксидантно- антиоксидантного гомеостазу в напрямку прискорення процесів пероксидного окиснення. Додаткове згодовування вітамінів А, Е та С істотно впливає </w:t>
      </w:r>
      <w:r>
        <w:rPr>
          <w:i/>
          <w:spacing w:val="2"/>
          <w:sz w:val="28"/>
        </w:rPr>
        <w:t>на </w:t>
      </w:r>
      <w:r>
        <w:rPr>
          <w:i/>
          <w:sz w:val="28"/>
        </w:rPr>
        <w:t>формування ендокринного профілю свинок при настанні 2-го і 3-го статевих циклів, що проявлялись у підвищеному вмісті естрадіолу, особливо під час настання фази</w:t>
      </w:r>
      <w:r>
        <w:rPr>
          <w:i/>
          <w:spacing w:val="5"/>
          <w:sz w:val="28"/>
        </w:rPr>
        <w:t> </w:t>
      </w:r>
      <w:r>
        <w:rPr>
          <w:i/>
          <w:sz w:val="28"/>
        </w:rPr>
        <w:t>еструсу.</w:t>
      </w:r>
    </w:p>
    <w:p>
      <w:pPr>
        <w:spacing w:before="3"/>
        <w:ind w:left="193" w:right="620" w:firstLine="710"/>
        <w:jc w:val="both"/>
        <w:rPr>
          <w:i/>
          <w:sz w:val="28"/>
        </w:rPr>
      </w:pPr>
      <w:r>
        <w:rPr>
          <w:b/>
          <w:i/>
          <w:sz w:val="28"/>
        </w:rPr>
        <w:t>Ключові слова: </w:t>
      </w:r>
      <w:r>
        <w:rPr>
          <w:i/>
          <w:sz w:val="28"/>
        </w:rPr>
        <w:t>свинки, статевий цикл, кров, гормони, пероксидне </w:t>
      </w:r>
      <w:r>
        <w:rPr>
          <w:i/>
          <w:sz w:val="28"/>
        </w:rPr>
        <w:t>окиснення, антиоксиданти, вітамінна добавка.</w:t>
      </w:r>
    </w:p>
    <w:p>
      <w:pPr>
        <w:pStyle w:val="BodyText"/>
        <w:spacing w:before="10"/>
        <w:ind w:left="0"/>
        <w:jc w:val="left"/>
        <w:rPr>
          <w:i/>
          <w:sz w:val="27"/>
        </w:rPr>
      </w:pPr>
    </w:p>
    <w:p>
      <w:pPr>
        <w:pStyle w:val="BodyText"/>
        <w:ind w:right="612" w:firstLine="710"/>
      </w:pPr>
      <w:r>
        <w:rPr>
          <w:b/>
        </w:rPr>
        <w:t>Постановка проблеми. </w:t>
      </w:r>
      <w:r>
        <w:rPr/>
        <w:t>Серед найбільш ефективних засобів збільшення репродуктивної</w:t>
      </w:r>
      <w:r>
        <w:rPr>
          <w:spacing w:val="-23"/>
        </w:rPr>
        <w:t> </w:t>
      </w:r>
      <w:r>
        <w:rPr/>
        <w:t>здатності</w:t>
      </w:r>
      <w:r>
        <w:rPr>
          <w:spacing w:val="-22"/>
        </w:rPr>
        <w:t> </w:t>
      </w:r>
      <w:r>
        <w:rPr/>
        <w:t>кнурів</w:t>
      </w:r>
      <w:r>
        <w:rPr>
          <w:spacing w:val="-20"/>
        </w:rPr>
        <w:t> </w:t>
      </w:r>
      <w:r>
        <w:rPr/>
        <w:t>та</w:t>
      </w:r>
      <w:r>
        <w:rPr>
          <w:spacing w:val="-16"/>
        </w:rPr>
        <w:t> </w:t>
      </w:r>
      <w:r>
        <w:rPr/>
        <w:t>свиноматок</w:t>
      </w:r>
      <w:r>
        <w:rPr>
          <w:spacing w:val="-19"/>
        </w:rPr>
        <w:t> </w:t>
      </w:r>
      <w:r>
        <w:rPr/>
        <w:t>є</w:t>
      </w:r>
      <w:r>
        <w:rPr>
          <w:spacing w:val="-17"/>
        </w:rPr>
        <w:t> </w:t>
      </w:r>
      <w:r>
        <w:rPr/>
        <w:t>метод</w:t>
      </w:r>
      <w:r>
        <w:rPr>
          <w:spacing w:val="-16"/>
        </w:rPr>
        <w:t> </w:t>
      </w:r>
      <w:r>
        <w:rPr/>
        <w:t>штучного</w:t>
      </w:r>
      <w:r>
        <w:rPr>
          <w:spacing w:val="-17"/>
        </w:rPr>
        <w:t> </w:t>
      </w:r>
      <w:r>
        <w:rPr/>
        <w:t>осіменіння,</w:t>
      </w:r>
      <w:r>
        <w:rPr>
          <w:spacing w:val="-16"/>
        </w:rPr>
        <w:t> </w:t>
      </w:r>
      <w:r>
        <w:rPr/>
        <w:t>що спрямований на масштабне якісне відтворення більш однорідних високопродуктивних тварин. Подальша продуктивність отриманих нащадків визначається</w:t>
      </w:r>
      <w:r>
        <w:rPr>
          <w:spacing w:val="-12"/>
        </w:rPr>
        <w:t> </w:t>
      </w:r>
      <w:r>
        <w:rPr/>
        <w:t>біологічною</w:t>
      </w:r>
      <w:r>
        <w:rPr>
          <w:spacing w:val="-14"/>
        </w:rPr>
        <w:t> </w:t>
      </w:r>
      <w:r>
        <w:rPr/>
        <w:t>повноцінністю</w:t>
      </w:r>
      <w:r>
        <w:rPr>
          <w:spacing w:val="-14"/>
        </w:rPr>
        <w:t> </w:t>
      </w:r>
      <w:r>
        <w:rPr/>
        <w:t>гамет,</w:t>
      </w:r>
      <w:r>
        <w:rPr>
          <w:spacing w:val="-11"/>
        </w:rPr>
        <w:t> </w:t>
      </w:r>
      <w:r>
        <w:rPr/>
        <w:t>де</w:t>
      </w:r>
      <w:r>
        <w:rPr>
          <w:spacing w:val="-11"/>
        </w:rPr>
        <w:t> </w:t>
      </w:r>
      <w:r>
        <w:rPr/>
        <w:t>їх</w:t>
      </w:r>
      <w:r>
        <w:rPr>
          <w:spacing w:val="-10"/>
        </w:rPr>
        <w:t> </w:t>
      </w:r>
      <w:r>
        <w:rPr/>
        <w:t>якість</w:t>
      </w:r>
      <w:r>
        <w:rPr>
          <w:spacing w:val="-14"/>
        </w:rPr>
        <w:t> </w:t>
      </w:r>
      <w:r>
        <w:rPr/>
        <w:t>суттєво</w:t>
      </w:r>
      <w:r>
        <w:rPr>
          <w:spacing w:val="-13"/>
        </w:rPr>
        <w:t> </w:t>
      </w:r>
      <w:r>
        <w:rPr/>
        <w:t>залежить</w:t>
      </w:r>
      <w:r>
        <w:rPr>
          <w:spacing w:val="-10"/>
        </w:rPr>
        <w:t> </w:t>
      </w:r>
      <w:r>
        <w:rPr/>
        <w:t>від вітамінного живлення свиней в ембріональний і постнатальний</w:t>
      </w:r>
      <w:r>
        <w:rPr>
          <w:spacing w:val="-12"/>
        </w:rPr>
        <w:t> </w:t>
      </w:r>
      <w:r>
        <w:rPr/>
        <w:t>період.</w:t>
      </w:r>
    </w:p>
    <w:p>
      <w:pPr>
        <w:pStyle w:val="BodyText"/>
        <w:spacing w:before="4"/>
        <w:ind w:right="609" w:firstLine="710"/>
      </w:pPr>
      <w:r>
        <w:rPr>
          <w:b/>
        </w:rPr>
        <w:t>Аналіз актуальних досліджень. </w:t>
      </w:r>
      <w:r>
        <w:rPr/>
        <w:t>Результати досліджень вказують на провідну роль вітамінів у синтезі та метаболізмі гормонів [10, 11, 13]. Зміна ендокринного профілю визначає настання періоду статевого дозрівання, циклічні зміни у свиноматок, забезпечує нормальний перебіг поросності та протікання опоросу. Зокрема прогестерон і естроген здійснюють значний вплив на розвиток вторинних статевих ознак у самок.</w:t>
      </w:r>
    </w:p>
    <w:p>
      <w:pPr>
        <w:pStyle w:val="BodyText"/>
        <w:ind w:right="607" w:firstLine="710"/>
      </w:pPr>
      <w:r>
        <w:rPr/>
        <w:t>Комплексний вплив гормонів регулює ріст, розвиток, статеве дозрівання свиней, визначаючи інтенсивність перебігу біохімічних процесів, зокрема стан прооксидантно-антиоксидантного гомеостазу [7]. Зміна співвідношення рівнів прооксидантів, активних радикалів оксигену та антиоксидантів забезпечує процеси запліднення, імплантації та адаптації новонароджених до окислювального стресу [4, 12]. Це вимагає більш глибоких досліджень із з’ясування механізмів гормональної і пероксидної регуляції, а також відтворної функцїї у свинок.</w:t>
      </w:r>
    </w:p>
    <w:p>
      <w:pPr>
        <w:pStyle w:val="BodyText"/>
        <w:ind w:right="607" w:firstLine="710"/>
      </w:pPr>
      <w:r>
        <w:rPr/>
        <w:t>Стан прооксидантно-антиоксидантного гомеостазу регулюється за принципом зворотного зв’язку: збільшення рівня антиоксидантів (вітаміни </w:t>
      </w:r>
      <w:r>
        <w:rPr>
          <w:spacing w:val="-3"/>
        </w:rPr>
        <w:t>А, </w:t>
      </w:r>
      <w:r>
        <w:rPr/>
        <w:t>Е та</w:t>
      </w:r>
      <w:r>
        <w:rPr>
          <w:spacing w:val="-11"/>
        </w:rPr>
        <w:t> </w:t>
      </w:r>
      <w:r>
        <w:rPr/>
        <w:t>С,</w:t>
      </w:r>
      <w:r>
        <w:rPr>
          <w:spacing w:val="-14"/>
        </w:rPr>
        <w:t> </w:t>
      </w:r>
      <w:r>
        <w:rPr/>
        <w:t>естрогенів)</w:t>
      </w:r>
      <w:r>
        <w:rPr>
          <w:spacing w:val="-12"/>
        </w:rPr>
        <w:t> </w:t>
      </w:r>
      <w:r>
        <w:rPr/>
        <w:t>гальмує</w:t>
      </w:r>
      <w:r>
        <w:rPr>
          <w:spacing w:val="-11"/>
        </w:rPr>
        <w:t> </w:t>
      </w:r>
      <w:r>
        <w:rPr/>
        <w:t>вільнорадикальне</w:t>
      </w:r>
      <w:r>
        <w:rPr>
          <w:spacing w:val="-11"/>
        </w:rPr>
        <w:t> </w:t>
      </w:r>
      <w:r>
        <w:rPr/>
        <w:t>окиснення,</w:t>
      </w:r>
      <w:r>
        <w:rPr>
          <w:spacing w:val="-9"/>
        </w:rPr>
        <w:t> </w:t>
      </w:r>
      <w:r>
        <w:rPr/>
        <w:t>змінюючи</w:t>
      </w:r>
      <w:r>
        <w:rPr>
          <w:spacing w:val="-11"/>
        </w:rPr>
        <w:t> </w:t>
      </w:r>
      <w:r>
        <w:rPr/>
        <w:t>склад</w:t>
      </w:r>
      <w:r>
        <w:rPr>
          <w:spacing w:val="-9"/>
        </w:rPr>
        <w:t> </w:t>
      </w:r>
      <w:r>
        <w:rPr/>
        <w:t>ліпідів</w:t>
      </w:r>
      <w:r>
        <w:rPr>
          <w:spacing w:val="-2"/>
        </w:rPr>
        <w:t> </w:t>
      </w:r>
      <w:r>
        <w:rPr/>
        <w:t>– з’являються легкоокисні фракції, що стимулює процеси пероксидації [6]. </w:t>
      </w:r>
      <w:r>
        <w:rPr>
          <w:spacing w:val="-3"/>
        </w:rPr>
        <w:t>Це </w:t>
      </w:r>
      <w:r>
        <w:rPr/>
        <w:t>потребує швидкого використання ендогенних антиоксидантів,</w:t>
      </w:r>
      <w:r>
        <w:rPr>
          <w:spacing w:val="26"/>
        </w:rPr>
        <w:t> </w:t>
      </w:r>
      <w:r>
        <w:rPr/>
        <w:t>що</w:t>
      </w:r>
    </w:p>
    <w:p>
      <w:pPr>
        <w:spacing w:after="0"/>
        <w:sectPr>
          <w:pgSz w:w="11910" w:h="16840"/>
          <w:pgMar w:header="713" w:footer="778" w:top="1140" w:bottom="960" w:left="940" w:right="520"/>
        </w:sectPr>
      </w:pPr>
    </w:p>
    <w:p>
      <w:pPr>
        <w:pStyle w:val="BodyText"/>
        <w:spacing w:before="92"/>
        <w:ind w:right="619"/>
      </w:pPr>
      <w:r>
        <w:rPr/>
        <w:t>супроводжується</w:t>
      </w:r>
      <w:r>
        <w:rPr>
          <w:spacing w:val="-19"/>
        </w:rPr>
        <w:t> </w:t>
      </w:r>
      <w:r>
        <w:rPr/>
        <w:t>поверненням</w:t>
      </w:r>
      <w:r>
        <w:rPr>
          <w:spacing w:val="-19"/>
        </w:rPr>
        <w:t> </w:t>
      </w:r>
      <w:r>
        <w:rPr/>
        <w:t>системи</w:t>
      </w:r>
      <w:r>
        <w:rPr>
          <w:spacing w:val="-21"/>
        </w:rPr>
        <w:t> </w:t>
      </w:r>
      <w:r>
        <w:rPr/>
        <w:t>до</w:t>
      </w:r>
      <w:r>
        <w:rPr>
          <w:spacing w:val="-20"/>
        </w:rPr>
        <w:t> </w:t>
      </w:r>
      <w:r>
        <w:rPr/>
        <w:t>початкового</w:t>
      </w:r>
      <w:r>
        <w:rPr>
          <w:spacing w:val="-20"/>
        </w:rPr>
        <w:t> </w:t>
      </w:r>
      <w:r>
        <w:rPr/>
        <w:t>рівня</w:t>
      </w:r>
      <w:r>
        <w:rPr>
          <w:spacing w:val="-11"/>
        </w:rPr>
        <w:t> </w:t>
      </w:r>
      <w:r>
        <w:rPr/>
        <w:t>[3].</w:t>
      </w:r>
      <w:r>
        <w:rPr>
          <w:spacing w:val="-18"/>
        </w:rPr>
        <w:t> </w:t>
      </w:r>
      <w:r>
        <w:rPr/>
        <w:t>Така</w:t>
      </w:r>
      <w:r>
        <w:rPr>
          <w:spacing w:val="-20"/>
        </w:rPr>
        <w:t> </w:t>
      </w:r>
      <w:r>
        <w:rPr/>
        <w:t>динамічна рівновага істотно коливається у свинок у різні періоди статевого циклу і поросності [9].</w:t>
      </w:r>
    </w:p>
    <w:p>
      <w:pPr>
        <w:pStyle w:val="BodyText"/>
        <w:ind w:right="615" w:firstLine="710"/>
      </w:pPr>
      <w:r>
        <w:rPr/>
        <w:t>У попередніх дослідженнях з вивчення динаміки стероїдних, тироїдних гормонів та зміни прооксидантно-антиоксиданого гомеостазу у свинок було встановлено істотну лабільність даних показників залежно від їх фізіологічного стану [7]. Однак, залишається актуальним з’ясування зміни даних гомеостатичних констант у найбільш відповідальні періоди формування відтворювальної функції у свинок.</w:t>
      </w:r>
    </w:p>
    <w:p>
      <w:pPr>
        <w:pStyle w:val="BodyText"/>
        <w:spacing w:before="2"/>
        <w:ind w:right="612"/>
      </w:pPr>
      <w:r>
        <w:rPr>
          <w:b/>
        </w:rPr>
        <w:t>Метою</w:t>
      </w:r>
      <w:r>
        <w:rPr>
          <w:b/>
          <w:spacing w:val="-18"/>
        </w:rPr>
        <w:t> </w:t>
      </w:r>
      <w:r>
        <w:rPr>
          <w:b/>
        </w:rPr>
        <w:t>досліджень</w:t>
      </w:r>
      <w:r>
        <w:rPr>
          <w:b/>
          <w:spacing w:val="-15"/>
        </w:rPr>
        <w:t> </w:t>
      </w:r>
      <w:r>
        <w:rPr/>
        <w:t>було</w:t>
      </w:r>
      <w:r>
        <w:rPr>
          <w:spacing w:val="-15"/>
        </w:rPr>
        <w:t> </w:t>
      </w:r>
      <w:r>
        <w:rPr/>
        <w:t>з’ясування</w:t>
      </w:r>
      <w:r>
        <w:rPr>
          <w:spacing w:val="-14"/>
        </w:rPr>
        <w:t> </w:t>
      </w:r>
      <w:r>
        <w:rPr/>
        <w:t>закономірностей</w:t>
      </w:r>
      <w:r>
        <w:rPr>
          <w:spacing w:val="-16"/>
        </w:rPr>
        <w:t> </w:t>
      </w:r>
      <w:r>
        <w:rPr/>
        <w:t>зміни</w:t>
      </w:r>
      <w:r>
        <w:rPr>
          <w:spacing w:val="-15"/>
        </w:rPr>
        <w:t> </w:t>
      </w:r>
      <w:r>
        <w:rPr/>
        <w:t>гормонального</w:t>
      </w:r>
      <w:r>
        <w:rPr>
          <w:spacing w:val="-15"/>
        </w:rPr>
        <w:t> </w:t>
      </w:r>
      <w:r>
        <w:rPr/>
        <w:t>фону та особливостей формування прооксидантно-антиоксидантного гомеостазу (ПАГ) в свинок у період становлення статевої функції за корекції вітамінного живлення.</w:t>
      </w:r>
    </w:p>
    <w:p>
      <w:pPr>
        <w:pStyle w:val="BodyText"/>
        <w:spacing w:line="321" w:lineRule="exact"/>
        <w:ind w:left="903"/>
      </w:pPr>
      <w:r>
        <w:rPr/>
        <w:t>Для досягнення визначеної мети необхідно було вирішити такі завдання:</w:t>
      </w:r>
    </w:p>
    <w:p>
      <w:pPr>
        <w:pStyle w:val="ListParagraph"/>
        <w:numPr>
          <w:ilvl w:val="0"/>
          <w:numId w:val="7"/>
        </w:numPr>
        <w:tabs>
          <w:tab w:pos="1053" w:val="left" w:leader="none"/>
        </w:tabs>
        <w:spacing w:line="240" w:lineRule="auto" w:before="0" w:after="0"/>
        <w:ind w:left="193" w:right="611" w:firstLine="710"/>
        <w:jc w:val="both"/>
        <w:rPr>
          <w:sz w:val="28"/>
        </w:rPr>
      </w:pPr>
      <w:r>
        <w:rPr>
          <w:sz w:val="28"/>
        </w:rPr>
        <w:t>вивчити</w:t>
      </w:r>
      <w:r>
        <w:rPr>
          <w:spacing w:val="-16"/>
          <w:sz w:val="28"/>
        </w:rPr>
        <w:t> </w:t>
      </w:r>
      <w:r>
        <w:rPr>
          <w:sz w:val="28"/>
        </w:rPr>
        <w:t>динаміку</w:t>
      </w:r>
      <w:r>
        <w:rPr>
          <w:spacing w:val="-21"/>
          <w:sz w:val="28"/>
        </w:rPr>
        <w:t> </w:t>
      </w:r>
      <w:r>
        <w:rPr>
          <w:sz w:val="28"/>
        </w:rPr>
        <w:t>вмісту</w:t>
      </w:r>
      <w:r>
        <w:rPr>
          <w:spacing w:val="-20"/>
          <w:sz w:val="28"/>
        </w:rPr>
        <w:t> </w:t>
      </w:r>
      <w:r>
        <w:rPr>
          <w:sz w:val="28"/>
        </w:rPr>
        <w:t>тироїдних</w:t>
      </w:r>
      <w:r>
        <w:rPr>
          <w:spacing w:val="-20"/>
          <w:sz w:val="28"/>
        </w:rPr>
        <w:t> </w:t>
      </w:r>
      <w:r>
        <w:rPr>
          <w:sz w:val="28"/>
        </w:rPr>
        <w:t>та</w:t>
      </w:r>
      <w:r>
        <w:rPr>
          <w:spacing w:val="-15"/>
          <w:sz w:val="28"/>
        </w:rPr>
        <w:t> </w:t>
      </w:r>
      <w:r>
        <w:rPr>
          <w:sz w:val="28"/>
        </w:rPr>
        <w:t>стероїдних</w:t>
      </w:r>
      <w:r>
        <w:rPr>
          <w:spacing w:val="-21"/>
          <w:sz w:val="28"/>
        </w:rPr>
        <w:t> </w:t>
      </w:r>
      <w:r>
        <w:rPr>
          <w:sz w:val="28"/>
        </w:rPr>
        <w:t>гормонів</w:t>
      </w:r>
      <w:r>
        <w:rPr>
          <w:spacing w:val="-17"/>
          <w:sz w:val="28"/>
        </w:rPr>
        <w:t> </w:t>
      </w:r>
      <w:r>
        <w:rPr>
          <w:sz w:val="28"/>
        </w:rPr>
        <w:t>у</w:t>
      </w:r>
      <w:r>
        <w:rPr>
          <w:spacing w:val="-20"/>
          <w:sz w:val="28"/>
        </w:rPr>
        <w:t> </w:t>
      </w:r>
      <w:r>
        <w:rPr>
          <w:sz w:val="28"/>
        </w:rPr>
        <w:t>крові</w:t>
      </w:r>
      <w:r>
        <w:rPr>
          <w:spacing w:val="-21"/>
          <w:sz w:val="28"/>
        </w:rPr>
        <w:t> </w:t>
      </w:r>
      <w:r>
        <w:rPr>
          <w:sz w:val="28"/>
        </w:rPr>
        <w:t>свинок в у різні фази статевого</w:t>
      </w:r>
      <w:r>
        <w:rPr>
          <w:spacing w:val="-5"/>
          <w:sz w:val="28"/>
        </w:rPr>
        <w:t> </w:t>
      </w:r>
      <w:r>
        <w:rPr>
          <w:sz w:val="28"/>
        </w:rPr>
        <w:t>циклу;</w:t>
      </w:r>
    </w:p>
    <w:p>
      <w:pPr>
        <w:pStyle w:val="ListParagraph"/>
        <w:numPr>
          <w:ilvl w:val="0"/>
          <w:numId w:val="7"/>
        </w:numPr>
        <w:tabs>
          <w:tab w:pos="1053" w:val="left" w:leader="none"/>
        </w:tabs>
        <w:spacing w:line="240" w:lineRule="auto" w:before="0" w:after="0"/>
        <w:ind w:left="193" w:right="617" w:firstLine="710"/>
        <w:jc w:val="both"/>
        <w:rPr>
          <w:sz w:val="28"/>
        </w:rPr>
      </w:pPr>
      <w:r>
        <w:rPr>
          <w:sz w:val="28"/>
        </w:rPr>
        <w:t>оцінити</w:t>
      </w:r>
      <w:r>
        <w:rPr>
          <w:spacing w:val="-21"/>
          <w:sz w:val="28"/>
        </w:rPr>
        <w:t> </w:t>
      </w:r>
      <w:r>
        <w:rPr>
          <w:sz w:val="28"/>
        </w:rPr>
        <w:t>стан</w:t>
      </w:r>
      <w:r>
        <w:rPr>
          <w:spacing w:val="-20"/>
          <w:sz w:val="28"/>
        </w:rPr>
        <w:t> </w:t>
      </w:r>
      <w:r>
        <w:rPr>
          <w:sz w:val="28"/>
        </w:rPr>
        <w:t>прооксидантно-антиоксидантного</w:t>
      </w:r>
      <w:r>
        <w:rPr>
          <w:spacing w:val="-20"/>
          <w:sz w:val="28"/>
        </w:rPr>
        <w:t> </w:t>
      </w:r>
      <w:r>
        <w:rPr>
          <w:sz w:val="28"/>
        </w:rPr>
        <w:t>гомеостазу</w:t>
      </w:r>
      <w:r>
        <w:rPr>
          <w:spacing w:val="-25"/>
          <w:sz w:val="28"/>
        </w:rPr>
        <w:t> </w:t>
      </w:r>
      <w:r>
        <w:rPr>
          <w:sz w:val="28"/>
        </w:rPr>
        <w:t>в</w:t>
      </w:r>
      <w:r>
        <w:rPr>
          <w:spacing w:val="-22"/>
          <w:sz w:val="28"/>
        </w:rPr>
        <w:t> </w:t>
      </w:r>
      <w:r>
        <w:rPr>
          <w:sz w:val="28"/>
        </w:rPr>
        <w:t>крові</w:t>
      </w:r>
      <w:r>
        <w:rPr>
          <w:spacing w:val="-25"/>
          <w:sz w:val="28"/>
        </w:rPr>
        <w:t> </w:t>
      </w:r>
      <w:r>
        <w:rPr>
          <w:sz w:val="28"/>
        </w:rPr>
        <w:t>свинок у різні фази статевого</w:t>
      </w:r>
      <w:r>
        <w:rPr>
          <w:spacing w:val="-5"/>
          <w:sz w:val="28"/>
        </w:rPr>
        <w:t> </w:t>
      </w:r>
      <w:r>
        <w:rPr>
          <w:sz w:val="28"/>
        </w:rPr>
        <w:t>циклу;</w:t>
      </w:r>
    </w:p>
    <w:p>
      <w:pPr>
        <w:pStyle w:val="ListParagraph"/>
        <w:numPr>
          <w:ilvl w:val="0"/>
          <w:numId w:val="7"/>
        </w:numPr>
        <w:tabs>
          <w:tab w:pos="1140" w:val="left" w:leader="none"/>
        </w:tabs>
        <w:spacing w:line="240" w:lineRule="auto" w:before="3" w:after="0"/>
        <w:ind w:left="193" w:right="619" w:firstLine="710"/>
        <w:jc w:val="both"/>
        <w:rPr>
          <w:sz w:val="28"/>
        </w:rPr>
      </w:pPr>
      <w:r>
        <w:rPr>
          <w:sz w:val="28"/>
        </w:rPr>
        <w:t>дослідити вплив вітамінів </w:t>
      </w:r>
      <w:r>
        <w:rPr>
          <w:spacing w:val="-3"/>
          <w:sz w:val="28"/>
        </w:rPr>
        <w:t>А, </w:t>
      </w:r>
      <w:r>
        <w:rPr>
          <w:sz w:val="28"/>
        </w:rPr>
        <w:t>Е та С на досліджувані гомеостатичні константи у пубертатних</w:t>
      </w:r>
      <w:r>
        <w:rPr>
          <w:spacing w:val="-1"/>
          <w:sz w:val="28"/>
        </w:rPr>
        <w:t> </w:t>
      </w:r>
      <w:r>
        <w:rPr>
          <w:sz w:val="28"/>
        </w:rPr>
        <w:t>свинок.</w:t>
      </w:r>
    </w:p>
    <w:p>
      <w:pPr>
        <w:pStyle w:val="BodyText"/>
        <w:ind w:right="613" w:firstLine="710"/>
      </w:pPr>
      <w:r>
        <w:rPr/>
        <w:t>Робота виконана на клінічно здорових свинках великої білої породи по 5 голів, які були аналогами за породою, віком та масою тіла. Годівля тварин здійснювалась згідно кормових норм Інституту свинарства і АПВ НААН. Кров для досліджень у свиней відбирали з передньої порожнистої вени в період настання чітко виражених 1-ї, 2-ї і 3-ї охоти в фази еструса і діеструса.</w:t>
      </w:r>
    </w:p>
    <w:p>
      <w:pPr>
        <w:pStyle w:val="BodyText"/>
        <w:ind w:right="607" w:firstLine="710"/>
      </w:pPr>
      <w:r>
        <w:rPr/>
        <w:t>Раціон свинок контрольної групи залишався без змін, а у дослідній до нього додавали вітамінну добавку із 120-денного віку, що містила суху мікрогранульовану форму ретинол ацетату (вітамін А), DL–α-токоферол поліетиленгліколь сукцинат (вітамін Е) та аскорбінову кислоту у кристалічній формі (вітамін С). Ці форми вітамінів мають високу біологічну доступність. Рівень вітамінів для тварин дослідної групи був вищим на 20 % на 1 кг корму порівняно з раціоном для тварин контрольної групи.</w:t>
      </w:r>
    </w:p>
    <w:p>
      <w:pPr>
        <w:pStyle w:val="BodyText"/>
        <w:ind w:right="609" w:firstLine="710"/>
      </w:pPr>
      <w:r>
        <w:rPr/>
        <w:t>Вміст тироксину, трийодтироніну, естрадіолу-17</w:t>
      </w:r>
      <w:r>
        <w:rPr>
          <w:rFonts w:ascii="Symbol" w:hAnsi="Symbol"/>
        </w:rPr>
        <w:t></w:t>
      </w:r>
      <w:r>
        <w:rPr/>
        <w:t> і прогестерону в сироватці крові визначали радіоімунологічним методом, а тестостерону – імуноферментним.</w:t>
      </w:r>
    </w:p>
    <w:p>
      <w:pPr>
        <w:pStyle w:val="BodyText"/>
        <w:ind w:right="608" w:firstLine="710"/>
      </w:pPr>
      <w:r>
        <w:rPr/>
        <w:t>Інтенсивність перебігу процесів пероксидації ліпідів у крові досліджували за пероксидною резистентістю еритроцитів [8], активністю ксантиноксидази (КСО) [2], концентрацією дієнових кон’югатів (ДК) [8], вмістом ТБК-активних сполук [5]. Оцінювали рівень антиоксидантного захисту за активністю супероксиддисмутази (СОД) [8], активністю каталази (КТ) [1], вмістом відновленого глутатіону [8], аскорбінової (АК) і дегідроаскорбінової кислот (ДАК) [5], вмістом вітаміну А та концентрацією вітаміну Е [5].</w:t>
      </w:r>
    </w:p>
    <w:p>
      <w:pPr>
        <w:pStyle w:val="BodyText"/>
        <w:spacing w:before="1"/>
        <w:ind w:right="610" w:firstLine="710"/>
      </w:pPr>
      <w:r>
        <w:rPr>
          <w:b/>
        </w:rPr>
        <w:t>Виклад основного матеріалу. </w:t>
      </w:r>
      <w:r>
        <w:rPr/>
        <w:t>Отримані результати експерименту свідчать</w:t>
      </w:r>
      <w:r>
        <w:rPr>
          <w:spacing w:val="-9"/>
        </w:rPr>
        <w:t> </w:t>
      </w:r>
      <w:r>
        <w:rPr/>
        <w:t>про</w:t>
      </w:r>
      <w:r>
        <w:rPr>
          <w:spacing w:val="-6"/>
        </w:rPr>
        <w:t> </w:t>
      </w:r>
      <w:r>
        <w:rPr/>
        <w:t>суттєву</w:t>
      </w:r>
      <w:r>
        <w:rPr>
          <w:spacing w:val="-11"/>
        </w:rPr>
        <w:t> </w:t>
      </w:r>
      <w:r>
        <w:rPr/>
        <w:t>лабільності</w:t>
      </w:r>
      <w:r>
        <w:rPr>
          <w:spacing w:val="-11"/>
        </w:rPr>
        <w:t> </w:t>
      </w:r>
      <w:r>
        <w:rPr/>
        <w:t>концентрації</w:t>
      </w:r>
      <w:r>
        <w:rPr>
          <w:spacing w:val="-12"/>
        </w:rPr>
        <w:t> </w:t>
      </w:r>
      <w:r>
        <w:rPr/>
        <w:t>тироїдних</w:t>
      </w:r>
      <w:r>
        <w:rPr>
          <w:spacing w:val="-6"/>
        </w:rPr>
        <w:t> </w:t>
      </w:r>
      <w:r>
        <w:rPr/>
        <w:t>і</w:t>
      </w:r>
      <w:r>
        <w:rPr>
          <w:spacing w:val="-11"/>
        </w:rPr>
        <w:t> </w:t>
      </w:r>
      <w:r>
        <w:rPr/>
        <w:t>стероїдних</w:t>
      </w:r>
      <w:r>
        <w:rPr>
          <w:spacing w:val="-11"/>
        </w:rPr>
        <w:t> </w:t>
      </w:r>
      <w:r>
        <w:rPr/>
        <w:t>гормонів</w:t>
      </w:r>
      <w:r>
        <w:rPr>
          <w:spacing w:val="1"/>
        </w:rPr>
        <w:t> </w:t>
      </w:r>
      <w:r>
        <w:rPr/>
        <w:t>у</w:t>
      </w:r>
    </w:p>
    <w:p>
      <w:pPr>
        <w:spacing w:after="0"/>
        <w:sectPr>
          <w:pgSz w:w="11910" w:h="16840"/>
          <w:pgMar w:header="713" w:footer="778" w:top="1140" w:bottom="960" w:left="940" w:right="520"/>
        </w:sectPr>
      </w:pPr>
    </w:p>
    <w:p>
      <w:pPr>
        <w:pStyle w:val="BodyText"/>
        <w:spacing w:before="92"/>
        <w:ind w:right="611"/>
      </w:pPr>
      <w:r>
        <w:rPr/>
        <w:t>сироватці крові (табл. 1). Вміст тироксину значно зростав у фазу еструса щодо лютеальної на 8,2 % (1 охота), 18,2 % (2 охоти) і 45,7% (3 охоти). При цьому концентрація</w:t>
      </w:r>
      <w:r>
        <w:rPr>
          <w:spacing w:val="-7"/>
        </w:rPr>
        <w:t> </w:t>
      </w:r>
      <w:r>
        <w:rPr/>
        <w:t>тироксину</w:t>
      </w:r>
      <w:r>
        <w:rPr>
          <w:spacing w:val="-12"/>
        </w:rPr>
        <w:t> </w:t>
      </w:r>
      <w:r>
        <w:rPr/>
        <w:t>протягом</w:t>
      </w:r>
      <w:r>
        <w:rPr>
          <w:spacing w:val="-7"/>
        </w:rPr>
        <w:t> </w:t>
      </w:r>
      <w:r>
        <w:rPr/>
        <w:t>експерименту</w:t>
      </w:r>
      <w:r>
        <w:rPr>
          <w:spacing w:val="-12"/>
        </w:rPr>
        <w:t> </w:t>
      </w:r>
      <w:r>
        <w:rPr>
          <w:spacing w:val="2"/>
        </w:rPr>
        <w:t>зі</w:t>
      </w:r>
      <w:r>
        <w:rPr>
          <w:spacing w:val="-14"/>
        </w:rPr>
        <w:t> </w:t>
      </w:r>
      <w:r>
        <w:rPr/>
        <w:t>збільшенням</w:t>
      </w:r>
      <w:r>
        <w:rPr>
          <w:spacing w:val="-6"/>
        </w:rPr>
        <w:t> </w:t>
      </w:r>
      <w:r>
        <w:rPr/>
        <w:t>статевих</w:t>
      </w:r>
      <w:r>
        <w:rPr>
          <w:spacing w:val="-13"/>
        </w:rPr>
        <w:t> </w:t>
      </w:r>
      <w:r>
        <w:rPr/>
        <w:t>циклів у фазу статевого спокою зменшилася на 30,1%. Динаміка кількості трийодтироніну мала протилежний характер - зниження рівня від лютеальної фази до</w:t>
      </w:r>
      <w:r>
        <w:rPr>
          <w:spacing w:val="2"/>
        </w:rPr>
        <w:t> </w:t>
      </w:r>
      <w:r>
        <w:rPr/>
        <w:t>еструса.</w:t>
      </w:r>
    </w:p>
    <w:p>
      <w:pPr>
        <w:pStyle w:val="BodyText"/>
        <w:spacing w:before="3"/>
        <w:ind w:right="611" w:firstLine="710"/>
      </w:pPr>
      <w:r>
        <w:rPr/>
        <w:t>Вживання свиноматками вітамінної добавки істотно збільшувало вміст тироксину в період статевих спокою під час 2-го і 3-го статевих циклів відповідно на 15,2 % і 7,1%, порівняно з контрольною групою.</w:t>
      </w:r>
    </w:p>
    <w:p>
      <w:pPr>
        <w:pStyle w:val="BodyText"/>
        <w:spacing w:after="2"/>
        <w:ind w:right="615" w:firstLine="710"/>
      </w:pPr>
      <w:r>
        <w:rPr/>
        <w:t>Таблиця 1.Динаміка вмісту гормонів у крові свинок у період статевого дозрівання, М</w:t>
      </w:r>
      <w:r>
        <w:rPr>
          <w:u w:val="single"/>
        </w:rPr>
        <w:t>+</w:t>
      </w:r>
      <w:r>
        <w:rPr/>
        <w:t>m (n=10)</w:t>
      </w:r>
    </w:p>
    <w:tbl>
      <w:tblPr>
        <w:tblW w:w="0" w:type="auto"/>
        <w:jc w:val="left"/>
        <w:tblInd w:w="20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556"/>
        <w:gridCol w:w="682"/>
        <w:gridCol w:w="1273"/>
        <w:gridCol w:w="1276"/>
        <w:gridCol w:w="1278"/>
        <w:gridCol w:w="1132"/>
        <w:gridCol w:w="1278"/>
        <w:gridCol w:w="1277"/>
      </w:tblGrid>
      <w:tr>
        <w:trPr>
          <w:trHeight w:val="388" w:hRule="atLeast"/>
        </w:trPr>
        <w:tc>
          <w:tcPr>
            <w:tcW w:w="1556" w:type="dxa"/>
            <w:vMerge w:val="restart"/>
            <w:tcBorders>
              <w:left w:val="single" w:sz="4" w:space="0" w:color="000000"/>
              <w:bottom w:val="single" w:sz="4" w:space="0" w:color="000000"/>
            </w:tcBorders>
          </w:tcPr>
          <w:p>
            <w:pPr>
              <w:pStyle w:val="TableParagraph"/>
              <w:spacing w:line="242" w:lineRule="auto"/>
              <w:ind w:left="590" w:right="93" w:firstLine="100"/>
              <w:rPr>
                <w:sz w:val="24"/>
              </w:rPr>
            </w:pPr>
            <w:r>
              <w:rPr>
                <w:sz w:val="24"/>
              </w:rPr>
              <w:t>Показн ики</w:t>
            </w:r>
          </w:p>
        </w:tc>
        <w:tc>
          <w:tcPr>
            <w:tcW w:w="682" w:type="dxa"/>
            <w:vMerge w:val="restart"/>
            <w:tcBorders>
              <w:bottom w:val="single" w:sz="4" w:space="0" w:color="000000"/>
            </w:tcBorders>
          </w:tcPr>
          <w:p>
            <w:pPr>
              <w:pStyle w:val="TableParagraph"/>
              <w:spacing w:before="11"/>
              <w:rPr>
                <w:sz w:val="23"/>
              </w:rPr>
            </w:pPr>
          </w:p>
          <w:p>
            <w:pPr>
              <w:pStyle w:val="TableParagraph"/>
              <w:spacing w:line="237" w:lineRule="auto"/>
              <w:ind w:left="275" w:right="35" w:hanging="120"/>
              <w:rPr>
                <w:sz w:val="24"/>
              </w:rPr>
            </w:pPr>
            <w:r>
              <w:rPr>
                <w:sz w:val="24"/>
              </w:rPr>
              <w:t>руп и</w:t>
            </w:r>
          </w:p>
        </w:tc>
        <w:tc>
          <w:tcPr>
            <w:tcW w:w="2549" w:type="dxa"/>
            <w:gridSpan w:val="2"/>
            <w:tcBorders>
              <w:top w:val="single" w:sz="4" w:space="0" w:color="000000"/>
            </w:tcBorders>
          </w:tcPr>
          <w:p>
            <w:pPr>
              <w:pStyle w:val="TableParagraph"/>
              <w:spacing w:before="52"/>
              <w:ind w:left="1173"/>
              <w:rPr>
                <w:sz w:val="24"/>
              </w:rPr>
            </w:pPr>
            <w:r>
              <w:rPr>
                <w:sz w:val="24"/>
              </w:rPr>
              <w:t>1 охота</w:t>
            </w:r>
          </w:p>
        </w:tc>
        <w:tc>
          <w:tcPr>
            <w:tcW w:w="2410" w:type="dxa"/>
            <w:gridSpan w:val="2"/>
            <w:tcBorders>
              <w:top w:val="single" w:sz="4" w:space="0" w:color="000000"/>
            </w:tcBorders>
          </w:tcPr>
          <w:p>
            <w:pPr>
              <w:pStyle w:val="TableParagraph"/>
              <w:spacing w:before="52"/>
              <w:ind w:left="1107"/>
              <w:rPr>
                <w:sz w:val="24"/>
              </w:rPr>
            </w:pPr>
            <w:r>
              <w:rPr>
                <w:sz w:val="24"/>
              </w:rPr>
              <w:t>2 охота</w:t>
            </w:r>
          </w:p>
        </w:tc>
        <w:tc>
          <w:tcPr>
            <w:tcW w:w="2555" w:type="dxa"/>
            <w:gridSpan w:val="2"/>
            <w:tcBorders>
              <w:top w:val="single" w:sz="4" w:space="0" w:color="000000"/>
              <w:bottom w:val="single" w:sz="4" w:space="0" w:color="000000"/>
              <w:right w:val="single" w:sz="4" w:space="0" w:color="000000"/>
            </w:tcBorders>
          </w:tcPr>
          <w:p>
            <w:pPr>
              <w:pStyle w:val="TableParagraph"/>
              <w:spacing w:before="52"/>
              <w:ind w:left="1179"/>
              <w:rPr>
                <w:sz w:val="24"/>
              </w:rPr>
            </w:pPr>
            <w:r>
              <w:rPr>
                <w:sz w:val="24"/>
              </w:rPr>
              <w:t>3 охота</w:t>
            </w:r>
          </w:p>
        </w:tc>
      </w:tr>
      <w:tr>
        <w:trPr>
          <w:trHeight w:val="277" w:hRule="atLeast"/>
        </w:trPr>
        <w:tc>
          <w:tcPr>
            <w:tcW w:w="1556" w:type="dxa"/>
            <w:vMerge/>
            <w:tcBorders>
              <w:top w:val="nil"/>
              <w:left w:val="single" w:sz="4" w:space="0" w:color="000000"/>
              <w:bottom w:val="single" w:sz="4" w:space="0" w:color="000000"/>
            </w:tcBorders>
          </w:tcPr>
          <w:p>
            <w:pPr>
              <w:rPr>
                <w:sz w:val="2"/>
                <w:szCs w:val="2"/>
              </w:rPr>
            </w:pPr>
          </w:p>
        </w:tc>
        <w:tc>
          <w:tcPr>
            <w:tcW w:w="682" w:type="dxa"/>
            <w:vMerge/>
            <w:tcBorders>
              <w:top w:val="nil"/>
              <w:bottom w:val="single" w:sz="4" w:space="0" w:color="000000"/>
            </w:tcBorders>
          </w:tcPr>
          <w:p>
            <w:pPr>
              <w:rPr>
                <w:sz w:val="2"/>
                <w:szCs w:val="2"/>
              </w:rPr>
            </w:pPr>
          </w:p>
        </w:tc>
        <w:tc>
          <w:tcPr>
            <w:tcW w:w="7514" w:type="dxa"/>
            <w:gridSpan w:val="6"/>
            <w:tcBorders>
              <w:right w:val="single" w:sz="4" w:space="0" w:color="000000"/>
            </w:tcBorders>
          </w:tcPr>
          <w:p>
            <w:pPr>
              <w:pStyle w:val="TableParagraph"/>
              <w:spacing w:line="258" w:lineRule="exact"/>
              <w:ind w:left="2916"/>
              <w:rPr>
                <w:sz w:val="24"/>
              </w:rPr>
            </w:pPr>
            <w:r>
              <w:rPr>
                <w:sz w:val="24"/>
              </w:rPr>
              <w:t>Фази статевого циклу</w:t>
            </w:r>
          </w:p>
        </w:tc>
      </w:tr>
      <w:tr>
        <w:trPr>
          <w:trHeight w:val="316" w:hRule="atLeast"/>
        </w:trPr>
        <w:tc>
          <w:tcPr>
            <w:tcW w:w="1556" w:type="dxa"/>
            <w:vMerge/>
            <w:tcBorders>
              <w:top w:val="nil"/>
              <w:left w:val="single" w:sz="4" w:space="0" w:color="000000"/>
              <w:bottom w:val="single" w:sz="4" w:space="0" w:color="000000"/>
            </w:tcBorders>
          </w:tcPr>
          <w:p>
            <w:pPr>
              <w:rPr>
                <w:sz w:val="2"/>
                <w:szCs w:val="2"/>
              </w:rPr>
            </w:pPr>
          </w:p>
        </w:tc>
        <w:tc>
          <w:tcPr>
            <w:tcW w:w="682" w:type="dxa"/>
            <w:vMerge/>
            <w:tcBorders>
              <w:top w:val="nil"/>
              <w:bottom w:val="single" w:sz="4" w:space="0" w:color="000000"/>
            </w:tcBorders>
          </w:tcPr>
          <w:p>
            <w:pPr>
              <w:rPr>
                <w:sz w:val="2"/>
                <w:szCs w:val="2"/>
              </w:rPr>
            </w:pPr>
          </w:p>
        </w:tc>
        <w:tc>
          <w:tcPr>
            <w:tcW w:w="1273" w:type="dxa"/>
            <w:tcBorders>
              <w:bottom w:val="single" w:sz="4" w:space="0" w:color="000000"/>
            </w:tcBorders>
          </w:tcPr>
          <w:p>
            <w:pPr>
              <w:pStyle w:val="TableParagraph"/>
              <w:spacing w:line="248" w:lineRule="exact"/>
              <w:ind w:left="102"/>
              <w:rPr>
                <w:sz w:val="22"/>
              </w:rPr>
            </w:pPr>
            <w:r>
              <w:rPr>
                <w:sz w:val="22"/>
              </w:rPr>
              <w:t>лютеальна</w:t>
            </w:r>
          </w:p>
        </w:tc>
        <w:tc>
          <w:tcPr>
            <w:tcW w:w="1276" w:type="dxa"/>
            <w:tcBorders>
              <w:bottom w:val="single" w:sz="4" w:space="0" w:color="000000"/>
            </w:tcBorders>
          </w:tcPr>
          <w:p>
            <w:pPr>
              <w:pStyle w:val="TableParagraph"/>
              <w:spacing w:line="248" w:lineRule="exact"/>
              <w:ind w:left="107"/>
              <w:rPr>
                <w:sz w:val="22"/>
              </w:rPr>
            </w:pPr>
            <w:r>
              <w:rPr>
                <w:sz w:val="22"/>
              </w:rPr>
              <w:t>еструс</w:t>
            </w:r>
          </w:p>
        </w:tc>
        <w:tc>
          <w:tcPr>
            <w:tcW w:w="1278" w:type="dxa"/>
            <w:tcBorders>
              <w:bottom w:val="single" w:sz="4" w:space="0" w:color="000000"/>
            </w:tcBorders>
          </w:tcPr>
          <w:p>
            <w:pPr>
              <w:pStyle w:val="TableParagraph"/>
              <w:spacing w:line="248" w:lineRule="exact"/>
              <w:ind w:left="108"/>
              <w:rPr>
                <w:sz w:val="22"/>
              </w:rPr>
            </w:pPr>
            <w:r>
              <w:rPr>
                <w:sz w:val="22"/>
              </w:rPr>
              <w:t>лютеальна</w:t>
            </w:r>
          </w:p>
        </w:tc>
        <w:tc>
          <w:tcPr>
            <w:tcW w:w="1132" w:type="dxa"/>
            <w:tcBorders>
              <w:bottom w:val="single" w:sz="4" w:space="0" w:color="000000"/>
            </w:tcBorders>
          </w:tcPr>
          <w:p>
            <w:pPr>
              <w:pStyle w:val="TableParagraph"/>
              <w:spacing w:line="248" w:lineRule="exact"/>
              <w:ind w:left="107"/>
              <w:rPr>
                <w:sz w:val="22"/>
              </w:rPr>
            </w:pPr>
            <w:r>
              <w:rPr>
                <w:sz w:val="22"/>
              </w:rPr>
              <w:t>еструс</w:t>
            </w:r>
          </w:p>
        </w:tc>
        <w:tc>
          <w:tcPr>
            <w:tcW w:w="1278" w:type="dxa"/>
            <w:tcBorders>
              <w:bottom w:val="single" w:sz="4" w:space="0" w:color="000000"/>
            </w:tcBorders>
          </w:tcPr>
          <w:p>
            <w:pPr>
              <w:pStyle w:val="TableParagraph"/>
              <w:spacing w:line="248" w:lineRule="exact"/>
              <w:ind w:left="108"/>
              <w:rPr>
                <w:sz w:val="22"/>
              </w:rPr>
            </w:pPr>
            <w:r>
              <w:rPr>
                <w:sz w:val="22"/>
              </w:rPr>
              <w:t>лютеальна</w:t>
            </w:r>
          </w:p>
        </w:tc>
        <w:tc>
          <w:tcPr>
            <w:tcW w:w="1277" w:type="dxa"/>
            <w:tcBorders>
              <w:bottom w:val="single" w:sz="4" w:space="0" w:color="000000"/>
              <w:right w:val="single" w:sz="4" w:space="0" w:color="000000"/>
            </w:tcBorders>
          </w:tcPr>
          <w:p>
            <w:pPr>
              <w:pStyle w:val="TableParagraph"/>
              <w:spacing w:line="248" w:lineRule="exact"/>
              <w:ind w:left="108"/>
              <w:rPr>
                <w:sz w:val="22"/>
              </w:rPr>
            </w:pPr>
            <w:r>
              <w:rPr>
                <w:sz w:val="22"/>
              </w:rPr>
              <w:t>еструс</w:t>
            </w:r>
          </w:p>
        </w:tc>
      </w:tr>
      <w:tr>
        <w:trPr>
          <w:trHeight w:val="614" w:hRule="atLeast"/>
        </w:trPr>
        <w:tc>
          <w:tcPr>
            <w:tcW w:w="1556"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9"/>
              <w:rPr>
                <w:sz w:val="27"/>
              </w:rPr>
            </w:pPr>
          </w:p>
          <w:p>
            <w:pPr>
              <w:pStyle w:val="TableParagraph"/>
              <w:spacing w:line="237" w:lineRule="auto"/>
              <w:ind w:left="369" w:right="193" w:hanging="92"/>
              <w:rPr>
                <w:sz w:val="24"/>
              </w:rPr>
            </w:pPr>
            <w:r>
              <w:rPr>
                <w:sz w:val="24"/>
              </w:rPr>
              <w:t>Тироксин, нмоль/л</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71" w:lineRule="exact"/>
              <w:ind w:right="32"/>
              <w:jc w:val="center"/>
              <w:rPr>
                <w:sz w:val="24"/>
              </w:rPr>
            </w:pPr>
            <w:r>
              <w:rPr>
                <w:sz w:val="24"/>
              </w:rPr>
              <w:t>1</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28"/>
              <w:ind w:left="239"/>
              <w:rPr>
                <w:sz w:val="24"/>
              </w:rPr>
            </w:pPr>
            <w:r>
              <w:rPr>
                <w:sz w:val="24"/>
              </w:rPr>
              <w:t>63,01 </w:t>
            </w:r>
            <w:r>
              <w:rPr>
                <w:sz w:val="24"/>
                <w:u w:val="single"/>
              </w:rPr>
              <w:t>+</w:t>
            </w:r>
          </w:p>
          <w:p>
            <w:pPr>
              <w:pStyle w:val="TableParagraph"/>
              <w:spacing w:line="275" w:lineRule="exact"/>
              <w:ind w:left="364"/>
              <w:rPr>
                <w:sz w:val="24"/>
              </w:rPr>
            </w:pPr>
            <w:r>
              <w:rPr>
                <w:sz w:val="24"/>
              </w:rPr>
              <w:t>16,73</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28"/>
              <w:ind w:left="277"/>
              <w:rPr>
                <w:sz w:val="24"/>
              </w:rPr>
            </w:pPr>
            <w:r>
              <w:rPr>
                <w:sz w:val="24"/>
              </w:rPr>
              <w:t>68,19</w:t>
            </w:r>
            <w:r>
              <w:rPr>
                <w:sz w:val="24"/>
                <w:u w:val="single"/>
              </w:rPr>
              <w:t>+</w:t>
            </w:r>
          </w:p>
          <w:p>
            <w:pPr>
              <w:pStyle w:val="TableParagraph"/>
              <w:spacing w:line="275" w:lineRule="exact"/>
              <w:ind w:left="344"/>
              <w:rPr>
                <w:sz w:val="24"/>
              </w:rPr>
            </w:pPr>
            <w:r>
              <w:rPr>
                <w:sz w:val="24"/>
              </w:rPr>
              <w:t>13,83</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28"/>
              <w:ind w:left="278"/>
              <w:rPr>
                <w:sz w:val="24"/>
              </w:rPr>
            </w:pPr>
            <w:r>
              <w:rPr>
                <w:sz w:val="24"/>
              </w:rPr>
              <w:t>43,98</w:t>
            </w:r>
            <w:r>
              <w:rPr>
                <w:sz w:val="24"/>
                <w:u w:val="single"/>
              </w:rPr>
              <w:t>+</w:t>
            </w:r>
          </w:p>
          <w:p>
            <w:pPr>
              <w:pStyle w:val="TableParagraph"/>
              <w:spacing w:line="275" w:lineRule="exact"/>
              <w:ind w:left="408"/>
              <w:rPr>
                <w:sz w:val="24"/>
              </w:rPr>
            </w:pPr>
            <w:r>
              <w:rPr>
                <w:sz w:val="24"/>
              </w:rPr>
              <w:t>7,24</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28"/>
              <w:ind w:left="205"/>
              <w:rPr>
                <w:sz w:val="24"/>
              </w:rPr>
            </w:pPr>
            <w:r>
              <w:rPr>
                <w:sz w:val="24"/>
              </w:rPr>
              <w:t>51,99</w:t>
            </w:r>
            <w:r>
              <w:rPr>
                <w:sz w:val="24"/>
                <w:u w:val="single"/>
              </w:rPr>
              <w:t>+</w:t>
            </w:r>
          </w:p>
          <w:p>
            <w:pPr>
              <w:pStyle w:val="TableParagraph"/>
              <w:spacing w:line="275" w:lineRule="exact"/>
              <w:ind w:left="335"/>
              <w:rPr>
                <w:sz w:val="24"/>
              </w:rPr>
            </w:pPr>
            <w:r>
              <w:rPr>
                <w:sz w:val="24"/>
              </w:rPr>
              <w:t>8,29</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28"/>
              <w:ind w:left="279"/>
              <w:rPr>
                <w:sz w:val="24"/>
              </w:rPr>
            </w:pPr>
            <w:r>
              <w:rPr>
                <w:sz w:val="24"/>
              </w:rPr>
              <w:t>44,01</w:t>
            </w:r>
            <w:r>
              <w:rPr>
                <w:sz w:val="24"/>
                <w:u w:val="single"/>
              </w:rPr>
              <w:t>+</w:t>
            </w:r>
          </w:p>
          <w:p>
            <w:pPr>
              <w:pStyle w:val="TableParagraph"/>
              <w:spacing w:line="275" w:lineRule="exact"/>
              <w:ind w:left="408"/>
              <w:rPr>
                <w:sz w:val="24"/>
              </w:rPr>
            </w:pPr>
            <w:r>
              <w:rPr>
                <w:sz w:val="24"/>
              </w:rPr>
              <w:t>7,28</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28"/>
              <w:ind w:left="278"/>
              <w:rPr>
                <w:sz w:val="24"/>
              </w:rPr>
            </w:pPr>
            <w:r>
              <w:rPr>
                <w:sz w:val="24"/>
              </w:rPr>
              <w:t>64,12</w:t>
            </w:r>
            <w:r>
              <w:rPr>
                <w:sz w:val="24"/>
                <w:u w:val="single"/>
              </w:rPr>
              <w:t>+</w:t>
            </w:r>
          </w:p>
          <w:p>
            <w:pPr>
              <w:pStyle w:val="TableParagraph"/>
              <w:spacing w:line="275" w:lineRule="exact"/>
              <w:ind w:left="408"/>
              <w:rPr>
                <w:sz w:val="24"/>
              </w:rPr>
            </w:pPr>
            <w:r>
              <w:rPr>
                <w:sz w:val="24"/>
              </w:rPr>
              <w:t>8,31</w:t>
            </w:r>
          </w:p>
        </w:tc>
      </w:tr>
      <w:tr>
        <w:trPr>
          <w:trHeight w:val="570" w:hRule="atLeast"/>
        </w:trPr>
        <w:tc>
          <w:tcPr>
            <w:tcW w:w="1556" w:type="dxa"/>
            <w:vMerge/>
            <w:tcBorders>
              <w:top w:val="nil"/>
              <w:left w:val="single" w:sz="4" w:space="0" w:color="000000"/>
              <w:bottom w:val="single" w:sz="4" w:space="0" w:color="000000"/>
              <w:right w:val="single" w:sz="4" w:space="0" w:color="000000"/>
            </w:tcBorders>
          </w:tcPr>
          <w:p>
            <w:pPr>
              <w:rPr>
                <w:sz w:val="2"/>
                <w:szCs w:val="2"/>
              </w:rPr>
            </w:pP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4"/>
              <w:ind w:right="32"/>
              <w:jc w:val="center"/>
              <w:rPr>
                <w:sz w:val="24"/>
              </w:rPr>
            </w:pPr>
            <w:r>
              <w:rPr>
                <w:sz w:val="24"/>
              </w:rPr>
              <w:t>2</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9"/>
              <w:ind w:left="273"/>
              <w:rPr>
                <w:sz w:val="24"/>
              </w:rPr>
            </w:pPr>
            <w:r>
              <w:rPr>
                <w:sz w:val="24"/>
              </w:rPr>
              <w:t>50,21</w:t>
            </w:r>
            <w:r>
              <w:rPr>
                <w:sz w:val="24"/>
                <w:u w:val="single"/>
              </w:rPr>
              <w:t>+</w:t>
            </w:r>
          </w:p>
          <w:p>
            <w:pPr>
              <w:pStyle w:val="TableParagraph"/>
              <w:spacing w:line="266" w:lineRule="exact"/>
              <w:ind w:left="402"/>
              <w:rPr>
                <w:sz w:val="24"/>
              </w:rPr>
            </w:pPr>
            <w:r>
              <w:rPr>
                <w:sz w:val="24"/>
              </w:rPr>
              <w:t>7,59</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9"/>
              <w:ind w:left="277"/>
              <w:rPr>
                <w:sz w:val="24"/>
              </w:rPr>
            </w:pPr>
            <w:r>
              <w:rPr>
                <w:sz w:val="24"/>
              </w:rPr>
              <w:t>60,13</w:t>
            </w:r>
            <w:r>
              <w:rPr>
                <w:sz w:val="24"/>
                <w:u w:val="single"/>
              </w:rPr>
              <w:t>+</w:t>
            </w:r>
          </w:p>
          <w:p>
            <w:pPr>
              <w:pStyle w:val="TableParagraph"/>
              <w:spacing w:line="266" w:lineRule="exact"/>
              <w:ind w:left="407"/>
              <w:rPr>
                <w:sz w:val="24"/>
              </w:rPr>
            </w:pPr>
            <w:r>
              <w:rPr>
                <w:sz w:val="24"/>
              </w:rPr>
              <w:t>8,13</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9"/>
              <w:ind w:left="278"/>
              <w:rPr>
                <w:sz w:val="24"/>
              </w:rPr>
            </w:pPr>
            <w:r>
              <w:rPr>
                <w:sz w:val="24"/>
              </w:rPr>
              <w:t>50,68</w:t>
            </w:r>
            <w:r>
              <w:rPr>
                <w:sz w:val="24"/>
                <w:u w:val="single"/>
              </w:rPr>
              <w:t>+</w:t>
            </w:r>
          </w:p>
          <w:p>
            <w:pPr>
              <w:pStyle w:val="TableParagraph"/>
              <w:spacing w:line="266" w:lineRule="exact"/>
              <w:ind w:left="408"/>
              <w:rPr>
                <w:sz w:val="24"/>
              </w:rPr>
            </w:pPr>
            <w:r>
              <w:rPr>
                <w:sz w:val="24"/>
              </w:rPr>
              <w:t>6,29</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9"/>
              <w:ind w:left="205"/>
              <w:rPr>
                <w:sz w:val="24"/>
              </w:rPr>
            </w:pPr>
            <w:r>
              <w:rPr>
                <w:sz w:val="24"/>
              </w:rPr>
              <w:t>55,30</w:t>
            </w:r>
            <w:r>
              <w:rPr>
                <w:sz w:val="24"/>
                <w:u w:val="single"/>
              </w:rPr>
              <w:t>+</w:t>
            </w:r>
          </w:p>
          <w:p>
            <w:pPr>
              <w:pStyle w:val="TableParagraph"/>
              <w:spacing w:line="266" w:lineRule="exact"/>
              <w:ind w:left="335"/>
              <w:rPr>
                <w:sz w:val="24"/>
              </w:rPr>
            </w:pPr>
            <w:r>
              <w:rPr>
                <w:sz w:val="24"/>
              </w:rPr>
              <w:t>6,94</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9"/>
              <w:ind w:left="279"/>
              <w:rPr>
                <w:sz w:val="24"/>
              </w:rPr>
            </w:pPr>
            <w:r>
              <w:rPr>
                <w:sz w:val="24"/>
              </w:rPr>
              <w:t>47,14</w:t>
            </w:r>
            <w:r>
              <w:rPr>
                <w:sz w:val="24"/>
                <w:u w:val="single"/>
              </w:rPr>
              <w:t>+</w:t>
            </w:r>
          </w:p>
          <w:p>
            <w:pPr>
              <w:pStyle w:val="TableParagraph"/>
              <w:spacing w:line="266" w:lineRule="exact"/>
              <w:ind w:left="408"/>
              <w:rPr>
                <w:sz w:val="24"/>
              </w:rPr>
            </w:pPr>
            <w:r>
              <w:rPr>
                <w:sz w:val="24"/>
              </w:rPr>
              <w:t>4,87</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9"/>
              <w:ind w:left="278"/>
              <w:rPr>
                <w:sz w:val="24"/>
              </w:rPr>
            </w:pPr>
            <w:r>
              <w:rPr>
                <w:sz w:val="24"/>
              </w:rPr>
              <w:t>56,33</w:t>
            </w:r>
            <w:r>
              <w:rPr>
                <w:sz w:val="24"/>
                <w:u w:val="single"/>
              </w:rPr>
              <w:t>+</w:t>
            </w:r>
          </w:p>
          <w:p>
            <w:pPr>
              <w:pStyle w:val="TableParagraph"/>
              <w:spacing w:line="266" w:lineRule="exact"/>
              <w:ind w:left="408"/>
              <w:rPr>
                <w:sz w:val="24"/>
              </w:rPr>
            </w:pPr>
            <w:r>
              <w:rPr>
                <w:sz w:val="24"/>
              </w:rPr>
              <w:t>7,50</w:t>
            </w:r>
          </w:p>
        </w:tc>
      </w:tr>
      <w:tr>
        <w:trPr>
          <w:trHeight w:val="551" w:hRule="atLeast"/>
        </w:trPr>
        <w:tc>
          <w:tcPr>
            <w:tcW w:w="1556"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4"/>
              <w:rPr>
                <w:sz w:val="24"/>
              </w:rPr>
            </w:pPr>
          </w:p>
          <w:p>
            <w:pPr>
              <w:pStyle w:val="TableParagraph"/>
              <w:spacing w:line="237" w:lineRule="auto"/>
              <w:ind w:left="148" w:right="101" w:firstLine="38"/>
              <w:rPr>
                <w:sz w:val="24"/>
              </w:rPr>
            </w:pPr>
            <w:r>
              <w:rPr>
                <w:sz w:val="24"/>
              </w:rPr>
              <w:t>Трийодтиро нін, нмоль/л</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71" w:lineRule="exact"/>
              <w:ind w:left="71"/>
              <w:jc w:val="center"/>
              <w:rPr>
                <w:sz w:val="24"/>
              </w:rPr>
            </w:pPr>
            <w:r>
              <w:rPr>
                <w:sz w:val="24"/>
              </w:rPr>
              <w:t>1</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25"/>
              <w:rPr>
                <w:sz w:val="24"/>
              </w:rPr>
            </w:pPr>
            <w:r>
              <w:rPr>
                <w:sz w:val="24"/>
              </w:rPr>
              <w:t>2,130</w:t>
            </w:r>
            <w:r>
              <w:rPr>
                <w:sz w:val="24"/>
                <w:u w:val="single"/>
              </w:rPr>
              <w:t>+</w:t>
            </w:r>
          </w:p>
          <w:p>
            <w:pPr>
              <w:pStyle w:val="TableParagraph"/>
              <w:spacing w:line="262" w:lineRule="exact"/>
              <w:ind w:left="393"/>
              <w:rPr>
                <w:sz w:val="24"/>
              </w:rPr>
            </w:pPr>
            <w:r>
              <w:rPr>
                <w:sz w:val="24"/>
              </w:rPr>
              <w:t>0,502</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30"/>
              <w:rPr>
                <w:sz w:val="24"/>
              </w:rPr>
            </w:pPr>
            <w:r>
              <w:rPr>
                <w:sz w:val="24"/>
              </w:rPr>
              <w:t>2,015</w:t>
            </w:r>
            <w:r>
              <w:rPr>
                <w:sz w:val="24"/>
                <w:u w:val="single"/>
              </w:rPr>
              <w:t>+</w:t>
            </w:r>
          </w:p>
          <w:p>
            <w:pPr>
              <w:pStyle w:val="TableParagraph"/>
              <w:spacing w:line="262" w:lineRule="exact"/>
              <w:ind w:left="397"/>
              <w:rPr>
                <w:sz w:val="24"/>
              </w:rPr>
            </w:pPr>
            <w:r>
              <w:rPr>
                <w:sz w:val="24"/>
              </w:rPr>
              <w:t>0,466</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31"/>
              <w:rPr>
                <w:sz w:val="24"/>
              </w:rPr>
            </w:pPr>
            <w:r>
              <w:rPr>
                <w:sz w:val="24"/>
              </w:rPr>
              <w:t>1,848</w:t>
            </w:r>
            <w:r>
              <w:rPr>
                <w:sz w:val="24"/>
                <w:u w:val="single"/>
              </w:rPr>
              <w:t>+</w:t>
            </w:r>
          </w:p>
          <w:p>
            <w:pPr>
              <w:pStyle w:val="TableParagraph"/>
              <w:spacing w:line="262" w:lineRule="exact"/>
              <w:ind w:left="398"/>
              <w:rPr>
                <w:sz w:val="24"/>
              </w:rPr>
            </w:pPr>
            <w:r>
              <w:rPr>
                <w:sz w:val="24"/>
              </w:rPr>
              <w:t>0,209</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258"/>
              <w:rPr>
                <w:sz w:val="24"/>
              </w:rPr>
            </w:pPr>
            <w:r>
              <w:rPr>
                <w:sz w:val="24"/>
              </w:rPr>
              <w:t>1,678</w:t>
            </w:r>
            <w:r>
              <w:rPr>
                <w:sz w:val="24"/>
                <w:u w:val="single"/>
              </w:rPr>
              <w:t>+</w:t>
            </w:r>
          </w:p>
          <w:p>
            <w:pPr>
              <w:pStyle w:val="TableParagraph"/>
              <w:spacing w:line="262" w:lineRule="exact"/>
              <w:ind w:left="325"/>
              <w:rPr>
                <w:sz w:val="24"/>
              </w:rPr>
            </w:pPr>
            <w:r>
              <w:rPr>
                <w:sz w:val="24"/>
              </w:rPr>
              <w:t>0,222</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89"/>
              <w:rPr>
                <w:sz w:val="24"/>
              </w:rPr>
            </w:pPr>
            <w:r>
              <w:rPr>
                <w:sz w:val="24"/>
              </w:rPr>
              <w:t>1,93</w:t>
            </w:r>
            <w:r>
              <w:rPr>
                <w:sz w:val="24"/>
                <w:u w:val="single"/>
              </w:rPr>
              <w:t>+</w:t>
            </w:r>
          </w:p>
          <w:p>
            <w:pPr>
              <w:pStyle w:val="TableParagraph"/>
              <w:spacing w:line="262" w:lineRule="exact"/>
              <w:ind w:left="399"/>
              <w:rPr>
                <w:sz w:val="24"/>
              </w:rPr>
            </w:pPr>
            <w:r>
              <w:rPr>
                <w:sz w:val="24"/>
              </w:rPr>
              <w:t>0,275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88"/>
              <w:rPr>
                <w:sz w:val="24"/>
              </w:rPr>
            </w:pPr>
            <w:r>
              <w:rPr>
                <w:sz w:val="24"/>
              </w:rPr>
              <w:t>1,37</w:t>
            </w:r>
            <w:r>
              <w:rPr>
                <w:sz w:val="24"/>
                <w:u w:val="single"/>
              </w:rPr>
              <w:t>+</w:t>
            </w:r>
          </w:p>
          <w:p>
            <w:pPr>
              <w:pStyle w:val="TableParagraph"/>
              <w:spacing w:line="262" w:lineRule="exact"/>
              <w:ind w:left="398"/>
              <w:rPr>
                <w:sz w:val="24"/>
              </w:rPr>
            </w:pPr>
            <w:r>
              <w:rPr>
                <w:sz w:val="24"/>
              </w:rPr>
              <w:t>0,129</w:t>
            </w:r>
          </w:p>
        </w:tc>
      </w:tr>
      <w:tr>
        <w:trPr>
          <w:trHeight w:val="556" w:hRule="atLeast"/>
        </w:trPr>
        <w:tc>
          <w:tcPr>
            <w:tcW w:w="1556" w:type="dxa"/>
            <w:vMerge/>
            <w:tcBorders>
              <w:top w:val="nil"/>
              <w:left w:val="single" w:sz="4" w:space="0" w:color="000000"/>
              <w:bottom w:val="single" w:sz="4" w:space="0" w:color="000000"/>
              <w:right w:val="single" w:sz="4" w:space="0" w:color="000000"/>
            </w:tcBorders>
          </w:tcPr>
          <w:p>
            <w:pPr>
              <w:rPr>
                <w:sz w:val="2"/>
                <w:szCs w:val="2"/>
              </w:rPr>
            </w:pP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left="71"/>
              <w:jc w:val="center"/>
              <w:rPr>
                <w:sz w:val="24"/>
              </w:rPr>
            </w:pPr>
            <w:r>
              <w:rPr>
                <w:sz w:val="24"/>
              </w:rPr>
              <w:t>2</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3"/>
              <w:rPr>
                <w:sz w:val="24"/>
              </w:rPr>
            </w:pPr>
            <w:r>
              <w:rPr>
                <w:sz w:val="24"/>
              </w:rPr>
              <w:t>1,94</w:t>
            </w:r>
            <w:r>
              <w:rPr>
                <w:sz w:val="24"/>
                <w:u w:val="single"/>
              </w:rPr>
              <w:t>+</w:t>
            </w:r>
          </w:p>
          <w:p>
            <w:pPr>
              <w:pStyle w:val="TableParagraph"/>
              <w:spacing w:line="262" w:lineRule="exact"/>
              <w:ind w:left="393"/>
              <w:rPr>
                <w:sz w:val="24"/>
              </w:rPr>
            </w:pPr>
            <w:r>
              <w:rPr>
                <w:sz w:val="24"/>
              </w:rPr>
              <w:t>0,392</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7"/>
              <w:rPr>
                <w:sz w:val="24"/>
              </w:rPr>
            </w:pPr>
            <w:r>
              <w:rPr>
                <w:sz w:val="24"/>
              </w:rPr>
              <w:t>1,62</w:t>
            </w:r>
            <w:r>
              <w:rPr>
                <w:sz w:val="24"/>
                <w:u w:val="single"/>
              </w:rPr>
              <w:t>+</w:t>
            </w:r>
          </w:p>
          <w:p>
            <w:pPr>
              <w:pStyle w:val="TableParagraph"/>
              <w:spacing w:line="262" w:lineRule="exact"/>
              <w:ind w:left="397"/>
              <w:rPr>
                <w:sz w:val="24"/>
              </w:rPr>
            </w:pPr>
            <w:r>
              <w:rPr>
                <w:sz w:val="24"/>
              </w:rPr>
              <w:t>0,365</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9"/>
              <w:rPr>
                <w:sz w:val="24"/>
              </w:rPr>
            </w:pPr>
            <w:r>
              <w:rPr>
                <w:sz w:val="24"/>
              </w:rPr>
              <w:t>2,03</w:t>
            </w:r>
            <w:r>
              <w:rPr>
                <w:sz w:val="24"/>
                <w:u w:val="single"/>
              </w:rPr>
              <w:t>+</w:t>
            </w:r>
          </w:p>
          <w:p>
            <w:pPr>
              <w:pStyle w:val="TableParagraph"/>
              <w:spacing w:line="262" w:lineRule="exact"/>
              <w:ind w:left="398"/>
              <w:rPr>
                <w:sz w:val="24"/>
              </w:rPr>
            </w:pPr>
            <w:r>
              <w:rPr>
                <w:sz w:val="24"/>
              </w:rPr>
              <w:t>0,338</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16"/>
              <w:rPr>
                <w:sz w:val="24"/>
              </w:rPr>
            </w:pPr>
            <w:r>
              <w:rPr>
                <w:sz w:val="24"/>
              </w:rPr>
              <w:t>1,73</w:t>
            </w:r>
            <w:r>
              <w:rPr>
                <w:sz w:val="24"/>
                <w:u w:val="single"/>
              </w:rPr>
              <w:t>+</w:t>
            </w:r>
          </w:p>
          <w:p>
            <w:pPr>
              <w:pStyle w:val="TableParagraph"/>
              <w:spacing w:line="262" w:lineRule="exact"/>
              <w:ind w:left="325"/>
              <w:rPr>
                <w:sz w:val="24"/>
              </w:rPr>
            </w:pPr>
            <w:r>
              <w:rPr>
                <w:sz w:val="24"/>
              </w:rPr>
              <w:t>0,227</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9"/>
              <w:rPr>
                <w:sz w:val="24"/>
              </w:rPr>
            </w:pPr>
            <w:r>
              <w:rPr>
                <w:sz w:val="24"/>
              </w:rPr>
              <w:t>2,28</w:t>
            </w:r>
            <w:r>
              <w:rPr>
                <w:sz w:val="24"/>
                <w:u w:val="single"/>
              </w:rPr>
              <w:t>+</w:t>
            </w:r>
          </w:p>
          <w:p>
            <w:pPr>
              <w:pStyle w:val="TableParagraph"/>
              <w:spacing w:line="262" w:lineRule="exact"/>
              <w:ind w:left="399"/>
              <w:rPr>
                <w:sz w:val="24"/>
              </w:rPr>
            </w:pPr>
            <w:r>
              <w:rPr>
                <w:sz w:val="24"/>
              </w:rPr>
              <w:t>0,297</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8"/>
              <w:rPr>
                <w:sz w:val="24"/>
              </w:rPr>
            </w:pPr>
            <w:r>
              <w:rPr>
                <w:sz w:val="24"/>
              </w:rPr>
              <w:t>1,82</w:t>
            </w:r>
            <w:r>
              <w:rPr>
                <w:sz w:val="24"/>
                <w:u w:val="single"/>
              </w:rPr>
              <w:t>+</w:t>
            </w:r>
          </w:p>
          <w:p>
            <w:pPr>
              <w:pStyle w:val="TableParagraph"/>
              <w:spacing w:line="262" w:lineRule="exact"/>
              <w:ind w:left="398"/>
              <w:rPr>
                <w:sz w:val="24"/>
              </w:rPr>
            </w:pPr>
            <w:r>
              <w:rPr>
                <w:sz w:val="24"/>
              </w:rPr>
              <w:t>0,301</w:t>
            </w:r>
          </w:p>
        </w:tc>
      </w:tr>
      <w:tr>
        <w:trPr>
          <w:trHeight w:val="551" w:hRule="atLeast"/>
        </w:trPr>
        <w:tc>
          <w:tcPr>
            <w:tcW w:w="1556"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4"/>
              <w:rPr>
                <w:sz w:val="24"/>
              </w:rPr>
            </w:pPr>
          </w:p>
          <w:p>
            <w:pPr>
              <w:pStyle w:val="TableParagraph"/>
              <w:spacing w:line="237" w:lineRule="auto"/>
              <w:ind w:left="244" w:right="129" w:hanging="24"/>
              <w:rPr>
                <w:sz w:val="24"/>
              </w:rPr>
            </w:pPr>
            <w:r>
              <w:rPr>
                <w:sz w:val="24"/>
              </w:rPr>
              <w:t>Прогестеро н, нмоль/л</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71" w:lineRule="exact"/>
              <w:ind w:left="71"/>
              <w:jc w:val="center"/>
              <w:rPr>
                <w:sz w:val="24"/>
              </w:rPr>
            </w:pPr>
            <w:r>
              <w:rPr>
                <w:sz w:val="24"/>
              </w:rPr>
              <w:t>1</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83"/>
              <w:rPr>
                <w:sz w:val="24"/>
              </w:rPr>
            </w:pPr>
            <w:r>
              <w:rPr>
                <w:sz w:val="24"/>
              </w:rPr>
              <w:t>5,22</w:t>
            </w:r>
            <w:r>
              <w:rPr>
                <w:sz w:val="24"/>
                <w:u w:val="single"/>
              </w:rPr>
              <w:t>+</w:t>
            </w:r>
          </w:p>
          <w:p>
            <w:pPr>
              <w:pStyle w:val="TableParagraph"/>
              <w:spacing w:line="262" w:lineRule="exact"/>
              <w:ind w:left="393"/>
              <w:rPr>
                <w:sz w:val="24"/>
              </w:rPr>
            </w:pPr>
            <w:r>
              <w:rPr>
                <w:sz w:val="24"/>
              </w:rPr>
              <w:t>1,052</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87"/>
              <w:rPr>
                <w:sz w:val="24"/>
              </w:rPr>
            </w:pPr>
            <w:r>
              <w:rPr>
                <w:sz w:val="24"/>
              </w:rPr>
              <w:t>4,10</w:t>
            </w:r>
            <w:r>
              <w:rPr>
                <w:sz w:val="24"/>
                <w:u w:val="single"/>
              </w:rPr>
              <w:t>+</w:t>
            </w:r>
          </w:p>
          <w:p>
            <w:pPr>
              <w:pStyle w:val="TableParagraph"/>
              <w:spacing w:line="262" w:lineRule="exact"/>
              <w:ind w:left="397"/>
              <w:rPr>
                <w:sz w:val="24"/>
              </w:rPr>
            </w:pPr>
            <w:r>
              <w:rPr>
                <w:sz w:val="24"/>
              </w:rPr>
              <w:t>0,973</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31"/>
              <w:rPr>
                <w:sz w:val="24"/>
              </w:rPr>
            </w:pPr>
            <w:r>
              <w:rPr>
                <w:sz w:val="24"/>
              </w:rPr>
              <w:t>10,18</w:t>
            </w:r>
            <w:r>
              <w:rPr>
                <w:sz w:val="24"/>
                <w:u w:val="single"/>
              </w:rPr>
              <w:t>+</w:t>
            </w:r>
          </w:p>
          <w:p>
            <w:pPr>
              <w:pStyle w:val="TableParagraph"/>
              <w:spacing w:line="262" w:lineRule="exact"/>
              <w:ind w:left="398"/>
              <w:rPr>
                <w:sz w:val="24"/>
              </w:rPr>
            </w:pPr>
            <w:r>
              <w:rPr>
                <w:sz w:val="24"/>
              </w:rPr>
              <w:t>1,263</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16"/>
              <w:rPr>
                <w:sz w:val="24"/>
              </w:rPr>
            </w:pPr>
            <w:r>
              <w:rPr>
                <w:sz w:val="24"/>
              </w:rPr>
              <w:t>6,53</w:t>
            </w:r>
            <w:r>
              <w:rPr>
                <w:sz w:val="24"/>
                <w:u w:val="single"/>
              </w:rPr>
              <w:t>+</w:t>
            </w:r>
          </w:p>
          <w:p>
            <w:pPr>
              <w:pStyle w:val="TableParagraph"/>
              <w:spacing w:line="262" w:lineRule="exact"/>
              <w:ind w:left="325"/>
              <w:rPr>
                <w:sz w:val="24"/>
              </w:rPr>
            </w:pPr>
            <w:r>
              <w:rPr>
                <w:sz w:val="24"/>
              </w:rPr>
              <w:t>1,321</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32"/>
              <w:rPr>
                <w:sz w:val="24"/>
              </w:rPr>
            </w:pPr>
            <w:r>
              <w:rPr>
                <w:sz w:val="24"/>
              </w:rPr>
              <w:t>34,90</w:t>
            </w:r>
            <w:r>
              <w:rPr>
                <w:sz w:val="24"/>
                <w:u w:val="single"/>
              </w:rPr>
              <w:t>+</w:t>
            </w:r>
          </w:p>
          <w:p>
            <w:pPr>
              <w:pStyle w:val="TableParagraph"/>
              <w:spacing w:line="262" w:lineRule="exact"/>
              <w:ind w:left="399"/>
              <w:rPr>
                <w:sz w:val="24"/>
              </w:rPr>
            </w:pPr>
            <w:r>
              <w:rPr>
                <w:sz w:val="24"/>
              </w:rPr>
              <w:t>4,412</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31"/>
              <w:rPr>
                <w:sz w:val="24"/>
              </w:rPr>
            </w:pPr>
            <w:r>
              <w:rPr>
                <w:sz w:val="24"/>
              </w:rPr>
              <w:t>12,41</w:t>
            </w:r>
            <w:r>
              <w:rPr>
                <w:sz w:val="24"/>
                <w:u w:val="single"/>
              </w:rPr>
              <w:t>+</w:t>
            </w:r>
          </w:p>
          <w:p>
            <w:pPr>
              <w:pStyle w:val="TableParagraph"/>
              <w:spacing w:line="262" w:lineRule="exact"/>
              <w:ind w:left="398"/>
              <w:rPr>
                <w:sz w:val="24"/>
              </w:rPr>
            </w:pPr>
            <w:r>
              <w:rPr>
                <w:sz w:val="24"/>
              </w:rPr>
              <w:t>1,779</w:t>
            </w:r>
          </w:p>
        </w:tc>
      </w:tr>
      <w:tr>
        <w:trPr>
          <w:trHeight w:val="556" w:hRule="atLeast"/>
        </w:trPr>
        <w:tc>
          <w:tcPr>
            <w:tcW w:w="1556" w:type="dxa"/>
            <w:vMerge/>
            <w:tcBorders>
              <w:top w:val="nil"/>
              <w:left w:val="single" w:sz="4" w:space="0" w:color="000000"/>
              <w:bottom w:val="single" w:sz="4" w:space="0" w:color="000000"/>
              <w:right w:val="single" w:sz="4" w:space="0" w:color="000000"/>
            </w:tcBorders>
          </w:tcPr>
          <w:p>
            <w:pPr>
              <w:rPr>
                <w:sz w:val="2"/>
                <w:szCs w:val="2"/>
              </w:rPr>
            </w:pP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left="71"/>
              <w:jc w:val="center"/>
              <w:rPr>
                <w:sz w:val="24"/>
              </w:rPr>
            </w:pPr>
            <w:r>
              <w:rPr>
                <w:sz w:val="24"/>
              </w:rPr>
              <w:t>2</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3"/>
              <w:rPr>
                <w:sz w:val="24"/>
              </w:rPr>
            </w:pPr>
            <w:r>
              <w:rPr>
                <w:sz w:val="24"/>
              </w:rPr>
              <w:t>6,11</w:t>
            </w:r>
            <w:r>
              <w:rPr>
                <w:sz w:val="24"/>
                <w:u w:val="single"/>
              </w:rPr>
              <w:t>+</w:t>
            </w:r>
          </w:p>
          <w:p>
            <w:pPr>
              <w:pStyle w:val="TableParagraph"/>
              <w:spacing w:line="262" w:lineRule="exact"/>
              <w:ind w:left="393"/>
              <w:rPr>
                <w:sz w:val="24"/>
              </w:rPr>
            </w:pPr>
            <w:r>
              <w:rPr>
                <w:sz w:val="24"/>
              </w:rPr>
              <w:t>1,156</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7"/>
              <w:rPr>
                <w:sz w:val="24"/>
              </w:rPr>
            </w:pPr>
            <w:r>
              <w:rPr>
                <w:sz w:val="24"/>
              </w:rPr>
              <w:t>3,67</w:t>
            </w:r>
            <w:r>
              <w:rPr>
                <w:sz w:val="24"/>
                <w:u w:val="single"/>
              </w:rPr>
              <w:t>+</w:t>
            </w:r>
          </w:p>
          <w:p>
            <w:pPr>
              <w:pStyle w:val="TableParagraph"/>
              <w:spacing w:line="262" w:lineRule="exact"/>
              <w:ind w:left="339"/>
              <w:rPr>
                <w:sz w:val="24"/>
              </w:rPr>
            </w:pPr>
            <w:r>
              <w:rPr>
                <w:sz w:val="24"/>
              </w:rPr>
              <w:t>0,375*</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9"/>
              <w:rPr>
                <w:sz w:val="24"/>
              </w:rPr>
            </w:pPr>
            <w:r>
              <w:rPr>
                <w:sz w:val="24"/>
              </w:rPr>
              <w:t>8,48</w:t>
            </w:r>
            <w:r>
              <w:rPr>
                <w:sz w:val="24"/>
                <w:u w:val="single"/>
              </w:rPr>
              <w:t>+</w:t>
            </w:r>
          </w:p>
          <w:p>
            <w:pPr>
              <w:pStyle w:val="TableParagraph"/>
              <w:spacing w:line="262" w:lineRule="exact"/>
              <w:ind w:left="398"/>
              <w:rPr>
                <w:sz w:val="24"/>
              </w:rPr>
            </w:pPr>
            <w:r>
              <w:rPr>
                <w:sz w:val="24"/>
              </w:rPr>
              <w:t>1,047</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16"/>
              <w:rPr>
                <w:sz w:val="24"/>
              </w:rPr>
            </w:pPr>
            <w:r>
              <w:rPr>
                <w:sz w:val="24"/>
              </w:rPr>
              <w:t>5,13</w:t>
            </w:r>
            <w:r>
              <w:rPr>
                <w:sz w:val="24"/>
                <w:u w:val="single"/>
              </w:rPr>
              <w:t>+</w:t>
            </w:r>
          </w:p>
          <w:p>
            <w:pPr>
              <w:pStyle w:val="TableParagraph"/>
              <w:spacing w:line="262" w:lineRule="exact"/>
              <w:ind w:left="268"/>
              <w:rPr>
                <w:sz w:val="24"/>
              </w:rPr>
            </w:pPr>
            <w:r>
              <w:rPr>
                <w:sz w:val="24"/>
              </w:rPr>
              <w:t>0,401*</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32"/>
              <w:rPr>
                <w:sz w:val="24"/>
              </w:rPr>
            </w:pPr>
            <w:r>
              <w:rPr>
                <w:sz w:val="24"/>
              </w:rPr>
              <w:t>37,60</w:t>
            </w:r>
            <w:r>
              <w:rPr>
                <w:sz w:val="24"/>
                <w:u w:val="single"/>
              </w:rPr>
              <w:t>+</w:t>
            </w:r>
          </w:p>
          <w:p>
            <w:pPr>
              <w:pStyle w:val="TableParagraph"/>
              <w:spacing w:line="262" w:lineRule="exact"/>
              <w:ind w:left="399"/>
              <w:rPr>
                <w:sz w:val="24"/>
              </w:rPr>
            </w:pPr>
            <w:r>
              <w:rPr>
                <w:sz w:val="24"/>
              </w:rPr>
              <w:t>7,698</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8"/>
              <w:rPr>
                <w:sz w:val="24"/>
              </w:rPr>
            </w:pPr>
            <w:r>
              <w:rPr>
                <w:sz w:val="24"/>
              </w:rPr>
              <w:t>9,37</w:t>
            </w:r>
            <w:r>
              <w:rPr>
                <w:sz w:val="24"/>
                <w:u w:val="single"/>
              </w:rPr>
              <w:t>+</w:t>
            </w:r>
          </w:p>
          <w:p>
            <w:pPr>
              <w:pStyle w:val="TableParagraph"/>
              <w:spacing w:line="262" w:lineRule="exact"/>
              <w:ind w:left="278"/>
              <w:rPr>
                <w:sz w:val="24"/>
              </w:rPr>
            </w:pPr>
            <w:r>
              <w:rPr>
                <w:sz w:val="24"/>
              </w:rPr>
              <w:t>1,149**</w:t>
            </w:r>
          </w:p>
        </w:tc>
      </w:tr>
      <w:tr>
        <w:trPr>
          <w:trHeight w:val="566" w:hRule="atLeast"/>
        </w:trPr>
        <w:tc>
          <w:tcPr>
            <w:tcW w:w="1556"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7"/>
              <w:rPr>
                <w:sz w:val="24"/>
              </w:rPr>
            </w:pPr>
          </w:p>
          <w:p>
            <w:pPr>
              <w:pStyle w:val="TableParagraph"/>
              <w:ind w:left="154" w:right="80"/>
              <w:jc w:val="center"/>
              <w:rPr>
                <w:sz w:val="24"/>
              </w:rPr>
            </w:pPr>
            <w:r>
              <w:rPr>
                <w:sz w:val="24"/>
              </w:rPr>
              <w:t>Тестостерон</w:t>
            </w:r>
          </w:p>
          <w:p>
            <w:pPr>
              <w:pStyle w:val="TableParagraph"/>
              <w:spacing w:before="3"/>
              <w:ind w:left="96" w:right="80"/>
              <w:jc w:val="center"/>
              <w:rPr>
                <w:sz w:val="24"/>
              </w:rPr>
            </w:pPr>
            <w:r>
              <w:rPr>
                <w:sz w:val="24"/>
              </w:rPr>
              <w:t>, нмоль/л</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71" w:lineRule="exact"/>
              <w:ind w:left="71"/>
              <w:jc w:val="center"/>
              <w:rPr>
                <w:sz w:val="24"/>
              </w:rPr>
            </w:pPr>
            <w:r>
              <w:rPr>
                <w:sz w:val="24"/>
              </w:rPr>
              <w:t>1</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ind w:left="383"/>
              <w:rPr>
                <w:sz w:val="24"/>
              </w:rPr>
            </w:pPr>
            <w:r>
              <w:rPr>
                <w:sz w:val="24"/>
              </w:rPr>
              <w:t>3,84</w:t>
            </w:r>
            <w:r>
              <w:rPr>
                <w:sz w:val="24"/>
                <w:u w:val="single"/>
              </w:rPr>
              <w:t>+</w:t>
            </w:r>
          </w:p>
          <w:p>
            <w:pPr>
              <w:pStyle w:val="TableParagraph"/>
              <w:spacing w:line="268" w:lineRule="exact" w:before="2"/>
              <w:ind w:left="393"/>
              <w:rPr>
                <w:sz w:val="24"/>
              </w:rPr>
            </w:pPr>
            <w:r>
              <w:rPr>
                <w:sz w:val="24"/>
              </w:rPr>
              <w:t>0,426</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ind w:left="387"/>
              <w:rPr>
                <w:sz w:val="24"/>
              </w:rPr>
            </w:pPr>
            <w:r>
              <w:rPr>
                <w:sz w:val="24"/>
              </w:rPr>
              <w:t>4,58</w:t>
            </w:r>
            <w:r>
              <w:rPr>
                <w:sz w:val="24"/>
                <w:u w:val="single"/>
              </w:rPr>
              <w:t>+</w:t>
            </w:r>
          </w:p>
          <w:p>
            <w:pPr>
              <w:pStyle w:val="TableParagraph"/>
              <w:spacing w:line="268" w:lineRule="exact" w:before="2"/>
              <w:ind w:left="397"/>
              <w:rPr>
                <w:sz w:val="24"/>
              </w:rPr>
            </w:pPr>
            <w:r>
              <w:rPr>
                <w:sz w:val="24"/>
              </w:rPr>
              <w:t>0,338</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ind w:left="389"/>
              <w:rPr>
                <w:sz w:val="24"/>
              </w:rPr>
            </w:pPr>
            <w:r>
              <w:rPr>
                <w:sz w:val="24"/>
              </w:rPr>
              <w:t>5,69</w:t>
            </w:r>
            <w:r>
              <w:rPr>
                <w:sz w:val="24"/>
                <w:u w:val="single"/>
              </w:rPr>
              <w:t>+</w:t>
            </w:r>
          </w:p>
          <w:p>
            <w:pPr>
              <w:pStyle w:val="TableParagraph"/>
              <w:spacing w:line="268" w:lineRule="exact" w:before="2"/>
              <w:ind w:left="398"/>
              <w:rPr>
                <w:sz w:val="24"/>
              </w:rPr>
            </w:pPr>
            <w:r>
              <w:rPr>
                <w:sz w:val="24"/>
              </w:rPr>
              <w:t>0,570</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ind w:left="316"/>
              <w:rPr>
                <w:sz w:val="24"/>
              </w:rPr>
            </w:pPr>
            <w:r>
              <w:rPr>
                <w:sz w:val="24"/>
              </w:rPr>
              <w:t>6,22</w:t>
            </w:r>
            <w:r>
              <w:rPr>
                <w:sz w:val="24"/>
                <w:u w:val="single"/>
              </w:rPr>
              <w:t>+</w:t>
            </w:r>
          </w:p>
          <w:p>
            <w:pPr>
              <w:pStyle w:val="TableParagraph"/>
              <w:spacing w:line="268" w:lineRule="exact" w:before="2"/>
              <w:ind w:left="325"/>
              <w:rPr>
                <w:sz w:val="24"/>
              </w:rPr>
            </w:pPr>
            <w:r>
              <w:rPr>
                <w:sz w:val="24"/>
              </w:rPr>
              <w:t>0,689</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ind w:left="389"/>
              <w:rPr>
                <w:sz w:val="24"/>
              </w:rPr>
            </w:pPr>
            <w:r>
              <w:rPr>
                <w:sz w:val="24"/>
              </w:rPr>
              <w:t>6,15</w:t>
            </w:r>
            <w:r>
              <w:rPr>
                <w:sz w:val="24"/>
                <w:u w:val="single"/>
              </w:rPr>
              <w:t>+</w:t>
            </w:r>
          </w:p>
          <w:p>
            <w:pPr>
              <w:pStyle w:val="TableParagraph"/>
              <w:spacing w:line="268" w:lineRule="exact" w:before="2"/>
              <w:ind w:left="399"/>
              <w:rPr>
                <w:sz w:val="24"/>
              </w:rPr>
            </w:pPr>
            <w:r>
              <w:rPr>
                <w:sz w:val="24"/>
              </w:rPr>
              <w:t>0,489</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left="388"/>
              <w:rPr>
                <w:sz w:val="24"/>
              </w:rPr>
            </w:pPr>
            <w:r>
              <w:rPr>
                <w:sz w:val="24"/>
              </w:rPr>
              <w:t>7,19</w:t>
            </w:r>
            <w:r>
              <w:rPr>
                <w:sz w:val="24"/>
                <w:u w:val="single"/>
              </w:rPr>
              <w:t>+</w:t>
            </w:r>
          </w:p>
          <w:p>
            <w:pPr>
              <w:pStyle w:val="TableParagraph"/>
              <w:spacing w:line="268" w:lineRule="exact" w:before="2"/>
              <w:ind w:left="398"/>
              <w:rPr>
                <w:sz w:val="24"/>
              </w:rPr>
            </w:pPr>
            <w:r>
              <w:rPr>
                <w:sz w:val="24"/>
              </w:rPr>
              <w:t>0,490</w:t>
            </w:r>
          </w:p>
        </w:tc>
      </w:tr>
      <w:tr>
        <w:trPr>
          <w:trHeight w:val="556" w:hRule="atLeast"/>
        </w:trPr>
        <w:tc>
          <w:tcPr>
            <w:tcW w:w="1556" w:type="dxa"/>
            <w:vMerge/>
            <w:tcBorders>
              <w:top w:val="nil"/>
              <w:left w:val="single" w:sz="4" w:space="0" w:color="000000"/>
              <w:bottom w:val="single" w:sz="4" w:space="0" w:color="000000"/>
              <w:right w:val="single" w:sz="4" w:space="0" w:color="000000"/>
            </w:tcBorders>
          </w:tcPr>
          <w:p>
            <w:pPr>
              <w:rPr>
                <w:sz w:val="2"/>
                <w:szCs w:val="2"/>
              </w:rPr>
            </w:pP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left="71"/>
              <w:jc w:val="center"/>
              <w:rPr>
                <w:sz w:val="24"/>
              </w:rPr>
            </w:pPr>
            <w:r>
              <w:rPr>
                <w:sz w:val="24"/>
              </w:rPr>
              <w:t>2</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3"/>
              <w:rPr>
                <w:sz w:val="24"/>
              </w:rPr>
            </w:pPr>
            <w:r>
              <w:rPr>
                <w:sz w:val="24"/>
              </w:rPr>
              <w:t>4,05</w:t>
            </w:r>
            <w:r>
              <w:rPr>
                <w:sz w:val="24"/>
                <w:u w:val="single"/>
              </w:rPr>
              <w:t>+</w:t>
            </w:r>
          </w:p>
          <w:p>
            <w:pPr>
              <w:pStyle w:val="TableParagraph"/>
              <w:spacing w:line="262" w:lineRule="exact"/>
              <w:ind w:left="393"/>
              <w:rPr>
                <w:sz w:val="24"/>
              </w:rPr>
            </w:pPr>
            <w:r>
              <w:rPr>
                <w:sz w:val="24"/>
              </w:rPr>
              <w:t>1,088</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7"/>
              <w:rPr>
                <w:sz w:val="24"/>
              </w:rPr>
            </w:pPr>
            <w:r>
              <w:rPr>
                <w:sz w:val="24"/>
              </w:rPr>
              <w:t>3,77</w:t>
            </w:r>
            <w:r>
              <w:rPr>
                <w:sz w:val="24"/>
                <w:u w:val="single"/>
              </w:rPr>
              <w:t>+</w:t>
            </w:r>
          </w:p>
          <w:p>
            <w:pPr>
              <w:pStyle w:val="TableParagraph"/>
              <w:spacing w:line="262" w:lineRule="exact"/>
              <w:ind w:left="397"/>
              <w:rPr>
                <w:sz w:val="24"/>
              </w:rPr>
            </w:pPr>
            <w:r>
              <w:rPr>
                <w:sz w:val="24"/>
              </w:rPr>
              <w:t>0,276</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9"/>
              <w:rPr>
                <w:sz w:val="24"/>
              </w:rPr>
            </w:pPr>
            <w:r>
              <w:rPr>
                <w:sz w:val="24"/>
              </w:rPr>
              <w:t>5,19</w:t>
            </w:r>
            <w:r>
              <w:rPr>
                <w:sz w:val="24"/>
                <w:u w:val="single"/>
              </w:rPr>
              <w:t>+</w:t>
            </w:r>
          </w:p>
          <w:p>
            <w:pPr>
              <w:pStyle w:val="TableParagraph"/>
              <w:spacing w:line="262" w:lineRule="exact"/>
              <w:ind w:left="398"/>
              <w:rPr>
                <w:sz w:val="24"/>
              </w:rPr>
            </w:pPr>
            <w:r>
              <w:rPr>
                <w:sz w:val="24"/>
              </w:rPr>
              <w:t>0,776</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16"/>
              <w:rPr>
                <w:sz w:val="24"/>
              </w:rPr>
            </w:pPr>
            <w:r>
              <w:rPr>
                <w:sz w:val="24"/>
              </w:rPr>
              <w:t>5,93</w:t>
            </w:r>
            <w:r>
              <w:rPr>
                <w:sz w:val="24"/>
                <w:u w:val="single"/>
              </w:rPr>
              <w:t>+</w:t>
            </w:r>
          </w:p>
          <w:p>
            <w:pPr>
              <w:pStyle w:val="TableParagraph"/>
              <w:spacing w:line="262" w:lineRule="exact"/>
              <w:ind w:left="325"/>
              <w:rPr>
                <w:sz w:val="24"/>
              </w:rPr>
            </w:pPr>
            <w:r>
              <w:rPr>
                <w:sz w:val="24"/>
              </w:rPr>
              <w:t>0,416</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9"/>
              <w:rPr>
                <w:sz w:val="24"/>
              </w:rPr>
            </w:pPr>
            <w:r>
              <w:rPr>
                <w:sz w:val="24"/>
              </w:rPr>
              <w:t>4,75</w:t>
            </w:r>
            <w:r>
              <w:rPr>
                <w:sz w:val="24"/>
                <w:u w:val="single"/>
              </w:rPr>
              <w:t>+</w:t>
            </w:r>
          </w:p>
          <w:p>
            <w:pPr>
              <w:pStyle w:val="TableParagraph"/>
              <w:spacing w:line="262" w:lineRule="exact"/>
              <w:ind w:left="399"/>
              <w:rPr>
                <w:sz w:val="24"/>
              </w:rPr>
            </w:pPr>
            <w:r>
              <w:rPr>
                <w:sz w:val="24"/>
              </w:rPr>
              <w:t>0,435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388"/>
              <w:rPr>
                <w:sz w:val="24"/>
              </w:rPr>
            </w:pPr>
            <w:r>
              <w:rPr>
                <w:sz w:val="24"/>
              </w:rPr>
              <w:t>5,31</w:t>
            </w:r>
            <w:r>
              <w:rPr>
                <w:sz w:val="24"/>
                <w:u w:val="single"/>
              </w:rPr>
              <w:t>+</w:t>
            </w:r>
          </w:p>
          <w:p>
            <w:pPr>
              <w:pStyle w:val="TableParagraph"/>
              <w:spacing w:line="262" w:lineRule="exact"/>
              <w:ind w:left="398"/>
              <w:rPr>
                <w:sz w:val="24"/>
              </w:rPr>
            </w:pPr>
            <w:r>
              <w:rPr>
                <w:sz w:val="24"/>
              </w:rPr>
              <w:t>0,709</w:t>
            </w:r>
          </w:p>
        </w:tc>
      </w:tr>
      <w:tr>
        <w:trPr>
          <w:trHeight w:val="551" w:hRule="atLeast"/>
        </w:trPr>
        <w:tc>
          <w:tcPr>
            <w:tcW w:w="1556"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4"/>
              <w:rPr>
                <w:sz w:val="23"/>
              </w:rPr>
            </w:pPr>
          </w:p>
          <w:p>
            <w:pPr>
              <w:pStyle w:val="TableParagraph"/>
              <w:spacing w:line="244" w:lineRule="auto"/>
              <w:ind w:left="124" w:right="94" w:firstLine="134"/>
              <w:rPr>
                <w:sz w:val="24"/>
              </w:rPr>
            </w:pPr>
            <w:r>
              <w:rPr>
                <w:sz w:val="24"/>
              </w:rPr>
              <w:t>Естрадіол- 17</w:t>
            </w:r>
            <w:r>
              <w:rPr>
                <w:rFonts w:ascii="Symbol" w:hAnsi="Symbol"/>
                <w:sz w:val="24"/>
              </w:rPr>
              <w:t></w:t>
            </w:r>
            <w:r>
              <w:rPr>
                <w:sz w:val="24"/>
              </w:rPr>
              <w:t>, нмоль/л</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71" w:lineRule="exact"/>
              <w:ind w:left="71"/>
              <w:jc w:val="center"/>
              <w:rPr>
                <w:sz w:val="24"/>
              </w:rPr>
            </w:pPr>
            <w:r>
              <w:rPr>
                <w:sz w:val="24"/>
              </w:rPr>
              <w:t>1</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25"/>
              <w:rPr>
                <w:sz w:val="24"/>
              </w:rPr>
            </w:pPr>
            <w:r>
              <w:rPr>
                <w:sz w:val="24"/>
              </w:rPr>
              <w:t>0,125</w:t>
            </w:r>
            <w:r>
              <w:rPr>
                <w:sz w:val="24"/>
                <w:u w:val="single"/>
              </w:rPr>
              <w:t>+</w:t>
            </w:r>
          </w:p>
          <w:p>
            <w:pPr>
              <w:pStyle w:val="TableParagraph"/>
              <w:spacing w:line="262" w:lineRule="exact"/>
              <w:ind w:left="393"/>
              <w:rPr>
                <w:sz w:val="24"/>
              </w:rPr>
            </w:pPr>
            <w:r>
              <w:rPr>
                <w:sz w:val="24"/>
              </w:rPr>
              <w:t>0,016</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30"/>
              <w:rPr>
                <w:sz w:val="24"/>
              </w:rPr>
            </w:pPr>
            <w:r>
              <w:rPr>
                <w:sz w:val="24"/>
              </w:rPr>
              <w:t>0,179</w:t>
            </w:r>
            <w:r>
              <w:rPr>
                <w:sz w:val="24"/>
                <w:u w:val="single"/>
              </w:rPr>
              <w:t>+</w:t>
            </w:r>
          </w:p>
          <w:p>
            <w:pPr>
              <w:pStyle w:val="TableParagraph"/>
              <w:spacing w:line="262" w:lineRule="exact"/>
              <w:ind w:left="397"/>
              <w:rPr>
                <w:sz w:val="24"/>
              </w:rPr>
            </w:pPr>
            <w:r>
              <w:rPr>
                <w:sz w:val="24"/>
              </w:rPr>
              <w:t>0,024</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31"/>
              <w:rPr>
                <w:sz w:val="24"/>
              </w:rPr>
            </w:pPr>
            <w:r>
              <w:rPr>
                <w:sz w:val="24"/>
              </w:rPr>
              <w:t>0,151</w:t>
            </w:r>
            <w:r>
              <w:rPr>
                <w:sz w:val="24"/>
                <w:u w:val="single"/>
              </w:rPr>
              <w:t>+</w:t>
            </w:r>
          </w:p>
          <w:p>
            <w:pPr>
              <w:pStyle w:val="TableParagraph"/>
              <w:spacing w:line="262" w:lineRule="exact"/>
              <w:ind w:left="398"/>
              <w:rPr>
                <w:sz w:val="24"/>
              </w:rPr>
            </w:pPr>
            <w:r>
              <w:rPr>
                <w:sz w:val="24"/>
              </w:rPr>
              <w:t>0,019</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258"/>
              <w:rPr>
                <w:sz w:val="24"/>
              </w:rPr>
            </w:pPr>
            <w:r>
              <w:rPr>
                <w:sz w:val="24"/>
              </w:rPr>
              <w:t>0,236</w:t>
            </w:r>
            <w:r>
              <w:rPr>
                <w:sz w:val="24"/>
                <w:u w:val="single"/>
              </w:rPr>
              <w:t>+</w:t>
            </w:r>
          </w:p>
          <w:p>
            <w:pPr>
              <w:pStyle w:val="TableParagraph"/>
              <w:spacing w:line="262" w:lineRule="exact"/>
              <w:ind w:left="325"/>
              <w:rPr>
                <w:sz w:val="24"/>
              </w:rPr>
            </w:pPr>
            <w:r>
              <w:rPr>
                <w:sz w:val="24"/>
              </w:rPr>
              <w:t>0,057</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32"/>
              <w:rPr>
                <w:sz w:val="24"/>
              </w:rPr>
            </w:pPr>
            <w:r>
              <w:rPr>
                <w:sz w:val="24"/>
              </w:rPr>
              <w:t>0,335</w:t>
            </w:r>
            <w:r>
              <w:rPr>
                <w:sz w:val="24"/>
                <w:u w:val="single"/>
              </w:rPr>
              <w:t>+</w:t>
            </w:r>
          </w:p>
          <w:p>
            <w:pPr>
              <w:pStyle w:val="TableParagraph"/>
              <w:spacing w:line="262" w:lineRule="exact"/>
              <w:ind w:left="399"/>
              <w:rPr>
                <w:sz w:val="24"/>
              </w:rPr>
            </w:pPr>
            <w:r>
              <w:rPr>
                <w:sz w:val="24"/>
              </w:rPr>
              <w:t>0,056</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388"/>
              <w:rPr>
                <w:sz w:val="24"/>
              </w:rPr>
            </w:pPr>
            <w:r>
              <w:rPr>
                <w:sz w:val="24"/>
              </w:rPr>
              <w:t>0,53</w:t>
            </w:r>
            <w:r>
              <w:rPr>
                <w:sz w:val="24"/>
                <w:u w:val="single"/>
              </w:rPr>
              <w:t>+</w:t>
            </w:r>
          </w:p>
          <w:p>
            <w:pPr>
              <w:pStyle w:val="TableParagraph"/>
              <w:spacing w:line="262" w:lineRule="exact"/>
              <w:ind w:left="398"/>
              <w:rPr>
                <w:sz w:val="24"/>
              </w:rPr>
            </w:pPr>
            <w:r>
              <w:rPr>
                <w:sz w:val="24"/>
              </w:rPr>
              <w:t>0,095</w:t>
            </w:r>
          </w:p>
        </w:tc>
      </w:tr>
      <w:tr>
        <w:trPr>
          <w:trHeight w:val="556" w:hRule="atLeast"/>
        </w:trPr>
        <w:tc>
          <w:tcPr>
            <w:tcW w:w="1556" w:type="dxa"/>
            <w:vMerge/>
            <w:tcBorders>
              <w:top w:val="nil"/>
              <w:left w:val="single" w:sz="4" w:space="0" w:color="000000"/>
              <w:bottom w:val="single" w:sz="4" w:space="0" w:color="000000"/>
              <w:right w:val="single" w:sz="4" w:space="0" w:color="000000"/>
            </w:tcBorders>
          </w:tcPr>
          <w:p>
            <w:pPr>
              <w:rPr>
                <w:sz w:val="2"/>
                <w:szCs w:val="2"/>
              </w:rPr>
            </w:pP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left="71"/>
              <w:jc w:val="center"/>
              <w:rPr>
                <w:sz w:val="24"/>
              </w:rPr>
            </w:pPr>
            <w:r>
              <w:rPr>
                <w:sz w:val="24"/>
              </w:rPr>
              <w:t>2</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ind w:left="325"/>
              <w:rPr>
                <w:sz w:val="24"/>
              </w:rPr>
            </w:pPr>
            <w:r>
              <w:rPr>
                <w:sz w:val="24"/>
              </w:rPr>
              <w:t>0,117</w:t>
            </w:r>
            <w:r>
              <w:rPr>
                <w:sz w:val="24"/>
                <w:u w:val="single"/>
              </w:rPr>
              <w:t>+</w:t>
            </w:r>
          </w:p>
          <w:p>
            <w:pPr>
              <w:pStyle w:val="TableParagraph"/>
              <w:spacing w:line="258" w:lineRule="exact" w:before="2"/>
              <w:ind w:left="393"/>
              <w:rPr>
                <w:sz w:val="24"/>
              </w:rPr>
            </w:pPr>
            <w:r>
              <w:rPr>
                <w:sz w:val="24"/>
              </w:rPr>
              <w:t>0,014</w:t>
            </w:r>
          </w:p>
        </w:tc>
        <w:tc>
          <w:tcPr>
            <w:tcW w:w="1276" w:type="dxa"/>
            <w:tcBorders>
              <w:top w:val="single" w:sz="4" w:space="0" w:color="000000"/>
              <w:left w:val="single" w:sz="4" w:space="0" w:color="000000"/>
              <w:bottom w:val="single" w:sz="4" w:space="0" w:color="000000"/>
              <w:right w:val="single" w:sz="4" w:space="0" w:color="000000"/>
            </w:tcBorders>
          </w:tcPr>
          <w:p>
            <w:pPr>
              <w:pStyle w:val="TableParagraph"/>
              <w:ind w:left="330"/>
              <w:rPr>
                <w:sz w:val="24"/>
              </w:rPr>
            </w:pPr>
            <w:r>
              <w:rPr>
                <w:sz w:val="24"/>
              </w:rPr>
              <w:t>0,167</w:t>
            </w:r>
            <w:r>
              <w:rPr>
                <w:sz w:val="24"/>
                <w:u w:val="single"/>
              </w:rPr>
              <w:t>+</w:t>
            </w:r>
          </w:p>
          <w:p>
            <w:pPr>
              <w:pStyle w:val="TableParagraph"/>
              <w:spacing w:line="258" w:lineRule="exact" w:before="2"/>
              <w:ind w:left="397"/>
              <w:rPr>
                <w:sz w:val="24"/>
              </w:rPr>
            </w:pPr>
            <w:r>
              <w:rPr>
                <w:sz w:val="24"/>
              </w:rPr>
              <w:t>0,026</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ind w:left="331"/>
              <w:rPr>
                <w:sz w:val="24"/>
              </w:rPr>
            </w:pPr>
            <w:r>
              <w:rPr>
                <w:sz w:val="24"/>
              </w:rPr>
              <w:t>0,241+</w:t>
            </w:r>
          </w:p>
          <w:p>
            <w:pPr>
              <w:pStyle w:val="TableParagraph"/>
              <w:spacing w:line="258" w:lineRule="exact" w:before="2"/>
              <w:ind w:left="398"/>
              <w:rPr>
                <w:sz w:val="24"/>
              </w:rPr>
            </w:pPr>
            <w:r>
              <w:rPr>
                <w:sz w:val="24"/>
              </w:rPr>
              <w:t>0,073</w:t>
            </w:r>
          </w:p>
        </w:tc>
        <w:tc>
          <w:tcPr>
            <w:tcW w:w="1132" w:type="dxa"/>
            <w:tcBorders>
              <w:top w:val="single" w:sz="4" w:space="0" w:color="000000"/>
              <w:left w:val="single" w:sz="4" w:space="0" w:color="000000"/>
              <w:bottom w:val="single" w:sz="4" w:space="0" w:color="000000"/>
              <w:right w:val="single" w:sz="4" w:space="0" w:color="000000"/>
            </w:tcBorders>
          </w:tcPr>
          <w:p>
            <w:pPr>
              <w:pStyle w:val="TableParagraph"/>
              <w:ind w:left="258"/>
              <w:rPr>
                <w:sz w:val="24"/>
              </w:rPr>
            </w:pPr>
            <w:r>
              <w:rPr>
                <w:sz w:val="24"/>
              </w:rPr>
              <w:t>0,364</w:t>
            </w:r>
            <w:r>
              <w:rPr>
                <w:sz w:val="24"/>
                <w:u w:val="single"/>
              </w:rPr>
              <w:t>+</w:t>
            </w:r>
          </w:p>
          <w:p>
            <w:pPr>
              <w:pStyle w:val="TableParagraph"/>
              <w:spacing w:line="258" w:lineRule="exact" w:before="2"/>
              <w:ind w:left="325"/>
              <w:rPr>
                <w:sz w:val="24"/>
              </w:rPr>
            </w:pPr>
            <w:r>
              <w:rPr>
                <w:sz w:val="24"/>
              </w:rPr>
              <w:t>0,125</w:t>
            </w:r>
          </w:p>
        </w:tc>
        <w:tc>
          <w:tcPr>
            <w:tcW w:w="1278" w:type="dxa"/>
            <w:tcBorders>
              <w:top w:val="single" w:sz="4" w:space="0" w:color="000000"/>
              <w:left w:val="single" w:sz="4" w:space="0" w:color="000000"/>
              <w:bottom w:val="single" w:sz="4" w:space="0" w:color="000000"/>
              <w:right w:val="single" w:sz="4" w:space="0" w:color="000000"/>
            </w:tcBorders>
          </w:tcPr>
          <w:p>
            <w:pPr>
              <w:pStyle w:val="TableParagraph"/>
              <w:ind w:left="332"/>
              <w:rPr>
                <w:sz w:val="24"/>
              </w:rPr>
            </w:pPr>
            <w:r>
              <w:rPr>
                <w:sz w:val="24"/>
              </w:rPr>
              <w:t>0,410</w:t>
            </w:r>
            <w:r>
              <w:rPr>
                <w:sz w:val="24"/>
                <w:u w:val="single"/>
              </w:rPr>
              <w:t>+</w:t>
            </w:r>
          </w:p>
          <w:p>
            <w:pPr>
              <w:pStyle w:val="TableParagraph"/>
              <w:spacing w:line="258" w:lineRule="exact" w:before="2"/>
              <w:ind w:left="399"/>
              <w:rPr>
                <w:sz w:val="24"/>
              </w:rPr>
            </w:pPr>
            <w:r>
              <w:rPr>
                <w:sz w:val="24"/>
              </w:rPr>
              <w:t>0,137</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left="388"/>
              <w:rPr>
                <w:sz w:val="24"/>
              </w:rPr>
            </w:pPr>
            <w:r>
              <w:rPr>
                <w:sz w:val="24"/>
              </w:rPr>
              <w:t>0,89</w:t>
            </w:r>
            <w:r>
              <w:rPr>
                <w:sz w:val="24"/>
                <w:u w:val="single"/>
              </w:rPr>
              <w:t>+</w:t>
            </w:r>
          </w:p>
          <w:p>
            <w:pPr>
              <w:pStyle w:val="TableParagraph"/>
              <w:spacing w:line="258" w:lineRule="exact" w:before="2"/>
              <w:ind w:left="340"/>
              <w:rPr>
                <w:sz w:val="24"/>
              </w:rPr>
            </w:pPr>
            <w:r>
              <w:rPr>
                <w:sz w:val="24"/>
              </w:rPr>
              <w:t>0,152*</w:t>
            </w:r>
          </w:p>
        </w:tc>
      </w:tr>
    </w:tbl>
    <w:p>
      <w:pPr>
        <w:spacing w:line="242" w:lineRule="auto" w:before="0"/>
        <w:ind w:left="193" w:right="1257" w:firstLine="62"/>
        <w:jc w:val="left"/>
        <w:rPr>
          <w:sz w:val="24"/>
        </w:rPr>
      </w:pPr>
      <w:r>
        <w:rPr>
          <w:sz w:val="24"/>
        </w:rPr>
        <w:t>Примітка: *-р&lt;0,05; **-р&lt;0,01; ***-р&lt;0,001 порівняно з показниками лютеальної фази. 1 – контрольна група; 2 – дослідна група.</w:t>
      </w:r>
    </w:p>
    <w:p>
      <w:pPr>
        <w:pStyle w:val="BodyText"/>
        <w:spacing w:before="6"/>
        <w:ind w:left="0"/>
        <w:jc w:val="left"/>
        <w:rPr>
          <w:sz w:val="27"/>
        </w:rPr>
      </w:pPr>
    </w:p>
    <w:p>
      <w:pPr>
        <w:pStyle w:val="BodyText"/>
        <w:ind w:right="606" w:firstLine="710"/>
      </w:pPr>
      <w:r>
        <w:rPr/>
        <w:t>Поява виражених статевих циклів супроводжувалося збільшенням кількості прогестерону під час лютеальної фази в 2 рази (2 охота) і 6,7 раза (3 охота) після першої охоти. При цьому в фазу еструса, щодо періоду статевого спокою, кількість цього гормону істотно знижувалась на 21,5%, (1 охота),</w:t>
      </w:r>
      <w:r>
        <w:rPr>
          <w:spacing w:val="-42"/>
        </w:rPr>
        <w:t> </w:t>
      </w:r>
      <w:r>
        <w:rPr/>
        <w:t>39,6% (2 охота) і 64,4% (3 охота). При цьому вживання вітамінної добавки викликало збільшення амплітуди концентрації прогестерона, переважно в лютеальну фазу, та зниженням </w:t>
      </w:r>
      <w:r>
        <w:rPr>
          <w:spacing w:val="-3"/>
        </w:rPr>
        <w:t>під </w:t>
      </w:r>
      <w:r>
        <w:rPr/>
        <w:t>час еструсу відповідно на 17,0 % і 10,5 % впродовж 1-го статевого циклу та 7,7 % і 24,5 % впродовж 3-го статевого циклу відносно контрольної</w:t>
      </w:r>
      <w:r>
        <w:rPr>
          <w:spacing w:val="-5"/>
        </w:rPr>
        <w:t> </w:t>
      </w:r>
      <w:r>
        <w:rPr/>
        <w:t>групи.</w:t>
      </w:r>
    </w:p>
    <w:p>
      <w:pPr>
        <w:pStyle w:val="BodyText"/>
        <w:spacing w:before="3"/>
        <w:ind w:left="913"/>
      </w:pPr>
      <w:r>
        <w:rPr/>
        <w:t>У період становлення статевої функції у свинок відзначено істотне</w:t>
      </w:r>
    </w:p>
    <w:p>
      <w:pPr>
        <w:spacing w:after="0"/>
        <w:sectPr>
          <w:pgSz w:w="11910" w:h="16840"/>
          <w:pgMar w:header="713" w:footer="778" w:top="1140" w:bottom="960" w:left="940" w:right="520"/>
        </w:sectPr>
      </w:pPr>
    </w:p>
    <w:p>
      <w:pPr>
        <w:pStyle w:val="BodyText"/>
        <w:spacing w:before="92"/>
        <w:ind w:right="610"/>
      </w:pPr>
      <w:r>
        <w:rPr/>
        <w:t>збільшення концентрації естрадіолу-17β від першого до третього вираженого статевого циклу в 2,7 раза в період лютеальної фази. Виявлено, що з настанням еструса кількість даного гормону підвищується на 43,2% (1 охота), 56,3 % (2 охота) і 58,2% (3 охота). Свинки, що споживали вітамінну добавку характеризувались істотним переважанням концентрації естрадіолу протягом 2- го і 3-го статевого циклу в лютеальну фазу відповідно на 59,6% і 22,4%, еструса</w:t>
      </w:r>
    </w:p>
    <w:p>
      <w:pPr>
        <w:pStyle w:val="BodyText"/>
        <w:spacing w:line="322" w:lineRule="exact" w:before="3"/>
      </w:pPr>
      <w:r>
        <w:rPr/>
        <w:t>– 54,2% та 67,9%, відповідно контрольної групи.</w:t>
      </w:r>
    </w:p>
    <w:p>
      <w:pPr>
        <w:pStyle w:val="BodyText"/>
        <w:ind w:right="611" w:firstLine="720"/>
      </w:pPr>
      <w:r>
        <w:rPr/>
        <w:t>Важливо відзначити, що динаміка кількості тестостерону була аналогічною до встановленої для естрадіолу-17β. Очевидно, що така динаміка коливань рівня гормонів обумовлена віковими змінами в процесі розвитку і росту репродуктивних органів самок, появою статевих циклів і вторинних статевих ознак. У тварин досліджуваної групи вміст тестостерону в усі досліджувані періоди був нижчим проти контрольної.</w:t>
      </w:r>
    </w:p>
    <w:p>
      <w:pPr>
        <w:pStyle w:val="BodyText"/>
        <w:ind w:right="613" w:firstLine="720"/>
      </w:pPr>
      <w:r>
        <w:rPr/>
        <w:t>Коливання рівня тироїдних і стероїдних гормонів у крові циклюючих свинок супроводжувалося змінами ПАГ (табл. 2, 3). Відзначено підвищення резистентності еритроцитів </w:t>
      </w:r>
      <w:r>
        <w:rPr>
          <w:spacing w:val="2"/>
        </w:rPr>
        <w:t>зі </w:t>
      </w:r>
      <w:r>
        <w:rPr/>
        <w:t>збільшенням віку і кількості статевих циклів свинок.</w:t>
      </w:r>
      <w:r>
        <w:rPr>
          <w:spacing w:val="-3"/>
        </w:rPr>
        <w:t> </w:t>
      </w:r>
      <w:r>
        <w:rPr/>
        <w:t>При</w:t>
      </w:r>
      <w:r>
        <w:rPr>
          <w:spacing w:val="-8"/>
        </w:rPr>
        <w:t> </w:t>
      </w:r>
      <w:r>
        <w:rPr/>
        <w:t>цьому</w:t>
      </w:r>
      <w:r>
        <w:rPr>
          <w:spacing w:val="-13"/>
        </w:rPr>
        <w:t> </w:t>
      </w:r>
      <w:r>
        <w:rPr/>
        <w:t>спостерігалося</w:t>
      </w:r>
      <w:r>
        <w:rPr>
          <w:spacing w:val="-8"/>
        </w:rPr>
        <w:t> </w:t>
      </w:r>
      <w:r>
        <w:rPr/>
        <w:t>збільшення</w:t>
      </w:r>
      <w:r>
        <w:rPr>
          <w:spacing w:val="-9"/>
        </w:rPr>
        <w:t> </w:t>
      </w:r>
      <w:r>
        <w:rPr/>
        <w:t>гемолізу</w:t>
      </w:r>
      <w:r>
        <w:rPr>
          <w:spacing w:val="-13"/>
        </w:rPr>
        <w:t> </w:t>
      </w:r>
      <w:r>
        <w:rPr/>
        <w:t>еритроцитів</w:t>
      </w:r>
      <w:r>
        <w:rPr>
          <w:spacing w:val="-11"/>
        </w:rPr>
        <w:t> </w:t>
      </w:r>
      <w:r>
        <w:rPr/>
        <w:t>з</w:t>
      </w:r>
      <w:r>
        <w:rPr>
          <w:spacing w:val="-9"/>
        </w:rPr>
        <w:t> </w:t>
      </w:r>
      <w:r>
        <w:rPr/>
        <w:t>настанням фази статевого збудження. Виявлено, що </w:t>
      </w:r>
      <w:r>
        <w:rPr>
          <w:spacing w:val="-3"/>
        </w:rPr>
        <w:t>під </w:t>
      </w:r>
      <w:r>
        <w:rPr/>
        <w:t>час настання 2-го і 3-го еструса активність</w:t>
      </w:r>
      <w:r>
        <w:rPr>
          <w:spacing w:val="-22"/>
        </w:rPr>
        <w:t> </w:t>
      </w:r>
      <w:r>
        <w:rPr/>
        <w:t>КСО</w:t>
      </w:r>
      <w:r>
        <w:rPr>
          <w:spacing w:val="-17"/>
        </w:rPr>
        <w:t> </w:t>
      </w:r>
      <w:r>
        <w:rPr/>
        <w:t>-</w:t>
      </w:r>
      <w:r>
        <w:rPr>
          <w:spacing w:val="-20"/>
        </w:rPr>
        <w:t> </w:t>
      </w:r>
      <w:r>
        <w:rPr/>
        <w:t>активатора</w:t>
      </w:r>
      <w:r>
        <w:rPr>
          <w:spacing w:val="-19"/>
        </w:rPr>
        <w:t> </w:t>
      </w:r>
      <w:r>
        <w:rPr/>
        <w:t>пероксидного</w:t>
      </w:r>
      <w:r>
        <w:rPr>
          <w:spacing w:val="-19"/>
        </w:rPr>
        <w:t> </w:t>
      </w:r>
      <w:r>
        <w:rPr/>
        <w:t>окиснення,</w:t>
      </w:r>
      <w:r>
        <w:rPr>
          <w:spacing w:val="-18"/>
        </w:rPr>
        <w:t> </w:t>
      </w:r>
      <w:r>
        <w:rPr/>
        <w:t>збільшувалася</w:t>
      </w:r>
      <w:r>
        <w:rPr>
          <w:spacing w:val="-18"/>
        </w:rPr>
        <w:t> </w:t>
      </w:r>
      <w:r>
        <w:rPr/>
        <w:t>відповідно на 11,1% і 7,1%. Додаткове згодовування вітамінної добавки підвищувало стійкість еритроцитів до пероксидного гемолізу та спряло зростанню функціональної</w:t>
      </w:r>
      <w:r>
        <w:rPr>
          <w:spacing w:val="-13"/>
        </w:rPr>
        <w:t> </w:t>
      </w:r>
      <w:r>
        <w:rPr/>
        <w:t>активності</w:t>
      </w:r>
      <w:r>
        <w:rPr>
          <w:spacing w:val="-12"/>
        </w:rPr>
        <w:t> </w:t>
      </w:r>
      <w:r>
        <w:rPr/>
        <w:t>прооксидантного</w:t>
      </w:r>
      <w:r>
        <w:rPr>
          <w:spacing w:val="-7"/>
        </w:rPr>
        <w:t> </w:t>
      </w:r>
      <w:r>
        <w:rPr/>
        <w:t>ензиму</w:t>
      </w:r>
      <w:r>
        <w:rPr>
          <w:spacing w:val="-11"/>
        </w:rPr>
        <w:t> </w:t>
      </w:r>
      <w:r>
        <w:rPr/>
        <w:t>при</w:t>
      </w:r>
      <w:r>
        <w:rPr>
          <w:spacing w:val="-8"/>
        </w:rPr>
        <w:t> </w:t>
      </w:r>
      <w:r>
        <w:rPr/>
        <w:t>настанні</w:t>
      </w:r>
      <w:r>
        <w:rPr>
          <w:spacing w:val="-12"/>
        </w:rPr>
        <w:t> </w:t>
      </w:r>
      <w:r>
        <w:rPr/>
        <w:t>3-го</w:t>
      </w:r>
      <w:r>
        <w:rPr>
          <w:spacing w:val="-7"/>
        </w:rPr>
        <w:t> </w:t>
      </w:r>
      <w:r>
        <w:rPr/>
        <w:t>статевого циклу на 30,2</w:t>
      </w:r>
      <w:r>
        <w:rPr>
          <w:spacing w:val="-1"/>
        </w:rPr>
        <w:t> </w:t>
      </w:r>
      <w:r>
        <w:rPr/>
        <w:t>%</w:t>
      </w:r>
    </w:p>
    <w:p>
      <w:pPr>
        <w:pStyle w:val="BodyText"/>
        <w:ind w:right="606" w:firstLine="720"/>
      </w:pPr>
      <w:r>
        <w:rPr/>
        <w:t>Отримані дані свідчать про прискорення процесів пероксидації – з настанням фази еструса у свинок – збільшується кількість дієнових коньюгатів під час 1-ї охоти на 38,6 %; 2-ї охоти на 6,2 %; 3-ї охоти на 87,3 %. Такі зміни відбувалися на тлі накопичення вторинних продуктів пероксидації – ТБК- активних комплексів при настанні еструса на 43,4 % під час 1-ї охоти, на 7,5 % - 2-ї охоти, на 43,8 % - 3-ї охоти, відносно лютеальної фази. У свинок дослідної групи із зміною статевих циклів динаміка первинних і вторинних продуктів пероксидації була аналогічною до контрольної. Однак, слід зазначити, кількість ДК і ТБК-активних комплексів була меншою у тварин, що вживали вітамінну добавку, особливо протягом 3-го статевого циклу, відповідно на 18,2 і 32,4% (лютеальна фаза) та 40,8 і 28,3% (естральна фаза).</w:t>
      </w:r>
    </w:p>
    <w:p>
      <w:pPr>
        <w:pStyle w:val="BodyText"/>
        <w:spacing w:before="2"/>
        <w:ind w:right="606" w:firstLine="710"/>
      </w:pPr>
      <w:r>
        <w:rPr/>
        <w:t>Функціональна активність СОД від лютеальної фази до еструса під час 1-ї та 2-ї охоти збільшувалася відповідно на 29,3 % і 47,9%, в той же час під час 3-ї охоти – зменшувалася на 7,1%. Такі зміни рівня КСО і СОД в фазу еструса вказують на одну з важливих ролей активних форм оксигену - забезпечення процесу запліднення. Однак включення до раціону свинок вітамінної добавки сприяло суттєвому переважанню активності СОД у дослідній групі, особливо при настанні 2-го і 3-го статевих циклів, відповідно в 2,1 і 1,9 раза (лютеальна фаза) та 1,8 і 1,7 раза (естральна фаза), порівняно із контрольною.</w:t>
      </w:r>
    </w:p>
    <w:p>
      <w:pPr>
        <w:spacing w:after="0"/>
        <w:sectPr>
          <w:pgSz w:w="11910" w:h="16840"/>
          <w:pgMar w:header="713" w:footer="778" w:top="1140" w:bottom="960" w:left="940" w:right="520"/>
        </w:sectPr>
      </w:pPr>
    </w:p>
    <w:p>
      <w:pPr>
        <w:pStyle w:val="BodyText"/>
        <w:spacing w:before="92" w:after="6"/>
        <w:ind w:right="622" w:firstLine="710"/>
      </w:pPr>
      <w:r>
        <w:rPr/>
        <w:t>Таблиця 2. Інтенсивність процесів пероксидації у крові свинок в період статевого дозрівання, М</w:t>
      </w:r>
      <w:r>
        <w:rPr>
          <w:u w:val="single"/>
        </w:rPr>
        <w:t>+</w:t>
      </w:r>
      <w:r>
        <w:rPr/>
        <w:t>m (n=10)</w:t>
      </w:r>
    </w:p>
    <w:tbl>
      <w:tblPr>
        <w:tblW w:w="0" w:type="auto"/>
        <w:jc w:val="left"/>
        <w:tblInd w:w="1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24"/>
        <w:gridCol w:w="814"/>
        <w:gridCol w:w="1273"/>
        <w:gridCol w:w="993"/>
        <w:gridCol w:w="1279"/>
        <w:gridCol w:w="1133"/>
        <w:gridCol w:w="1279"/>
        <w:gridCol w:w="995"/>
      </w:tblGrid>
      <w:tr>
        <w:trPr>
          <w:trHeight w:val="335" w:hRule="atLeast"/>
        </w:trPr>
        <w:tc>
          <w:tcPr>
            <w:tcW w:w="2024" w:type="dxa"/>
            <w:vMerge w:val="restart"/>
          </w:tcPr>
          <w:p>
            <w:pPr>
              <w:pStyle w:val="TableParagraph"/>
              <w:spacing w:line="268" w:lineRule="exact"/>
              <w:ind w:left="498"/>
              <w:rPr>
                <w:sz w:val="24"/>
              </w:rPr>
            </w:pPr>
            <w:r>
              <w:rPr>
                <w:sz w:val="24"/>
              </w:rPr>
              <w:t>Показники</w:t>
            </w:r>
          </w:p>
        </w:tc>
        <w:tc>
          <w:tcPr>
            <w:tcW w:w="814" w:type="dxa"/>
            <w:vMerge w:val="restart"/>
            <w:tcBorders>
              <w:right w:val="single" w:sz="6" w:space="0" w:color="000000"/>
            </w:tcBorders>
          </w:tcPr>
          <w:p>
            <w:pPr>
              <w:pStyle w:val="TableParagraph"/>
              <w:spacing w:line="268" w:lineRule="exact"/>
              <w:ind w:left="127"/>
              <w:rPr>
                <w:sz w:val="24"/>
              </w:rPr>
            </w:pPr>
            <w:r>
              <w:rPr>
                <w:sz w:val="24"/>
              </w:rPr>
              <w:t>Групи</w:t>
            </w:r>
          </w:p>
        </w:tc>
        <w:tc>
          <w:tcPr>
            <w:tcW w:w="2266" w:type="dxa"/>
            <w:gridSpan w:val="2"/>
            <w:tcBorders>
              <w:left w:val="single" w:sz="6" w:space="0" w:color="000000"/>
              <w:right w:val="single" w:sz="6" w:space="0" w:color="000000"/>
            </w:tcBorders>
          </w:tcPr>
          <w:p>
            <w:pPr>
              <w:pStyle w:val="TableParagraph"/>
              <w:spacing w:before="25"/>
              <w:ind w:left="794"/>
              <w:rPr>
                <w:sz w:val="24"/>
              </w:rPr>
            </w:pPr>
            <w:r>
              <w:rPr>
                <w:sz w:val="24"/>
              </w:rPr>
              <w:t>1 охота</w:t>
            </w:r>
          </w:p>
        </w:tc>
        <w:tc>
          <w:tcPr>
            <w:tcW w:w="2412" w:type="dxa"/>
            <w:gridSpan w:val="2"/>
            <w:tcBorders>
              <w:left w:val="single" w:sz="6" w:space="0" w:color="000000"/>
              <w:right w:val="single" w:sz="6" w:space="0" w:color="000000"/>
            </w:tcBorders>
          </w:tcPr>
          <w:p>
            <w:pPr>
              <w:pStyle w:val="TableParagraph"/>
              <w:spacing w:before="25"/>
              <w:ind w:left="866"/>
              <w:rPr>
                <w:sz w:val="24"/>
              </w:rPr>
            </w:pPr>
            <w:r>
              <w:rPr>
                <w:sz w:val="24"/>
              </w:rPr>
              <w:t>2 охота</w:t>
            </w:r>
          </w:p>
        </w:tc>
        <w:tc>
          <w:tcPr>
            <w:tcW w:w="2274" w:type="dxa"/>
            <w:gridSpan w:val="2"/>
            <w:tcBorders>
              <w:left w:val="single" w:sz="6" w:space="0" w:color="000000"/>
            </w:tcBorders>
          </w:tcPr>
          <w:p>
            <w:pPr>
              <w:pStyle w:val="TableParagraph"/>
              <w:spacing w:before="25"/>
              <w:ind w:left="793"/>
              <w:rPr>
                <w:sz w:val="24"/>
              </w:rPr>
            </w:pPr>
            <w:r>
              <w:rPr>
                <w:sz w:val="24"/>
              </w:rPr>
              <w:t>3 охота</w:t>
            </w:r>
          </w:p>
        </w:tc>
      </w:tr>
      <w:tr>
        <w:trPr>
          <w:trHeight w:val="297" w:hRule="atLeast"/>
        </w:trPr>
        <w:tc>
          <w:tcPr>
            <w:tcW w:w="2024" w:type="dxa"/>
            <w:vMerge/>
            <w:tcBorders>
              <w:top w:val="nil"/>
            </w:tcBorders>
          </w:tcPr>
          <w:p>
            <w:pPr>
              <w:rPr>
                <w:sz w:val="2"/>
                <w:szCs w:val="2"/>
              </w:rPr>
            </w:pPr>
          </w:p>
        </w:tc>
        <w:tc>
          <w:tcPr>
            <w:tcW w:w="814" w:type="dxa"/>
            <w:vMerge/>
            <w:tcBorders>
              <w:top w:val="nil"/>
              <w:right w:val="single" w:sz="6" w:space="0" w:color="000000"/>
            </w:tcBorders>
          </w:tcPr>
          <w:p>
            <w:pPr>
              <w:rPr>
                <w:sz w:val="2"/>
                <w:szCs w:val="2"/>
              </w:rPr>
            </w:pPr>
          </w:p>
        </w:tc>
        <w:tc>
          <w:tcPr>
            <w:tcW w:w="6952" w:type="dxa"/>
            <w:gridSpan w:val="6"/>
            <w:tcBorders>
              <w:left w:val="single" w:sz="6" w:space="0" w:color="000000"/>
              <w:bottom w:val="single" w:sz="6" w:space="0" w:color="000000"/>
            </w:tcBorders>
          </w:tcPr>
          <w:p>
            <w:pPr>
              <w:pStyle w:val="TableParagraph"/>
              <w:spacing w:line="271" w:lineRule="exact" w:before="6"/>
              <w:ind w:left="2373" w:right="2292"/>
              <w:jc w:val="center"/>
              <w:rPr>
                <w:sz w:val="24"/>
              </w:rPr>
            </w:pPr>
            <w:r>
              <w:rPr>
                <w:sz w:val="24"/>
              </w:rPr>
              <w:t>Фази статевого циклу</w:t>
            </w:r>
          </w:p>
        </w:tc>
      </w:tr>
      <w:tr>
        <w:trPr>
          <w:trHeight w:val="283" w:hRule="atLeast"/>
        </w:trPr>
        <w:tc>
          <w:tcPr>
            <w:tcW w:w="2024" w:type="dxa"/>
            <w:vMerge/>
            <w:tcBorders>
              <w:top w:val="nil"/>
            </w:tcBorders>
          </w:tcPr>
          <w:p>
            <w:pPr>
              <w:rPr>
                <w:sz w:val="2"/>
                <w:szCs w:val="2"/>
              </w:rPr>
            </w:pPr>
          </w:p>
        </w:tc>
        <w:tc>
          <w:tcPr>
            <w:tcW w:w="814" w:type="dxa"/>
            <w:vMerge/>
            <w:tcBorders>
              <w:top w:val="nil"/>
              <w:right w:val="single" w:sz="6" w:space="0" w:color="000000"/>
            </w:tcBorders>
          </w:tcPr>
          <w:p>
            <w:pPr>
              <w:rPr>
                <w:sz w:val="2"/>
                <w:szCs w:val="2"/>
              </w:rPr>
            </w:pPr>
          </w:p>
        </w:tc>
        <w:tc>
          <w:tcPr>
            <w:tcW w:w="1273" w:type="dxa"/>
            <w:tcBorders>
              <w:top w:val="single" w:sz="6" w:space="0" w:color="000000"/>
              <w:left w:val="single" w:sz="6" w:space="0" w:color="000000"/>
              <w:right w:val="single" w:sz="6" w:space="0" w:color="000000"/>
            </w:tcBorders>
          </w:tcPr>
          <w:p>
            <w:pPr>
              <w:pStyle w:val="TableParagraph"/>
              <w:spacing w:line="249" w:lineRule="exact"/>
              <w:ind w:left="179"/>
              <w:rPr>
                <w:sz w:val="22"/>
              </w:rPr>
            </w:pPr>
            <w:r>
              <w:rPr>
                <w:sz w:val="22"/>
              </w:rPr>
              <w:t>лютеальна</w:t>
            </w:r>
          </w:p>
        </w:tc>
        <w:tc>
          <w:tcPr>
            <w:tcW w:w="993" w:type="dxa"/>
            <w:tcBorders>
              <w:top w:val="single" w:sz="6" w:space="0" w:color="000000"/>
              <w:left w:val="single" w:sz="6" w:space="0" w:color="000000"/>
              <w:right w:val="single" w:sz="6" w:space="0" w:color="000000"/>
            </w:tcBorders>
          </w:tcPr>
          <w:p>
            <w:pPr>
              <w:pStyle w:val="TableParagraph"/>
              <w:spacing w:line="249" w:lineRule="exact"/>
              <w:ind w:left="227"/>
              <w:rPr>
                <w:sz w:val="22"/>
              </w:rPr>
            </w:pPr>
            <w:r>
              <w:rPr>
                <w:sz w:val="22"/>
              </w:rPr>
              <w:t>еструс</w:t>
            </w:r>
          </w:p>
        </w:tc>
        <w:tc>
          <w:tcPr>
            <w:tcW w:w="1279" w:type="dxa"/>
            <w:tcBorders>
              <w:top w:val="single" w:sz="6" w:space="0" w:color="000000"/>
              <w:left w:val="single" w:sz="6" w:space="0" w:color="000000"/>
              <w:right w:val="single" w:sz="6" w:space="0" w:color="000000"/>
            </w:tcBorders>
          </w:tcPr>
          <w:p>
            <w:pPr>
              <w:pStyle w:val="TableParagraph"/>
              <w:spacing w:line="249" w:lineRule="exact"/>
              <w:ind w:left="180"/>
              <w:rPr>
                <w:sz w:val="22"/>
              </w:rPr>
            </w:pPr>
            <w:r>
              <w:rPr>
                <w:sz w:val="22"/>
              </w:rPr>
              <w:t>лютеальна</w:t>
            </w:r>
          </w:p>
        </w:tc>
        <w:tc>
          <w:tcPr>
            <w:tcW w:w="1133" w:type="dxa"/>
            <w:tcBorders>
              <w:top w:val="single" w:sz="6" w:space="0" w:color="000000"/>
              <w:left w:val="single" w:sz="6" w:space="0" w:color="000000"/>
              <w:right w:val="single" w:sz="6" w:space="0" w:color="000000"/>
            </w:tcBorders>
          </w:tcPr>
          <w:p>
            <w:pPr>
              <w:pStyle w:val="TableParagraph"/>
              <w:spacing w:line="249" w:lineRule="exact"/>
              <w:ind w:left="298"/>
              <w:rPr>
                <w:sz w:val="22"/>
              </w:rPr>
            </w:pPr>
            <w:r>
              <w:rPr>
                <w:sz w:val="22"/>
              </w:rPr>
              <w:t>еструс</w:t>
            </w:r>
          </w:p>
        </w:tc>
        <w:tc>
          <w:tcPr>
            <w:tcW w:w="1279" w:type="dxa"/>
            <w:tcBorders>
              <w:top w:val="single" w:sz="6" w:space="0" w:color="000000"/>
              <w:left w:val="single" w:sz="6" w:space="0" w:color="000000"/>
              <w:right w:val="single" w:sz="6" w:space="0" w:color="000000"/>
            </w:tcBorders>
          </w:tcPr>
          <w:p>
            <w:pPr>
              <w:pStyle w:val="TableParagraph"/>
              <w:spacing w:line="249" w:lineRule="exact"/>
              <w:ind w:left="178"/>
              <w:rPr>
                <w:sz w:val="22"/>
              </w:rPr>
            </w:pPr>
            <w:r>
              <w:rPr>
                <w:sz w:val="22"/>
              </w:rPr>
              <w:t>лютеальна</w:t>
            </w:r>
          </w:p>
        </w:tc>
        <w:tc>
          <w:tcPr>
            <w:tcW w:w="995" w:type="dxa"/>
            <w:tcBorders>
              <w:top w:val="single" w:sz="6" w:space="0" w:color="000000"/>
              <w:left w:val="single" w:sz="6" w:space="0" w:color="000000"/>
            </w:tcBorders>
          </w:tcPr>
          <w:p>
            <w:pPr>
              <w:pStyle w:val="TableParagraph"/>
              <w:spacing w:line="249" w:lineRule="exact"/>
              <w:ind w:left="205"/>
              <w:rPr>
                <w:sz w:val="22"/>
              </w:rPr>
            </w:pPr>
            <w:r>
              <w:rPr>
                <w:sz w:val="22"/>
              </w:rPr>
              <w:t>Еструс</w:t>
            </w:r>
          </w:p>
        </w:tc>
      </w:tr>
      <w:tr>
        <w:trPr>
          <w:trHeight w:val="551" w:hRule="atLeast"/>
        </w:trPr>
        <w:tc>
          <w:tcPr>
            <w:tcW w:w="2024" w:type="dxa"/>
            <w:vMerge w:val="restart"/>
          </w:tcPr>
          <w:p>
            <w:pPr>
              <w:pStyle w:val="TableParagraph"/>
              <w:ind w:left="297" w:right="205" w:firstLine="8"/>
              <w:jc w:val="center"/>
              <w:rPr>
                <w:sz w:val="24"/>
              </w:rPr>
            </w:pPr>
            <w:r>
              <w:rPr>
                <w:sz w:val="24"/>
              </w:rPr>
              <w:t>Пероксидна </w:t>
            </w:r>
            <w:r>
              <w:rPr>
                <w:spacing w:val="-1"/>
                <w:sz w:val="24"/>
              </w:rPr>
              <w:t>резистентність </w:t>
            </w:r>
            <w:r>
              <w:rPr>
                <w:sz w:val="24"/>
              </w:rPr>
              <w:t>еитроцитів, %</w:t>
            </w:r>
          </w:p>
        </w:tc>
        <w:tc>
          <w:tcPr>
            <w:tcW w:w="814" w:type="dxa"/>
          </w:tcPr>
          <w:p>
            <w:pPr>
              <w:pStyle w:val="TableParagraph"/>
              <w:spacing w:line="268" w:lineRule="exact"/>
              <w:ind w:right="295"/>
              <w:jc w:val="right"/>
              <w:rPr>
                <w:sz w:val="24"/>
              </w:rPr>
            </w:pPr>
            <w:r>
              <w:rPr>
                <w:sz w:val="24"/>
              </w:rPr>
              <w:t>1</w:t>
            </w:r>
          </w:p>
        </w:tc>
        <w:tc>
          <w:tcPr>
            <w:tcW w:w="1273" w:type="dxa"/>
          </w:tcPr>
          <w:p>
            <w:pPr>
              <w:pStyle w:val="TableParagraph"/>
              <w:spacing w:line="267" w:lineRule="exact"/>
              <w:ind w:left="340"/>
              <w:rPr>
                <w:sz w:val="24"/>
              </w:rPr>
            </w:pPr>
            <w:r>
              <w:rPr>
                <w:sz w:val="24"/>
              </w:rPr>
              <w:t>14,33</w:t>
            </w:r>
            <w:r>
              <w:rPr>
                <w:sz w:val="24"/>
                <w:u w:val="single"/>
              </w:rPr>
              <w:t>+</w:t>
            </w:r>
          </w:p>
          <w:p>
            <w:pPr>
              <w:pStyle w:val="TableParagraph"/>
              <w:spacing w:line="265" w:lineRule="exact"/>
              <w:ind w:left="470"/>
              <w:rPr>
                <w:sz w:val="24"/>
              </w:rPr>
            </w:pPr>
            <w:r>
              <w:rPr>
                <w:sz w:val="24"/>
              </w:rPr>
              <w:t>1,44</w:t>
            </w:r>
          </w:p>
        </w:tc>
        <w:tc>
          <w:tcPr>
            <w:tcW w:w="993" w:type="dxa"/>
          </w:tcPr>
          <w:p>
            <w:pPr>
              <w:pStyle w:val="TableParagraph"/>
              <w:spacing w:line="267" w:lineRule="exact"/>
              <w:ind w:left="195"/>
              <w:rPr>
                <w:sz w:val="24"/>
              </w:rPr>
            </w:pPr>
            <w:r>
              <w:rPr>
                <w:sz w:val="24"/>
              </w:rPr>
              <w:t>16,24</w:t>
            </w:r>
            <w:r>
              <w:rPr>
                <w:sz w:val="24"/>
                <w:u w:val="single"/>
              </w:rPr>
              <w:t>+</w:t>
            </w:r>
          </w:p>
          <w:p>
            <w:pPr>
              <w:pStyle w:val="TableParagraph"/>
              <w:spacing w:line="265" w:lineRule="exact"/>
              <w:ind w:left="325"/>
              <w:rPr>
                <w:sz w:val="24"/>
              </w:rPr>
            </w:pPr>
            <w:r>
              <w:rPr>
                <w:sz w:val="24"/>
              </w:rPr>
              <w:t>1,28</w:t>
            </w:r>
          </w:p>
        </w:tc>
        <w:tc>
          <w:tcPr>
            <w:tcW w:w="1279" w:type="dxa"/>
          </w:tcPr>
          <w:p>
            <w:pPr>
              <w:pStyle w:val="TableParagraph"/>
              <w:spacing w:line="267" w:lineRule="exact"/>
              <w:ind w:left="388"/>
              <w:rPr>
                <w:sz w:val="24"/>
              </w:rPr>
            </w:pPr>
            <w:r>
              <w:rPr>
                <w:sz w:val="24"/>
              </w:rPr>
              <w:t>11,57</w:t>
            </w:r>
            <w:r>
              <w:rPr>
                <w:sz w:val="24"/>
                <w:u w:val="single"/>
              </w:rPr>
              <w:t>+</w:t>
            </w:r>
          </w:p>
          <w:p>
            <w:pPr>
              <w:pStyle w:val="TableParagraph"/>
              <w:spacing w:line="265" w:lineRule="exact"/>
              <w:ind w:left="470"/>
              <w:rPr>
                <w:sz w:val="24"/>
              </w:rPr>
            </w:pPr>
            <w:r>
              <w:rPr>
                <w:sz w:val="24"/>
              </w:rPr>
              <w:t>0,97</w:t>
            </w:r>
          </w:p>
        </w:tc>
        <w:tc>
          <w:tcPr>
            <w:tcW w:w="1133" w:type="dxa"/>
          </w:tcPr>
          <w:p>
            <w:pPr>
              <w:pStyle w:val="TableParagraph"/>
              <w:spacing w:line="267" w:lineRule="exact"/>
              <w:ind w:left="315"/>
              <w:rPr>
                <w:sz w:val="24"/>
              </w:rPr>
            </w:pPr>
            <w:r>
              <w:rPr>
                <w:sz w:val="24"/>
              </w:rPr>
              <w:t>15,36</w:t>
            </w:r>
            <w:r>
              <w:rPr>
                <w:sz w:val="24"/>
                <w:u w:val="single"/>
              </w:rPr>
              <w:t>+</w:t>
            </w:r>
          </w:p>
          <w:p>
            <w:pPr>
              <w:pStyle w:val="TableParagraph"/>
              <w:spacing w:line="265" w:lineRule="exact"/>
              <w:ind w:left="396"/>
              <w:rPr>
                <w:sz w:val="24"/>
              </w:rPr>
            </w:pPr>
            <w:r>
              <w:rPr>
                <w:sz w:val="24"/>
              </w:rPr>
              <w:t>1,37</w:t>
            </w:r>
          </w:p>
        </w:tc>
        <w:tc>
          <w:tcPr>
            <w:tcW w:w="1279" w:type="dxa"/>
          </w:tcPr>
          <w:p>
            <w:pPr>
              <w:pStyle w:val="TableParagraph"/>
              <w:spacing w:line="267" w:lineRule="exact"/>
              <w:ind w:left="387"/>
              <w:rPr>
                <w:sz w:val="24"/>
              </w:rPr>
            </w:pPr>
            <w:r>
              <w:rPr>
                <w:sz w:val="24"/>
              </w:rPr>
              <w:t>10,24</w:t>
            </w:r>
            <w:r>
              <w:rPr>
                <w:sz w:val="24"/>
                <w:u w:val="single"/>
              </w:rPr>
              <w:t>+</w:t>
            </w:r>
          </w:p>
          <w:p>
            <w:pPr>
              <w:pStyle w:val="TableParagraph"/>
              <w:spacing w:line="265" w:lineRule="exact"/>
              <w:ind w:left="469"/>
              <w:rPr>
                <w:sz w:val="24"/>
              </w:rPr>
            </w:pPr>
            <w:r>
              <w:rPr>
                <w:sz w:val="24"/>
              </w:rPr>
              <w:t>1,14</w:t>
            </w:r>
          </w:p>
        </w:tc>
        <w:tc>
          <w:tcPr>
            <w:tcW w:w="995" w:type="dxa"/>
          </w:tcPr>
          <w:p>
            <w:pPr>
              <w:pStyle w:val="TableParagraph"/>
              <w:spacing w:line="267" w:lineRule="exact"/>
              <w:ind w:left="246"/>
              <w:rPr>
                <w:sz w:val="24"/>
              </w:rPr>
            </w:pPr>
            <w:r>
              <w:rPr>
                <w:sz w:val="24"/>
              </w:rPr>
              <w:t>13,71</w:t>
            </w:r>
            <w:r>
              <w:rPr>
                <w:sz w:val="24"/>
                <w:u w:val="single"/>
              </w:rPr>
              <w:t>+</w:t>
            </w:r>
          </w:p>
          <w:p>
            <w:pPr>
              <w:pStyle w:val="TableParagraph"/>
              <w:spacing w:line="265" w:lineRule="exact"/>
              <w:ind w:left="323"/>
              <w:rPr>
                <w:sz w:val="24"/>
              </w:rPr>
            </w:pPr>
            <w:r>
              <w:rPr>
                <w:sz w:val="24"/>
              </w:rPr>
              <w:t>1,32</w:t>
            </w:r>
          </w:p>
        </w:tc>
      </w:tr>
      <w:tr>
        <w:trPr>
          <w:trHeight w:val="556" w:hRule="atLeast"/>
        </w:trPr>
        <w:tc>
          <w:tcPr>
            <w:tcW w:w="2024" w:type="dxa"/>
            <w:vMerge/>
            <w:tcBorders>
              <w:top w:val="nil"/>
            </w:tcBorders>
          </w:tcPr>
          <w:p>
            <w:pPr>
              <w:rPr>
                <w:sz w:val="2"/>
                <w:szCs w:val="2"/>
              </w:rPr>
            </w:pPr>
          </w:p>
        </w:tc>
        <w:tc>
          <w:tcPr>
            <w:tcW w:w="814" w:type="dxa"/>
          </w:tcPr>
          <w:p>
            <w:pPr>
              <w:pStyle w:val="TableParagraph"/>
              <w:spacing w:line="273" w:lineRule="exact"/>
              <w:ind w:right="295"/>
              <w:jc w:val="right"/>
              <w:rPr>
                <w:sz w:val="24"/>
              </w:rPr>
            </w:pPr>
            <w:r>
              <w:rPr>
                <w:sz w:val="24"/>
              </w:rPr>
              <w:t>2</w:t>
            </w:r>
          </w:p>
        </w:tc>
        <w:tc>
          <w:tcPr>
            <w:tcW w:w="1273" w:type="dxa"/>
          </w:tcPr>
          <w:p>
            <w:pPr>
              <w:pStyle w:val="TableParagraph"/>
              <w:spacing w:line="273" w:lineRule="exact"/>
              <w:ind w:left="340"/>
              <w:rPr>
                <w:sz w:val="24"/>
              </w:rPr>
            </w:pPr>
            <w:r>
              <w:rPr>
                <w:sz w:val="24"/>
              </w:rPr>
              <w:t>16,01</w:t>
            </w:r>
            <w:r>
              <w:rPr>
                <w:sz w:val="24"/>
                <w:u w:val="single"/>
              </w:rPr>
              <w:t>+</w:t>
            </w:r>
          </w:p>
          <w:p>
            <w:pPr>
              <w:pStyle w:val="TableParagraph"/>
              <w:spacing w:line="261" w:lineRule="exact" w:before="2"/>
              <w:ind w:left="470"/>
              <w:rPr>
                <w:sz w:val="24"/>
              </w:rPr>
            </w:pPr>
            <w:r>
              <w:rPr>
                <w:sz w:val="24"/>
              </w:rPr>
              <w:t>1,53</w:t>
            </w:r>
          </w:p>
        </w:tc>
        <w:tc>
          <w:tcPr>
            <w:tcW w:w="993" w:type="dxa"/>
          </w:tcPr>
          <w:p>
            <w:pPr>
              <w:pStyle w:val="TableParagraph"/>
              <w:spacing w:line="273" w:lineRule="exact"/>
              <w:ind w:left="248"/>
              <w:rPr>
                <w:sz w:val="24"/>
              </w:rPr>
            </w:pPr>
            <w:r>
              <w:rPr>
                <w:sz w:val="24"/>
              </w:rPr>
              <w:t>18,92</w:t>
            </w:r>
            <w:r>
              <w:rPr>
                <w:sz w:val="24"/>
                <w:u w:val="single"/>
              </w:rPr>
              <w:t>+</w:t>
            </w:r>
          </w:p>
          <w:p>
            <w:pPr>
              <w:pStyle w:val="TableParagraph"/>
              <w:spacing w:line="261" w:lineRule="exact" w:before="2"/>
              <w:ind w:left="325"/>
              <w:rPr>
                <w:sz w:val="24"/>
              </w:rPr>
            </w:pPr>
            <w:r>
              <w:rPr>
                <w:sz w:val="24"/>
              </w:rPr>
              <w:t>1,22</w:t>
            </w:r>
          </w:p>
        </w:tc>
        <w:tc>
          <w:tcPr>
            <w:tcW w:w="1279" w:type="dxa"/>
          </w:tcPr>
          <w:p>
            <w:pPr>
              <w:pStyle w:val="TableParagraph"/>
              <w:spacing w:line="273" w:lineRule="exact"/>
              <w:ind w:left="340"/>
              <w:rPr>
                <w:sz w:val="24"/>
              </w:rPr>
            </w:pPr>
            <w:r>
              <w:rPr>
                <w:sz w:val="24"/>
              </w:rPr>
              <w:t>12,38</w:t>
            </w:r>
            <w:r>
              <w:rPr>
                <w:sz w:val="24"/>
                <w:u w:val="single"/>
              </w:rPr>
              <w:t>+</w:t>
            </w:r>
          </w:p>
          <w:p>
            <w:pPr>
              <w:pStyle w:val="TableParagraph"/>
              <w:spacing w:line="261" w:lineRule="exact" w:before="2"/>
              <w:ind w:left="470"/>
              <w:rPr>
                <w:sz w:val="24"/>
              </w:rPr>
            </w:pPr>
            <w:r>
              <w:rPr>
                <w:sz w:val="24"/>
              </w:rPr>
              <w:t>1,07</w:t>
            </w:r>
          </w:p>
        </w:tc>
        <w:tc>
          <w:tcPr>
            <w:tcW w:w="1133" w:type="dxa"/>
          </w:tcPr>
          <w:p>
            <w:pPr>
              <w:pStyle w:val="TableParagraph"/>
              <w:spacing w:line="273" w:lineRule="exact"/>
              <w:ind w:left="315"/>
              <w:rPr>
                <w:sz w:val="24"/>
              </w:rPr>
            </w:pPr>
            <w:r>
              <w:rPr>
                <w:sz w:val="24"/>
              </w:rPr>
              <w:t>14,91</w:t>
            </w:r>
            <w:r>
              <w:rPr>
                <w:sz w:val="24"/>
                <w:u w:val="single"/>
              </w:rPr>
              <w:t>+</w:t>
            </w:r>
          </w:p>
          <w:p>
            <w:pPr>
              <w:pStyle w:val="TableParagraph"/>
              <w:spacing w:line="261" w:lineRule="exact" w:before="2"/>
              <w:ind w:left="396"/>
              <w:rPr>
                <w:sz w:val="24"/>
              </w:rPr>
            </w:pPr>
            <w:r>
              <w:rPr>
                <w:sz w:val="24"/>
              </w:rPr>
              <w:t>1,22</w:t>
            </w:r>
          </w:p>
        </w:tc>
        <w:tc>
          <w:tcPr>
            <w:tcW w:w="1279" w:type="dxa"/>
          </w:tcPr>
          <w:p>
            <w:pPr>
              <w:pStyle w:val="TableParagraph"/>
              <w:spacing w:line="273" w:lineRule="exact"/>
              <w:ind w:left="440"/>
              <w:rPr>
                <w:sz w:val="24"/>
              </w:rPr>
            </w:pPr>
            <w:r>
              <w:rPr>
                <w:spacing w:val="-16"/>
                <w:sz w:val="24"/>
              </w:rPr>
              <w:t>7,58</w:t>
            </w:r>
            <w:r>
              <w:rPr>
                <w:spacing w:val="-16"/>
                <w:sz w:val="24"/>
                <w:u w:val="single"/>
              </w:rPr>
              <w:t>+</w:t>
            </w:r>
          </w:p>
          <w:p>
            <w:pPr>
              <w:pStyle w:val="TableParagraph"/>
              <w:spacing w:line="261" w:lineRule="exact" w:before="2"/>
              <w:ind w:left="469"/>
              <w:rPr>
                <w:sz w:val="24"/>
              </w:rPr>
            </w:pPr>
            <w:r>
              <w:rPr>
                <w:sz w:val="24"/>
              </w:rPr>
              <w:t>1,05</w:t>
            </w:r>
          </w:p>
        </w:tc>
        <w:tc>
          <w:tcPr>
            <w:tcW w:w="995" w:type="dxa"/>
          </w:tcPr>
          <w:p>
            <w:pPr>
              <w:pStyle w:val="TableParagraph"/>
              <w:spacing w:line="273" w:lineRule="exact"/>
              <w:ind w:left="294"/>
              <w:rPr>
                <w:sz w:val="24"/>
              </w:rPr>
            </w:pPr>
            <w:r>
              <w:rPr>
                <w:spacing w:val="-16"/>
                <w:sz w:val="24"/>
              </w:rPr>
              <w:t>9,31</w:t>
            </w:r>
            <w:r>
              <w:rPr>
                <w:spacing w:val="-16"/>
                <w:sz w:val="24"/>
                <w:u w:val="single"/>
              </w:rPr>
              <w:t>+</w:t>
            </w:r>
          </w:p>
          <w:p>
            <w:pPr>
              <w:pStyle w:val="TableParagraph"/>
              <w:spacing w:line="261" w:lineRule="exact" w:before="2"/>
              <w:ind w:left="323"/>
              <w:rPr>
                <w:sz w:val="24"/>
              </w:rPr>
            </w:pPr>
            <w:r>
              <w:rPr>
                <w:sz w:val="24"/>
              </w:rPr>
              <w:t>1,45</w:t>
            </w:r>
          </w:p>
        </w:tc>
      </w:tr>
      <w:tr>
        <w:trPr>
          <w:trHeight w:val="556" w:hRule="atLeast"/>
        </w:trPr>
        <w:tc>
          <w:tcPr>
            <w:tcW w:w="2024" w:type="dxa"/>
            <w:vMerge w:val="restart"/>
          </w:tcPr>
          <w:p>
            <w:pPr>
              <w:pStyle w:val="TableParagraph"/>
              <w:spacing w:line="242" w:lineRule="auto"/>
              <w:ind w:left="426" w:right="27" w:hanging="284"/>
              <w:rPr>
                <w:sz w:val="24"/>
              </w:rPr>
            </w:pPr>
            <w:r>
              <w:rPr>
                <w:color w:val="221F1F"/>
                <w:sz w:val="24"/>
              </w:rPr>
              <w:t>Ксантиноксидаза</w:t>
            </w:r>
            <w:r>
              <w:rPr>
                <w:sz w:val="24"/>
              </w:rPr>
              <w:t>, мккат /сек·л</w:t>
            </w:r>
          </w:p>
        </w:tc>
        <w:tc>
          <w:tcPr>
            <w:tcW w:w="814" w:type="dxa"/>
          </w:tcPr>
          <w:p>
            <w:pPr>
              <w:pStyle w:val="TableParagraph"/>
              <w:spacing w:line="268" w:lineRule="exact"/>
              <w:ind w:right="295"/>
              <w:jc w:val="right"/>
              <w:rPr>
                <w:sz w:val="24"/>
              </w:rPr>
            </w:pPr>
            <w:r>
              <w:rPr>
                <w:sz w:val="24"/>
              </w:rPr>
              <w:t>1</w:t>
            </w:r>
          </w:p>
        </w:tc>
        <w:tc>
          <w:tcPr>
            <w:tcW w:w="1273" w:type="dxa"/>
          </w:tcPr>
          <w:p>
            <w:pPr>
              <w:pStyle w:val="TableParagraph"/>
              <w:spacing w:line="268" w:lineRule="exact"/>
              <w:ind w:left="340"/>
              <w:rPr>
                <w:sz w:val="24"/>
              </w:rPr>
            </w:pPr>
            <w:r>
              <w:rPr>
                <w:sz w:val="24"/>
              </w:rPr>
              <w:t>37,36</w:t>
            </w:r>
            <w:r>
              <w:rPr>
                <w:sz w:val="24"/>
                <w:u w:val="single"/>
              </w:rPr>
              <w:t>+</w:t>
            </w:r>
          </w:p>
          <w:p>
            <w:pPr>
              <w:pStyle w:val="TableParagraph"/>
              <w:spacing w:line="266" w:lineRule="exact" w:before="3"/>
              <w:ind w:left="470"/>
              <w:rPr>
                <w:sz w:val="24"/>
              </w:rPr>
            </w:pPr>
            <w:r>
              <w:rPr>
                <w:sz w:val="24"/>
              </w:rPr>
              <w:t>2,81</w:t>
            </w:r>
          </w:p>
        </w:tc>
        <w:tc>
          <w:tcPr>
            <w:tcW w:w="993" w:type="dxa"/>
          </w:tcPr>
          <w:p>
            <w:pPr>
              <w:pStyle w:val="TableParagraph"/>
              <w:spacing w:line="268" w:lineRule="exact"/>
              <w:ind w:left="195"/>
              <w:rPr>
                <w:sz w:val="24"/>
              </w:rPr>
            </w:pPr>
            <w:r>
              <w:rPr>
                <w:sz w:val="24"/>
              </w:rPr>
              <w:t>33,15</w:t>
            </w:r>
            <w:r>
              <w:rPr>
                <w:sz w:val="24"/>
                <w:u w:val="single"/>
              </w:rPr>
              <w:t>+</w:t>
            </w:r>
          </w:p>
          <w:p>
            <w:pPr>
              <w:pStyle w:val="TableParagraph"/>
              <w:spacing w:line="266" w:lineRule="exact" w:before="3"/>
              <w:ind w:left="325"/>
              <w:rPr>
                <w:sz w:val="24"/>
              </w:rPr>
            </w:pPr>
            <w:r>
              <w:rPr>
                <w:sz w:val="24"/>
              </w:rPr>
              <w:t>4,17</w:t>
            </w:r>
          </w:p>
        </w:tc>
        <w:tc>
          <w:tcPr>
            <w:tcW w:w="1279" w:type="dxa"/>
          </w:tcPr>
          <w:p>
            <w:pPr>
              <w:pStyle w:val="TableParagraph"/>
              <w:spacing w:line="268" w:lineRule="exact"/>
              <w:ind w:left="388"/>
              <w:rPr>
                <w:sz w:val="24"/>
              </w:rPr>
            </w:pPr>
            <w:r>
              <w:rPr>
                <w:sz w:val="24"/>
              </w:rPr>
              <w:t>36,37</w:t>
            </w:r>
            <w:r>
              <w:rPr>
                <w:sz w:val="24"/>
                <w:u w:val="single"/>
              </w:rPr>
              <w:t>+</w:t>
            </w:r>
          </w:p>
          <w:p>
            <w:pPr>
              <w:pStyle w:val="TableParagraph"/>
              <w:spacing w:line="266" w:lineRule="exact" w:before="3"/>
              <w:ind w:left="470"/>
              <w:rPr>
                <w:sz w:val="24"/>
              </w:rPr>
            </w:pPr>
            <w:r>
              <w:rPr>
                <w:sz w:val="24"/>
              </w:rPr>
              <w:t>5,07</w:t>
            </w:r>
          </w:p>
        </w:tc>
        <w:tc>
          <w:tcPr>
            <w:tcW w:w="1133" w:type="dxa"/>
          </w:tcPr>
          <w:p>
            <w:pPr>
              <w:pStyle w:val="TableParagraph"/>
              <w:spacing w:line="268" w:lineRule="exact"/>
              <w:ind w:left="315"/>
              <w:rPr>
                <w:sz w:val="24"/>
              </w:rPr>
            </w:pPr>
            <w:r>
              <w:rPr>
                <w:sz w:val="24"/>
              </w:rPr>
              <w:t>40,18</w:t>
            </w:r>
            <w:r>
              <w:rPr>
                <w:sz w:val="24"/>
                <w:u w:val="single"/>
              </w:rPr>
              <w:t>+</w:t>
            </w:r>
          </w:p>
          <w:p>
            <w:pPr>
              <w:pStyle w:val="TableParagraph"/>
              <w:spacing w:line="266" w:lineRule="exact" w:before="3"/>
              <w:ind w:left="396"/>
              <w:rPr>
                <w:sz w:val="24"/>
              </w:rPr>
            </w:pPr>
            <w:r>
              <w:rPr>
                <w:sz w:val="24"/>
              </w:rPr>
              <w:t>4,49</w:t>
            </w:r>
          </w:p>
        </w:tc>
        <w:tc>
          <w:tcPr>
            <w:tcW w:w="1279" w:type="dxa"/>
          </w:tcPr>
          <w:p>
            <w:pPr>
              <w:pStyle w:val="TableParagraph"/>
              <w:spacing w:line="268" w:lineRule="exact"/>
              <w:ind w:left="387"/>
              <w:rPr>
                <w:sz w:val="24"/>
              </w:rPr>
            </w:pPr>
            <w:r>
              <w:rPr>
                <w:sz w:val="24"/>
              </w:rPr>
              <w:t>32,75</w:t>
            </w:r>
            <w:r>
              <w:rPr>
                <w:sz w:val="24"/>
                <w:u w:val="single"/>
              </w:rPr>
              <w:t>+</w:t>
            </w:r>
          </w:p>
          <w:p>
            <w:pPr>
              <w:pStyle w:val="TableParagraph"/>
              <w:spacing w:line="266" w:lineRule="exact" w:before="3"/>
              <w:ind w:left="469"/>
              <w:rPr>
                <w:sz w:val="24"/>
              </w:rPr>
            </w:pPr>
            <w:r>
              <w:rPr>
                <w:sz w:val="24"/>
              </w:rPr>
              <w:t>4,71</w:t>
            </w:r>
          </w:p>
        </w:tc>
        <w:tc>
          <w:tcPr>
            <w:tcW w:w="995" w:type="dxa"/>
          </w:tcPr>
          <w:p>
            <w:pPr>
              <w:pStyle w:val="TableParagraph"/>
              <w:spacing w:line="268" w:lineRule="exact"/>
              <w:ind w:left="294"/>
              <w:rPr>
                <w:sz w:val="24"/>
              </w:rPr>
            </w:pPr>
            <w:r>
              <w:rPr>
                <w:spacing w:val="-16"/>
                <w:sz w:val="24"/>
              </w:rPr>
              <w:t>5,07</w:t>
            </w:r>
            <w:r>
              <w:rPr>
                <w:spacing w:val="-16"/>
                <w:sz w:val="24"/>
                <w:u w:val="single"/>
              </w:rPr>
              <w:t>+</w:t>
            </w:r>
          </w:p>
          <w:p>
            <w:pPr>
              <w:pStyle w:val="TableParagraph"/>
              <w:spacing w:line="266" w:lineRule="exact" w:before="3"/>
              <w:ind w:left="323"/>
              <w:rPr>
                <w:sz w:val="24"/>
              </w:rPr>
            </w:pPr>
            <w:r>
              <w:rPr>
                <w:sz w:val="24"/>
              </w:rPr>
              <w:t>4,63</w:t>
            </w:r>
          </w:p>
        </w:tc>
      </w:tr>
      <w:tr>
        <w:trPr>
          <w:trHeight w:val="556" w:hRule="atLeast"/>
        </w:trPr>
        <w:tc>
          <w:tcPr>
            <w:tcW w:w="2024" w:type="dxa"/>
            <w:vMerge/>
            <w:tcBorders>
              <w:top w:val="nil"/>
            </w:tcBorders>
          </w:tcPr>
          <w:p>
            <w:pPr>
              <w:rPr>
                <w:sz w:val="2"/>
                <w:szCs w:val="2"/>
              </w:rPr>
            </w:pPr>
          </w:p>
        </w:tc>
        <w:tc>
          <w:tcPr>
            <w:tcW w:w="814" w:type="dxa"/>
          </w:tcPr>
          <w:p>
            <w:pPr>
              <w:pStyle w:val="TableParagraph"/>
              <w:spacing w:line="273" w:lineRule="exact"/>
              <w:ind w:right="295"/>
              <w:jc w:val="right"/>
              <w:rPr>
                <w:sz w:val="24"/>
              </w:rPr>
            </w:pPr>
            <w:r>
              <w:rPr>
                <w:sz w:val="24"/>
              </w:rPr>
              <w:t>2</w:t>
            </w:r>
          </w:p>
        </w:tc>
        <w:tc>
          <w:tcPr>
            <w:tcW w:w="1273" w:type="dxa"/>
          </w:tcPr>
          <w:p>
            <w:pPr>
              <w:pStyle w:val="TableParagraph"/>
              <w:spacing w:line="273" w:lineRule="exact"/>
              <w:ind w:left="340"/>
              <w:rPr>
                <w:sz w:val="24"/>
              </w:rPr>
            </w:pPr>
            <w:r>
              <w:rPr>
                <w:sz w:val="24"/>
              </w:rPr>
              <w:t>28,93</w:t>
            </w:r>
            <w:r>
              <w:rPr>
                <w:sz w:val="24"/>
                <w:u w:val="single"/>
              </w:rPr>
              <w:t>+</w:t>
            </w:r>
          </w:p>
          <w:p>
            <w:pPr>
              <w:pStyle w:val="TableParagraph"/>
              <w:spacing w:line="261" w:lineRule="exact" w:before="2"/>
              <w:ind w:left="470"/>
              <w:rPr>
                <w:sz w:val="24"/>
              </w:rPr>
            </w:pPr>
            <w:r>
              <w:rPr>
                <w:sz w:val="24"/>
              </w:rPr>
              <w:t>3,64</w:t>
            </w:r>
          </w:p>
        </w:tc>
        <w:tc>
          <w:tcPr>
            <w:tcW w:w="993" w:type="dxa"/>
          </w:tcPr>
          <w:p>
            <w:pPr>
              <w:pStyle w:val="TableParagraph"/>
              <w:spacing w:line="273" w:lineRule="exact"/>
              <w:ind w:left="248"/>
              <w:rPr>
                <w:sz w:val="24"/>
              </w:rPr>
            </w:pPr>
            <w:r>
              <w:rPr>
                <w:sz w:val="24"/>
              </w:rPr>
              <w:t>30,36</w:t>
            </w:r>
            <w:r>
              <w:rPr>
                <w:sz w:val="24"/>
                <w:u w:val="single"/>
              </w:rPr>
              <w:t>+</w:t>
            </w:r>
          </w:p>
          <w:p>
            <w:pPr>
              <w:pStyle w:val="TableParagraph"/>
              <w:spacing w:line="261" w:lineRule="exact" w:before="2"/>
              <w:ind w:left="325"/>
              <w:rPr>
                <w:sz w:val="24"/>
              </w:rPr>
            </w:pPr>
            <w:r>
              <w:rPr>
                <w:sz w:val="24"/>
              </w:rPr>
              <w:t>3,39</w:t>
            </w:r>
          </w:p>
        </w:tc>
        <w:tc>
          <w:tcPr>
            <w:tcW w:w="1279" w:type="dxa"/>
          </w:tcPr>
          <w:p>
            <w:pPr>
              <w:pStyle w:val="TableParagraph"/>
              <w:spacing w:line="273" w:lineRule="exact"/>
              <w:ind w:left="340"/>
              <w:rPr>
                <w:sz w:val="24"/>
              </w:rPr>
            </w:pPr>
            <w:r>
              <w:rPr>
                <w:sz w:val="24"/>
              </w:rPr>
              <w:t>39,12</w:t>
            </w:r>
            <w:r>
              <w:rPr>
                <w:sz w:val="24"/>
                <w:u w:val="single"/>
              </w:rPr>
              <w:t>+</w:t>
            </w:r>
          </w:p>
          <w:p>
            <w:pPr>
              <w:pStyle w:val="TableParagraph"/>
              <w:spacing w:line="261" w:lineRule="exact" w:before="2"/>
              <w:ind w:left="470"/>
              <w:rPr>
                <w:sz w:val="24"/>
              </w:rPr>
            </w:pPr>
            <w:r>
              <w:rPr>
                <w:sz w:val="24"/>
              </w:rPr>
              <w:t>3,78</w:t>
            </w:r>
          </w:p>
        </w:tc>
        <w:tc>
          <w:tcPr>
            <w:tcW w:w="1133" w:type="dxa"/>
          </w:tcPr>
          <w:p>
            <w:pPr>
              <w:pStyle w:val="TableParagraph"/>
              <w:spacing w:line="273" w:lineRule="exact"/>
              <w:ind w:left="315"/>
              <w:rPr>
                <w:sz w:val="24"/>
              </w:rPr>
            </w:pPr>
            <w:r>
              <w:rPr>
                <w:sz w:val="24"/>
              </w:rPr>
              <w:t>38,78</w:t>
            </w:r>
            <w:r>
              <w:rPr>
                <w:sz w:val="24"/>
                <w:u w:val="single"/>
              </w:rPr>
              <w:t>+</w:t>
            </w:r>
          </w:p>
          <w:p>
            <w:pPr>
              <w:pStyle w:val="TableParagraph"/>
              <w:spacing w:line="261" w:lineRule="exact" w:before="2"/>
              <w:ind w:left="396"/>
              <w:rPr>
                <w:sz w:val="24"/>
              </w:rPr>
            </w:pPr>
            <w:r>
              <w:rPr>
                <w:sz w:val="24"/>
              </w:rPr>
              <w:t>5,56</w:t>
            </w:r>
          </w:p>
        </w:tc>
        <w:tc>
          <w:tcPr>
            <w:tcW w:w="1279" w:type="dxa"/>
          </w:tcPr>
          <w:p>
            <w:pPr>
              <w:pStyle w:val="TableParagraph"/>
              <w:spacing w:line="273" w:lineRule="exact"/>
              <w:ind w:left="387"/>
              <w:rPr>
                <w:sz w:val="24"/>
              </w:rPr>
            </w:pPr>
            <w:r>
              <w:rPr>
                <w:sz w:val="24"/>
              </w:rPr>
              <w:t>35,63</w:t>
            </w:r>
            <w:r>
              <w:rPr>
                <w:sz w:val="24"/>
                <w:u w:val="single"/>
              </w:rPr>
              <w:t>+</w:t>
            </w:r>
          </w:p>
          <w:p>
            <w:pPr>
              <w:pStyle w:val="TableParagraph"/>
              <w:spacing w:line="261" w:lineRule="exact" w:before="2"/>
              <w:ind w:left="469"/>
              <w:rPr>
                <w:sz w:val="24"/>
              </w:rPr>
            </w:pPr>
            <w:r>
              <w:rPr>
                <w:sz w:val="24"/>
              </w:rPr>
              <w:t>4,68</w:t>
            </w:r>
          </w:p>
        </w:tc>
        <w:tc>
          <w:tcPr>
            <w:tcW w:w="995" w:type="dxa"/>
          </w:tcPr>
          <w:p>
            <w:pPr>
              <w:pStyle w:val="TableParagraph"/>
              <w:spacing w:line="273" w:lineRule="exact"/>
              <w:ind w:left="246"/>
              <w:rPr>
                <w:sz w:val="24"/>
              </w:rPr>
            </w:pPr>
            <w:r>
              <w:rPr>
                <w:sz w:val="24"/>
              </w:rPr>
              <w:t>46,39</w:t>
            </w:r>
            <w:r>
              <w:rPr>
                <w:sz w:val="24"/>
                <w:u w:val="single"/>
              </w:rPr>
              <w:t>+</w:t>
            </w:r>
          </w:p>
          <w:p>
            <w:pPr>
              <w:pStyle w:val="TableParagraph"/>
              <w:spacing w:line="261" w:lineRule="exact" w:before="2"/>
              <w:ind w:left="323"/>
              <w:rPr>
                <w:sz w:val="24"/>
              </w:rPr>
            </w:pPr>
            <w:r>
              <w:rPr>
                <w:sz w:val="24"/>
              </w:rPr>
              <w:t>3,13</w:t>
            </w:r>
          </w:p>
        </w:tc>
      </w:tr>
      <w:tr>
        <w:trPr>
          <w:trHeight w:val="556" w:hRule="atLeast"/>
        </w:trPr>
        <w:tc>
          <w:tcPr>
            <w:tcW w:w="2024" w:type="dxa"/>
            <w:vMerge w:val="restart"/>
          </w:tcPr>
          <w:p>
            <w:pPr>
              <w:pStyle w:val="TableParagraph"/>
              <w:ind w:left="503" w:right="420" w:firstLine="5"/>
              <w:jc w:val="center"/>
              <w:rPr>
                <w:sz w:val="24"/>
              </w:rPr>
            </w:pPr>
            <w:r>
              <w:rPr>
                <w:color w:val="221F1F"/>
                <w:sz w:val="24"/>
              </w:rPr>
              <w:t>Дієнові кон'югати</w:t>
            </w:r>
            <w:r>
              <w:rPr>
                <w:sz w:val="24"/>
              </w:rPr>
              <w:t>, ммоль/л</w:t>
            </w:r>
          </w:p>
        </w:tc>
        <w:tc>
          <w:tcPr>
            <w:tcW w:w="814" w:type="dxa"/>
          </w:tcPr>
          <w:p>
            <w:pPr>
              <w:pStyle w:val="TableParagraph"/>
              <w:spacing w:line="268" w:lineRule="exact"/>
              <w:ind w:right="305"/>
              <w:jc w:val="right"/>
              <w:rPr>
                <w:sz w:val="24"/>
              </w:rPr>
            </w:pPr>
            <w:r>
              <w:rPr>
                <w:sz w:val="24"/>
              </w:rPr>
              <w:t>1</w:t>
            </w:r>
          </w:p>
        </w:tc>
        <w:tc>
          <w:tcPr>
            <w:tcW w:w="1273" w:type="dxa"/>
          </w:tcPr>
          <w:p>
            <w:pPr>
              <w:pStyle w:val="TableParagraph"/>
              <w:spacing w:line="271" w:lineRule="exact"/>
              <w:ind w:left="397"/>
              <w:rPr>
                <w:sz w:val="24"/>
              </w:rPr>
            </w:pPr>
            <w:r>
              <w:rPr>
                <w:sz w:val="24"/>
              </w:rPr>
              <w:t>2,07</w:t>
            </w:r>
            <w:r>
              <w:rPr>
                <w:sz w:val="24"/>
                <w:u w:val="single"/>
              </w:rPr>
              <w:t>+</w:t>
            </w:r>
          </w:p>
          <w:p>
            <w:pPr>
              <w:pStyle w:val="TableParagraph"/>
              <w:spacing w:line="265" w:lineRule="exact"/>
              <w:ind w:left="407"/>
              <w:rPr>
                <w:sz w:val="24"/>
              </w:rPr>
            </w:pPr>
            <w:r>
              <w:rPr>
                <w:sz w:val="24"/>
              </w:rPr>
              <w:t>0,159</w:t>
            </w:r>
          </w:p>
        </w:tc>
        <w:tc>
          <w:tcPr>
            <w:tcW w:w="993" w:type="dxa"/>
          </w:tcPr>
          <w:p>
            <w:pPr>
              <w:pStyle w:val="TableParagraph"/>
              <w:spacing w:line="271" w:lineRule="exact"/>
              <w:ind w:left="258"/>
              <w:rPr>
                <w:sz w:val="24"/>
              </w:rPr>
            </w:pPr>
            <w:r>
              <w:rPr>
                <w:sz w:val="24"/>
              </w:rPr>
              <w:t>2,87</w:t>
            </w:r>
            <w:r>
              <w:rPr>
                <w:sz w:val="24"/>
                <w:u w:val="single"/>
              </w:rPr>
              <w:t>+</w:t>
            </w:r>
          </w:p>
          <w:p>
            <w:pPr>
              <w:pStyle w:val="TableParagraph"/>
              <w:spacing w:line="265" w:lineRule="exact"/>
              <w:ind w:left="147"/>
              <w:rPr>
                <w:sz w:val="24"/>
              </w:rPr>
            </w:pPr>
            <w:r>
              <w:rPr>
                <w:sz w:val="24"/>
              </w:rPr>
              <w:t>0,180**</w:t>
            </w:r>
          </w:p>
        </w:tc>
        <w:tc>
          <w:tcPr>
            <w:tcW w:w="1279" w:type="dxa"/>
          </w:tcPr>
          <w:p>
            <w:pPr>
              <w:pStyle w:val="TableParagraph"/>
              <w:spacing w:line="271" w:lineRule="exact"/>
              <w:ind w:left="398"/>
              <w:rPr>
                <w:sz w:val="24"/>
              </w:rPr>
            </w:pPr>
            <w:r>
              <w:rPr>
                <w:sz w:val="24"/>
              </w:rPr>
              <w:t>2,11</w:t>
            </w:r>
            <w:r>
              <w:rPr>
                <w:sz w:val="24"/>
                <w:u w:val="single"/>
              </w:rPr>
              <w:t>+</w:t>
            </w:r>
          </w:p>
          <w:p>
            <w:pPr>
              <w:pStyle w:val="TableParagraph"/>
              <w:spacing w:line="265" w:lineRule="exact"/>
              <w:ind w:left="408"/>
              <w:rPr>
                <w:sz w:val="24"/>
              </w:rPr>
            </w:pPr>
            <w:r>
              <w:rPr>
                <w:sz w:val="24"/>
              </w:rPr>
              <w:t>0,233</w:t>
            </w:r>
          </w:p>
        </w:tc>
        <w:tc>
          <w:tcPr>
            <w:tcW w:w="1133" w:type="dxa"/>
          </w:tcPr>
          <w:p>
            <w:pPr>
              <w:pStyle w:val="TableParagraph"/>
              <w:spacing w:line="268" w:lineRule="exact"/>
              <w:ind w:left="367"/>
              <w:rPr>
                <w:sz w:val="24"/>
              </w:rPr>
            </w:pPr>
            <w:r>
              <w:rPr>
                <w:spacing w:val="-16"/>
                <w:sz w:val="24"/>
              </w:rPr>
              <w:t>2,24</w:t>
            </w:r>
            <w:r>
              <w:rPr>
                <w:spacing w:val="-16"/>
                <w:sz w:val="24"/>
                <w:u w:val="single"/>
              </w:rPr>
              <w:t>+</w:t>
            </w:r>
          </w:p>
          <w:p>
            <w:pPr>
              <w:pStyle w:val="TableParagraph"/>
              <w:spacing w:line="266" w:lineRule="exact" w:before="2"/>
              <w:ind w:left="334"/>
              <w:rPr>
                <w:sz w:val="24"/>
              </w:rPr>
            </w:pPr>
            <w:r>
              <w:rPr>
                <w:sz w:val="24"/>
              </w:rPr>
              <w:t>0,301</w:t>
            </w:r>
          </w:p>
        </w:tc>
        <w:tc>
          <w:tcPr>
            <w:tcW w:w="1279" w:type="dxa"/>
          </w:tcPr>
          <w:p>
            <w:pPr>
              <w:pStyle w:val="TableParagraph"/>
              <w:spacing w:line="268" w:lineRule="exact"/>
              <w:ind w:left="440"/>
              <w:rPr>
                <w:sz w:val="24"/>
              </w:rPr>
            </w:pPr>
            <w:r>
              <w:rPr>
                <w:spacing w:val="-16"/>
                <w:sz w:val="24"/>
              </w:rPr>
              <w:t>1,65</w:t>
            </w:r>
            <w:r>
              <w:rPr>
                <w:spacing w:val="-16"/>
                <w:sz w:val="24"/>
                <w:u w:val="single"/>
              </w:rPr>
              <w:t>+</w:t>
            </w:r>
          </w:p>
          <w:p>
            <w:pPr>
              <w:pStyle w:val="TableParagraph"/>
              <w:spacing w:line="266" w:lineRule="exact" w:before="2"/>
              <w:ind w:left="406"/>
              <w:rPr>
                <w:sz w:val="24"/>
              </w:rPr>
            </w:pPr>
            <w:r>
              <w:rPr>
                <w:sz w:val="24"/>
              </w:rPr>
              <w:t>0,121</w:t>
            </w:r>
          </w:p>
        </w:tc>
        <w:tc>
          <w:tcPr>
            <w:tcW w:w="995" w:type="dxa"/>
          </w:tcPr>
          <w:p>
            <w:pPr>
              <w:pStyle w:val="TableParagraph"/>
              <w:spacing w:line="268" w:lineRule="exact"/>
              <w:ind w:left="294"/>
              <w:rPr>
                <w:sz w:val="24"/>
              </w:rPr>
            </w:pPr>
            <w:r>
              <w:rPr>
                <w:sz w:val="24"/>
              </w:rPr>
              <w:t>3,09</w:t>
            </w:r>
            <w:r>
              <w:rPr>
                <w:sz w:val="24"/>
                <w:u w:val="single"/>
              </w:rPr>
              <w:t>+</w:t>
            </w:r>
          </w:p>
          <w:p>
            <w:pPr>
              <w:pStyle w:val="TableParagraph"/>
              <w:spacing w:line="266" w:lineRule="exact" w:before="2"/>
              <w:ind w:left="203"/>
              <w:rPr>
                <w:sz w:val="24"/>
              </w:rPr>
            </w:pPr>
            <w:r>
              <w:rPr>
                <w:sz w:val="24"/>
              </w:rPr>
              <w:t>0,469*</w:t>
            </w:r>
          </w:p>
        </w:tc>
      </w:tr>
      <w:tr>
        <w:trPr>
          <w:trHeight w:val="566" w:hRule="atLeast"/>
        </w:trPr>
        <w:tc>
          <w:tcPr>
            <w:tcW w:w="2024" w:type="dxa"/>
            <w:vMerge/>
            <w:tcBorders>
              <w:top w:val="nil"/>
            </w:tcBorders>
          </w:tcPr>
          <w:p>
            <w:pPr>
              <w:rPr>
                <w:sz w:val="2"/>
                <w:szCs w:val="2"/>
              </w:rPr>
            </w:pPr>
          </w:p>
        </w:tc>
        <w:tc>
          <w:tcPr>
            <w:tcW w:w="814" w:type="dxa"/>
          </w:tcPr>
          <w:p>
            <w:pPr>
              <w:pStyle w:val="TableParagraph"/>
              <w:spacing w:line="273" w:lineRule="exact"/>
              <w:ind w:right="305"/>
              <w:jc w:val="right"/>
              <w:rPr>
                <w:sz w:val="24"/>
              </w:rPr>
            </w:pPr>
            <w:r>
              <w:rPr>
                <w:sz w:val="24"/>
              </w:rPr>
              <w:t>2</w:t>
            </w:r>
          </w:p>
        </w:tc>
        <w:tc>
          <w:tcPr>
            <w:tcW w:w="1273" w:type="dxa"/>
          </w:tcPr>
          <w:p>
            <w:pPr>
              <w:pStyle w:val="TableParagraph"/>
              <w:spacing w:before="1"/>
              <w:ind w:left="397"/>
              <w:rPr>
                <w:sz w:val="24"/>
              </w:rPr>
            </w:pPr>
            <w:r>
              <w:rPr>
                <w:sz w:val="24"/>
              </w:rPr>
              <w:t>1,91</w:t>
            </w:r>
            <w:r>
              <w:rPr>
                <w:sz w:val="24"/>
                <w:u w:val="single"/>
              </w:rPr>
              <w:t>+</w:t>
            </w:r>
          </w:p>
          <w:p>
            <w:pPr>
              <w:pStyle w:val="TableParagraph"/>
              <w:spacing w:line="267" w:lineRule="exact" w:before="2"/>
              <w:ind w:left="470"/>
              <w:rPr>
                <w:sz w:val="24"/>
              </w:rPr>
            </w:pPr>
            <w:r>
              <w:rPr>
                <w:sz w:val="24"/>
              </w:rPr>
              <w:t>2,66</w:t>
            </w:r>
          </w:p>
        </w:tc>
        <w:tc>
          <w:tcPr>
            <w:tcW w:w="993" w:type="dxa"/>
          </w:tcPr>
          <w:p>
            <w:pPr>
              <w:pStyle w:val="TableParagraph"/>
              <w:spacing w:before="1"/>
              <w:ind w:left="258"/>
              <w:rPr>
                <w:sz w:val="24"/>
              </w:rPr>
            </w:pPr>
            <w:r>
              <w:rPr>
                <w:sz w:val="24"/>
              </w:rPr>
              <w:t>2,71</w:t>
            </w:r>
            <w:r>
              <w:rPr>
                <w:sz w:val="24"/>
                <w:u w:val="single"/>
              </w:rPr>
              <w:t>+</w:t>
            </w:r>
          </w:p>
          <w:p>
            <w:pPr>
              <w:pStyle w:val="TableParagraph"/>
              <w:spacing w:line="267" w:lineRule="exact" w:before="2"/>
              <w:ind w:left="267"/>
              <w:rPr>
                <w:sz w:val="24"/>
              </w:rPr>
            </w:pPr>
            <w:r>
              <w:rPr>
                <w:sz w:val="24"/>
              </w:rPr>
              <w:t>0,440</w:t>
            </w:r>
          </w:p>
        </w:tc>
        <w:tc>
          <w:tcPr>
            <w:tcW w:w="1279" w:type="dxa"/>
          </w:tcPr>
          <w:p>
            <w:pPr>
              <w:pStyle w:val="TableParagraph"/>
              <w:spacing w:before="1"/>
              <w:ind w:left="398"/>
              <w:rPr>
                <w:sz w:val="24"/>
              </w:rPr>
            </w:pPr>
            <w:r>
              <w:rPr>
                <w:sz w:val="24"/>
              </w:rPr>
              <w:t>1,95</w:t>
            </w:r>
            <w:r>
              <w:rPr>
                <w:sz w:val="24"/>
                <w:u w:val="single"/>
              </w:rPr>
              <w:t>+</w:t>
            </w:r>
          </w:p>
          <w:p>
            <w:pPr>
              <w:pStyle w:val="TableParagraph"/>
              <w:spacing w:line="267" w:lineRule="exact" w:before="2"/>
              <w:ind w:left="408"/>
              <w:rPr>
                <w:sz w:val="24"/>
              </w:rPr>
            </w:pPr>
            <w:r>
              <w:rPr>
                <w:sz w:val="24"/>
              </w:rPr>
              <w:t>0,297</w:t>
            </w:r>
          </w:p>
        </w:tc>
        <w:tc>
          <w:tcPr>
            <w:tcW w:w="1133" w:type="dxa"/>
          </w:tcPr>
          <w:p>
            <w:pPr>
              <w:pStyle w:val="TableParagraph"/>
              <w:spacing w:line="273" w:lineRule="exact"/>
              <w:ind w:left="367"/>
              <w:rPr>
                <w:sz w:val="24"/>
              </w:rPr>
            </w:pPr>
            <w:r>
              <w:rPr>
                <w:spacing w:val="-16"/>
                <w:sz w:val="24"/>
              </w:rPr>
              <w:t>2,62</w:t>
            </w:r>
            <w:r>
              <w:rPr>
                <w:spacing w:val="-16"/>
                <w:sz w:val="24"/>
                <w:u w:val="single"/>
              </w:rPr>
              <w:t>+</w:t>
            </w:r>
          </w:p>
          <w:p>
            <w:pPr>
              <w:pStyle w:val="TableParagraph"/>
              <w:spacing w:line="272" w:lineRule="exact" w:before="2"/>
              <w:ind w:left="334"/>
              <w:rPr>
                <w:sz w:val="24"/>
              </w:rPr>
            </w:pPr>
            <w:r>
              <w:rPr>
                <w:sz w:val="24"/>
              </w:rPr>
              <w:t>0,341</w:t>
            </w:r>
          </w:p>
        </w:tc>
        <w:tc>
          <w:tcPr>
            <w:tcW w:w="1279" w:type="dxa"/>
          </w:tcPr>
          <w:p>
            <w:pPr>
              <w:pStyle w:val="TableParagraph"/>
              <w:spacing w:line="273" w:lineRule="exact"/>
              <w:ind w:left="440"/>
              <w:rPr>
                <w:sz w:val="24"/>
              </w:rPr>
            </w:pPr>
            <w:r>
              <w:rPr>
                <w:spacing w:val="-16"/>
                <w:sz w:val="24"/>
              </w:rPr>
              <w:t>1,35</w:t>
            </w:r>
            <w:r>
              <w:rPr>
                <w:spacing w:val="-16"/>
                <w:sz w:val="24"/>
                <w:u w:val="single"/>
              </w:rPr>
              <w:t>+</w:t>
            </w:r>
          </w:p>
          <w:p>
            <w:pPr>
              <w:pStyle w:val="TableParagraph"/>
              <w:spacing w:line="272" w:lineRule="exact" w:before="2"/>
              <w:ind w:left="406"/>
              <w:rPr>
                <w:sz w:val="24"/>
              </w:rPr>
            </w:pPr>
            <w:r>
              <w:rPr>
                <w:sz w:val="24"/>
              </w:rPr>
              <w:t>0,188</w:t>
            </w:r>
          </w:p>
        </w:tc>
        <w:tc>
          <w:tcPr>
            <w:tcW w:w="995" w:type="dxa"/>
          </w:tcPr>
          <w:p>
            <w:pPr>
              <w:pStyle w:val="TableParagraph"/>
              <w:spacing w:line="273" w:lineRule="exact"/>
              <w:ind w:left="294"/>
              <w:rPr>
                <w:sz w:val="24"/>
              </w:rPr>
            </w:pPr>
            <w:r>
              <w:rPr>
                <w:spacing w:val="-16"/>
                <w:sz w:val="24"/>
              </w:rPr>
              <w:t>1,83</w:t>
            </w:r>
            <w:r>
              <w:rPr>
                <w:spacing w:val="-16"/>
                <w:sz w:val="24"/>
                <w:u w:val="single"/>
              </w:rPr>
              <w:t>+</w:t>
            </w:r>
          </w:p>
          <w:p>
            <w:pPr>
              <w:pStyle w:val="TableParagraph"/>
              <w:spacing w:line="272" w:lineRule="exact" w:before="2"/>
              <w:ind w:left="265"/>
              <w:rPr>
                <w:sz w:val="24"/>
              </w:rPr>
            </w:pPr>
            <w:r>
              <w:rPr>
                <w:sz w:val="24"/>
              </w:rPr>
              <w:t>0,205</w:t>
            </w:r>
          </w:p>
        </w:tc>
      </w:tr>
      <w:tr>
        <w:trPr>
          <w:trHeight w:val="551" w:hRule="atLeast"/>
        </w:trPr>
        <w:tc>
          <w:tcPr>
            <w:tcW w:w="2024" w:type="dxa"/>
            <w:vMerge w:val="restart"/>
          </w:tcPr>
          <w:p>
            <w:pPr>
              <w:pStyle w:val="TableParagraph"/>
              <w:ind w:left="470" w:right="313" w:hanging="68"/>
              <w:jc w:val="both"/>
              <w:rPr>
                <w:sz w:val="24"/>
              </w:rPr>
            </w:pPr>
            <w:r>
              <w:rPr>
                <w:color w:val="221F1F"/>
                <w:sz w:val="24"/>
              </w:rPr>
              <w:t>ТБК-активні комплекси</w:t>
            </w:r>
            <w:r>
              <w:rPr>
                <w:sz w:val="24"/>
              </w:rPr>
              <w:t>, мкмоль/л</w:t>
            </w:r>
          </w:p>
        </w:tc>
        <w:tc>
          <w:tcPr>
            <w:tcW w:w="814" w:type="dxa"/>
          </w:tcPr>
          <w:p>
            <w:pPr>
              <w:pStyle w:val="TableParagraph"/>
              <w:spacing w:line="268" w:lineRule="exact"/>
              <w:ind w:right="305"/>
              <w:jc w:val="right"/>
              <w:rPr>
                <w:sz w:val="24"/>
              </w:rPr>
            </w:pPr>
            <w:r>
              <w:rPr>
                <w:sz w:val="24"/>
              </w:rPr>
              <w:t>1</w:t>
            </w:r>
          </w:p>
        </w:tc>
        <w:tc>
          <w:tcPr>
            <w:tcW w:w="1273" w:type="dxa"/>
          </w:tcPr>
          <w:p>
            <w:pPr>
              <w:pStyle w:val="TableParagraph"/>
              <w:spacing w:line="267" w:lineRule="exact"/>
              <w:ind w:left="397"/>
              <w:rPr>
                <w:sz w:val="24"/>
              </w:rPr>
            </w:pPr>
            <w:r>
              <w:rPr>
                <w:sz w:val="24"/>
              </w:rPr>
              <w:t>8,95</w:t>
            </w:r>
            <w:r>
              <w:rPr>
                <w:sz w:val="24"/>
                <w:u w:val="single"/>
              </w:rPr>
              <w:t>+</w:t>
            </w:r>
          </w:p>
          <w:p>
            <w:pPr>
              <w:pStyle w:val="TableParagraph"/>
              <w:spacing w:line="265" w:lineRule="exact"/>
              <w:ind w:left="407"/>
              <w:rPr>
                <w:sz w:val="24"/>
              </w:rPr>
            </w:pPr>
            <w:r>
              <w:rPr>
                <w:sz w:val="24"/>
              </w:rPr>
              <w:t>1,182</w:t>
            </w:r>
          </w:p>
        </w:tc>
        <w:tc>
          <w:tcPr>
            <w:tcW w:w="993" w:type="dxa"/>
          </w:tcPr>
          <w:p>
            <w:pPr>
              <w:pStyle w:val="TableParagraph"/>
              <w:spacing w:line="267" w:lineRule="exact"/>
              <w:ind w:left="195"/>
              <w:rPr>
                <w:sz w:val="24"/>
              </w:rPr>
            </w:pPr>
            <w:r>
              <w:rPr>
                <w:sz w:val="24"/>
              </w:rPr>
              <w:t>12,83</w:t>
            </w:r>
            <w:r>
              <w:rPr>
                <w:sz w:val="24"/>
                <w:u w:val="single"/>
              </w:rPr>
              <w:t>+</w:t>
            </w:r>
          </w:p>
          <w:p>
            <w:pPr>
              <w:pStyle w:val="TableParagraph"/>
              <w:spacing w:line="265" w:lineRule="exact"/>
              <w:ind w:left="267"/>
              <w:rPr>
                <w:sz w:val="24"/>
              </w:rPr>
            </w:pPr>
            <w:r>
              <w:rPr>
                <w:sz w:val="24"/>
              </w:rPr>
              <w:t>2,067</w:t>
            </w:r>
          </w:p>
        </w:tc>
        <w:tc>
          <w:tcPr>
            <w:tcW w:w="1279" w:type="dxa"/>
          </w:tcPr>
          <w:p>
            <w:pPr>
              <w:pStyle w:val="TableParagraph"/>
              <w:spacing w:line="267" w:lineRule="exact"/>
              <w:ind w:left="340"/>
              <w:rPr>
                <w:sz w:val="24"/>
              </w:rPr>
            </w:pPr>
            <w:r>
              <w:rPr>
                <w:sz w:val="24"/>
              </w:rPr>
              <w:t>15,24</w:t>
            </w:r>
            <w:r>
              <w:rPr>
                <w:sz w:val="24"/>
                <w:u w:val="single"/>
              </w:rPr>
              <w:t>+</w:t>
            </w:r>
          </w:p>
          <w:p>
            <w:pPr>
              <w:pStyle w:val="TableParagraph"/>
              <w:spacing w:line="265" w:lineRule="exact"/>
              <w:ind w:left="408"/>
              <w:rPr>
                <w:sz w:val="24"/>
              </w:rPr>
            </w:pPr>
            <w:r>
              <w:rPr>
                <w:sz w:val="24"/>
              </w:rPr>
              <w:t>2,412</w:t>
            </w:r>
          </w:p>
        </w:tc>
        <w:tc>
          <w:tcPr>
            <w:tcW w:w="1133" w:type="dxa"/>
          </w:tcPr>
          <w:p>
            <w:pPr>
              <w:pStyle w:val="TableParagraph"/>
              <w:spacing w:line="267" w:lineRule="exact"/>
              <w:ind w:left="315"/>
              <w:rPr>
                <w:sz w:val="24"/>
              </w:rPr>
            </w:pPr>
            <w:r>
              <w:rPr>
                <w:spacing w:val="-16"/>
                <w:sz w:val="24"/>
              </w:rPr>
              <w:t>16,39</w:t>
            </w:r>
            <w:r>
              <w:rPr>
                <w:spacing w:val="-16"/>
                <w:sz w:val="24"/>
                <w:u w:val="single"/>
              </w:rPr>
              <w:t>+</w:t>
            </w:r>
          </w:p>
          <w:p>
            <w:pPr>
              <w:pStyle w:val="TableParagraph"/>
              <w:spacing w:line="265" w:lineRule="exact"/>
              <w:ind w:left="334"/>
              <w:rPr>
                <w:sz w:val="24"/>
              </w:rPr>
            </w:pPr>
            <w:r>
              <w:rPr>
                <w:sz w:val="24"/>
              </w:rPr>
              <w:t>2,200</w:t>
            </w:r>
          </w:p>
        </w:tc>
        <w:tc>
          <w:tcPr>
            <w:tcW w:w="1279" w:type="dxa"/>
          </w:tcPr>
          <w:p>
            <w:pPr>
              <w:pStyle w:val="TableParagraph"/>
              <w:spacing w:line="267" w:lineRule="exact"/>
              <w:ind w:left="339"/>
              <w:rPr>
                <w:sz w:val="24"/>
              </w:rPr>
            </w:pPr>
            <w:r>
              <w:rPr>
                <w:sz w:val="24"/>
              </w:rPr>
              <w:t>11,86</w:t>
            </w:r>
            <w:r>
              <w:rPr>
                <w:sz w:val="24"/>
                <w:u w:val="single"/>
              </w:rPr>
              <w:t>+</w:t>
            </w:r>
          </w:p>
          <w:p>
            <w:pPr>
              <w:pStyle w:val="TableParagraph"/>
              <w:spacing w:line="265" w:lineRule="exact"/>
              <w:ind w:left="406"/>
              <w:rPr>
                <w:sz w:val="24"/>
              </w:rPr>
            </w:pPr>
            <w:r>
              <w:rPr>
                <w:sz w:val="24"/>
              </w:rPr>
              <w:t>1,403</w:t>
            </w:r>
          </w:p>
        </w:tc>
        <w:tc>
          <w:tcPr>
            <w:tcW w:w="995" w:type="dxa"/>
          </w:tcPr>
          <w:p>
            <w:pPr>
              <w:pStyle w:val="TableParagraph"/>
              <w:spacing w:line="267" w:lineRule="exact"/>
              <w:ind w:left="193"/>
              <w:rPr>
                <w:sz w:val="24"/>
              </w:rPr>
            </w:pPr>
            <w:r>
              <w:rPr>
                <w:sz w:val="24"/>
              </w:rPr>
              <w:t>17,06</w:t>
            </w:r>
            <w:r>
              <w:rPr>
                <w:sz w:val="24"/>
                <w:u w:val="single"/>
              </w:rPr>
              <w:t>+</w:t>
            </w:r>
          </w:p>
          <w:p>
            <w:pPr>
              <w:pStyle w:val="TableParagraph"/>
              <w:spacing w:line="265" w:lineRule="exact"/>
              <w:ind w:left="265"/>
              <w:rPr>
                <w:sz w:val="24"/>
              </w:rPr>
            </w:pPr>
            <w:r>
              <w:rPr>
                <w:sz w:val="24"/>
              </w:rPr>
              <w:t>3,026</w:t>
            </w:r>
          </w:p>
        </w:tc>
      </w:tr>
      <w:tr>
        <w:trPr>
          <w:trHeight w:val="556" w:hRule="atLeast"/>
        </w:trPr>
        <w:tc>
          <w:tcPr>
            <w:tcW w:w="2024" w:type="dxa"/>
            <w:vMerge/>
            <w:tcBorders>
              <w:top w:val="nil"/>
            </w:tcBorders>
          </w:tcPr>
          <w:p>
            <w:pPr>
              <w:rPr>
                <w:sz w:val="2"/>
                <w:szCs w:val="2"/>
              </w:rPr>
            </w:pPr>
          </w:p>
        </w:tc>
        <w:tc>
          <w:tcPr>
            <w:tcW w:w="814" w:type="dxa"/>
          </w:tcPr>
          <w:p>
            <w:pPr>
              <w:pStyle w:val="TableParagraph"/>
              <w:spacing w:line="273" w:lineRule="exact"/>
              <w:ind w:right="305"/>
              <w:jc w:val="right"/>
              <w:rPr>
                <w:sz w:val="24"/>
              </w:rPr>
            </w:pPr>
            <w:r>
              <w:rPr>
                <w:sz w:val="24"/>
              </w:rPr>
              <w:t>2</w:t>
            </w:r>
          </w:p>
        </w:tc>
        <w:tc>
          <w:tcPr>
            <w:tcW w:w="1273" w:type="dxa"/>
          </w:tcPr>
          <w:p>
            <w:pPr>
              <w:pStyle w:val="TableParagraph"/>
              <w:spacing w:line="271" w:lineRule="exact"/>
              <w:ind w:left="397"/>
              <w:rPr>
                <w:sz w:val="24"/>
              </w:rPr>
            </w:pPr>
            <w:r>
              <w:rPr>
                <w:sz w:val="24"/>
              </w:rPr>
              <w:t>9,29</w:t>
            </w:r>
            <w:r>
              <w:rPr>
                <w:sz w:val="24"/>
                <w:u w:val="single"/>
              </w:rPr>
              <w:t>+</w:t>
            </w:r>
          </w:p>
          <w:p>
            <w:pPr>
              <w:pStyle w:val="TableParagraph"/>
              <w:spacing w:line="265" w:lineRule="exact"/>
              <w:ind w:left="407"/>
              <w:rPr>
                <w:sz w:val="24"/>
              </w:rPr>
            </w:pPr>
            <w:r>
              <w:rPr>
                <w:sz w:val="24"/>
              </w:rPr>
              <w:t>1,815</w:t>
            </w:r>
          </w:p>
        </w:tc>
        <w:tc>
          <w:tcPr>
            <w:tcW w:w="993" w:type="dxa"/>
          </w:tcPr>
          <w:p>
            <w:pPr>
              <w:pStyle w:val="TableParagraph"/>
              <w:spacing w:line="271" w:lineRule="exact"/>
              <w:ind w:left="195"/>
              <w:rPr>
                <w:sz w:val="24"/>
              </w:rPr>
            </w:pPr>
            <w:r>
              <w:rPr>
                <w:sz w:val="24"/>
              </w:rPr>
              <w:t>13,58</w:t>
            </w:r>
            <w:r>
              <w:rPr>
                <w:sz w:val="24"/>
                <w:u w:val="single"/>
              </w:rPr>
              <w:t>+</w:t>
            </w:r>
          </w:p>
          <w:p>
            <w:pPr>
              <w:pStyle w:val="TableParagraph"/>
              <w:spacing w:line="265" w:lineRule="exact"/>
              <w:ind w:left="267"/>
              <w:rPr>
                <w:sz w:val="24"/>
              </w:rPr>
            </w:pPr>
            <w:r>
              <w:rPr>
                <w:sz w:val="24"/>
              </w:rPr>
              <w:t>2,566</w:t>
            </w:r>
          </w:p>
        </w:tc>
        <w:tc>
          <w:tcPr>
            <w:tcW w:w="1279" w:type="dxa"/>
          </w:tcPr>
          <w:p>
            <w:pPr>
              <w:pStyle w:val="TableParagraph"/>
              <w:spacing w:line="271" w:lineRule="exact"/>
              <w:ind w:left="340"/>
              <w:rPr>
                <w:sz w:val="24"/>
              </w:rPr>
            </w:pPr>
            <w:r>
              <w:rPr>
                <w:sz w:val="24"/>
              </w:rPr>
              <w:t>11,37</w:t>
            </w:r>
            <w:r>
              <w:rPr>
                <w:sz w:val="24"/>
                <w:u w:val="single"/>
              </w:rPr>
              <w:t>+</w:t>
            </w:r>
          </w:p>
          <w:p>
            <w:pPr>
              <w:pStyle w:val="TableParagraph"/>
              <w:spacing w:line="265" w:lineRule="exact"/>
              <w:ind w:left="408"/>
              <w:rPr>
                <w:sz w:val="24"/>
              </w:rPr>
            </w:pPr>
            <w:r>
              <w:rPr>
                <w:sz w:val="24"/>
              </w:rPr>
              <w:t>1,348</w:t>
            </w:r>
          </w:p>
        </w:tc>
        <w:tc>
          <w:tcPr>
            <w:tcW w:w="1133" w:type="dxa"/>
          </w:tcPr>
          <w:p>
            <w:pPr>
              <w:pStyle w:val="TableParagraph"/>
              <w:spacing w:line="271" w:lineRule="exact"/>
              <w:ind w:left="315"/>
              <w:rPr>
                <w:sz w:val="24"/>
              </w:rPr>
            </w:pPr>
            <w:r>
              <w:rPr>
                <w:spacing w:val="-16"/>
                <w:sz w:val="24"/>
              </w:rPr>
              <w:t>14,53</w:t>
            </w:r>
            <w:r>
              <w:rPr>
                <w:spacing w:val="-16"/>
                <w:sz w:val="24"/>
                <w:u w:val="single"/>
              </w:rPr>
              <w:t>+</w:t>
            </w:r>
          </w:p>
          <w:p>
            <w:pPr>
              <w:pStyle w:val="TableParagraph"/>
              <w:spacing w:line="265" w:lineRule="exact"/>
              <w:ind w:left="334"/>
              <w:rPr>
                <w:sz w:val="24"/>
              </w:rPr>
            </w:pPr>
            <w:r>
              <w:rPr>
                <w:sz w:val="24"/>
              </w:rPr>
              <w:t>1,410</w:t>
            </w:r>
          </w:p>
        </w:tc>
        <w:tc>
          <w:tcPr>
            <w:tcW w:w="1279" w:type="dxa"/>
          </w:tcPr>
          <w:p>
            <w:pPr>
              <w:pStyle w:val="TableParagraph"/>
              <w:spacing w:line="271" w:lineRule="exact"/>
              <w:ind w:left="397"/>
              <w:rPr>
                <w:sz w:val="24"/>
              </w:rPr>
            </w:pPr>
            <w:r>
              <w:rPr>
                <w:sz w:val="24"/>
              </w:rPr>
              <w:t>8,07</w:t>
            </w:r>
            <w:r>
              <w:rPr>
                <w:sz w:val="24"/>
                <w:u w:val="single"/>
              </w:rPr>
              <w:t>+</w:t>
            </w:r>
          </w:p>
          <w:p>
            <w:pPr>
              <w:pStyle w:val="TableParagraph"/>
              <w:spacing w:line="265" w:lineRule="exact"/>
              <w:ind w:left="406"/>
              <w:rPr>
                <w:sz w:val="24"/>
              </w:rPr>
            </w:pPr>
            <w:r>
              <w:rPr>
                <w:sz w:val="24"/>
              </w:rPr>
              <w:t>1,319</w:t>
            </w:r>
          </w:p>
        </w:tc>
        <w:tc>
          <w:tcPr>
            <w:tcW w:w="995" w:type="dxa"/>
          </w:tcPr>
          <w:p>
            <w:pPr>
              <w:pStyle w:val="TableParagraph"/>
              <w:spacing w:line="271" w:lineRule="exact"/>
              <w:ind w:left="193"/>
              <w:rPr>
                <w:sz w:val="24"/>
              </w:rPr>
            </w:pPr>
            <w:r>
              <w:rPr>
                <w:sz w:val="24"/>
              </w:rPr>
              <w:t>12,23</w:t>
            </w:r>
            <w:r>
              <w:rPr>
                <w:sz w:val="24"/>
                <w:u w:val="single"/>
              </w:rPr>
              <w:t>+</w:t>
            </w:r>
          </w:p>
          <w:p>
            <w:pPr>
              <w:pStyle w:val="TableParagraph"/>
              <w:spacing w:line="265" w:lineRule="exact"/>
              <w:ind w:left="265"/>
              <w:rPr>
                <w:sz w:val="24"/>
              </w:rPr>
            </w:pPr>
            <w:r>
              <w:rPr>
                <w:sz w:val="24"/>
              </w:rPr>
              <w:t>1,595</w:t>
            </w:r>
          </w:p>
        </w:tc>
      </w:tr>
      <w:tr>
        <w:trPr>
          <w:trHeight w:val="561" w:hRule="atLeast"/>
        </w:trPr>
        <w:tc>
          <w:tcPr>
            <w:tcW w:w="2024" w:type="dxa"/>
            <w:vMerge w:val="restart"/>
          </w:tcPr>
          <w:p>
            <w:pPr>
              <w:pStyle w:val="TableParagraph"/>
              <w:ind w:left="206" w:right="125" w:firstLine="8"/>
              <w:jc w:val="center"/>
              <w:rPr>
                <w:sz w:val="24"/>
              </w:rPr>
            </w:pPr>
            <w:r>
              <w:rPr>
                <w:color w:val="221F1F"/>
                <w:sz w:val="24"/>
              </w:rPr>
              <w:t>ТБК-активні комплекси </w:t>
            </w:r>
            <w:r>
              <w:rPr>
                <w:spacing w:val="-3"/>
                <w:sz w:val="24"/>
              </w:rPr>
              <w:t>після </w:t>
            </w:r>
            <w:r>
              <w:rPr>
                <w:sz w:val="24"/>
              </w:rPr>
              <w:t>інкубації, мкмоль/л</w:t>
            </w:r>
          </w:p>
        </w:tc>
        <w:tc>
          <w:tcPr>
            <w:tcW w:w="814" w:type="dxa"/>
          </w:tcPr>
          <w:p>
            <w:pPr>
              <w:pStyle w:val="TableParagraph"/>
              <w:spacing w:line="268" w:lineRule="exact"/>
              <w:ind w:right="305"/>
              <w:jc w:val="right"/>
              <w:rPr>
                <w:sz w:val="24"/>
              </w:rPr>
            </w:pPr>
            <w:r>
              <w:rPr>
                <w:sz w:val="24"/>
              </w:rPr>
              <w:t>1</w:t>
            </w:r>
          </w:p>
        </w:tc>
        <w:tc>
          <w:tcPr>
            <w:tcW w:w="1273" w:type="dxa"/>
          </w:tcPr>
          <w:p>
            <w:pPr>
              <w:pStyle w:val="TableParagraph"/>
              <w:spacing w:line="268" w:lineRule="exact"/>
              <w:ind w:left="388"/>
              <w:rPr>
                <w:sz w:val="24"/>
              </w:rPr>
            </w:pPr>
            <w:r>
              <w:rPr>
                <w:spacing w:val="-16"/>
                <w:sz w:val="24"/>
              </w:rPr>
              <w:t>12,73</w:t>
            </w:r>
            <w:r>
              <w:rPr>
                <w:spacing w:val="-16"/>
                <w:sz w:val="24"/>
                <w:u w:val="single"/>
              </w:rPr>
              <w:t>+</w:t>
            </w:r>
          </w:p>
          <w:p>
            <w:pPr>
              <w:pStyle w:val="TableParagraph"/>
              <w:spacing w:line="271" w:lineRule="exact" w:before="2"/>
              <w:ind w:left="407"/>
              <w:rPr>
                <w:sz w:val="24"/>
              </w:rPr>
            </w:pPr>
            <w:r>
              <w:rPr>
                <w:sz w:val="24"/>
              </w:rPr>
              <w:t>1,319</w:t>
            </w:r>
          </w:p>
        </w:tc>
        <w:tc>
          <w:tcPr>
            <w:tcW w:w="993" w:type="dxa"/>
          </w:tcPr>
          <w:p>
            <w:pPr>
              <w:pStyle w:val="TableParagraph"/>
              <w:spacing w:line="268" w:lineRule="exact"/>
              <w:ind w:left="248"/>
              <w:rPr>
                <w:sz w:val="24"/>
              </w:rPr>
            </w:pPr>
            <w:r>
              <w:rPr>
                <w:spacing w:val="-16"/>
                <w:sz w:val="24"/>
              </w:rPr>
              <w:t>14,94</w:t>
            </w:r>
            <w:r>
              <w:rPr>
                <w:spacing w:val="-16"/>
                <w:sz w:val="24"/>
                <w:u w:val="single"/>
              </w:rPr>
              <w:t>+</w:t>
            </w:r>
          </w:p>
          <w:p>
            <w:pPr>
              <w:pStyle w:val="TableParagraph"/>
              <w:spacing w:line="271" w:lineRule="exact" w:before="2"/>
              <w:ind w:left="267"/>
              <w:rPr>
                <w:sz w:val="24"/>
              </w:rPr>
            </w:pPr>
            <w:r>
              <w:rPr>
                <w:sz w:val="24"/>
              </w:rPr>
              <w:t>1,643</w:t>
            </w:r>
          </w:p>
        </w:tc>
        <w:tc>
          <w:tcPr>
            <w:tcW w:w="1279" w:type="dxa"/>
          </w:tcPr>
          <w:p>
            <w:pPr>
              <w:pStyle w:val="TableParagraph"/>
              <w:spacing w:line="268" w:lineRule="exact"/>
              <w:ind w:left="388"/>
              <w:rPr>
                <w:sz w:val="24"/>
              </w:rPr>
            </w:pPr>
            <w:r>
              <w:rPr>
                <w:spacing w:val="-16"/>
                <w:sz w:val="24"/>
              </w:rPr>
              <w:t>18,43</w:t>
            </w:r>
            <w:r>
              <w:rPr>
                <w:spacing w:val="-16"/>
                <w:sz w:val="24"/>
                <w:u w:val="single"/>
              </w:rPr>
              <w:t>+</w:t>
            </w:r>
          </w:p>
          <w:p>
            <w:pPr>
              <w:pStyle w:val="TableParagraph"/>
              <w:spacing w:line="271" w:lineRule="exact" w:before="2"/>
              <w:ind w:left="408"/>
              <w:rPr>
                <w:sz w:val="24"/>
              </w:rPr>
            </w:pPr>
            <w:r>
              <w:rPr>
                <w:sz w:val="24"/>
              </w:rPr>
              <w:t>1,848</w:t>
            </w:r>
          </w:p>
        </w:tc>
        <w:tc>
          <w:tcPr>
            <w:tcW w:w="1133" w:type="dxa"/>
          </w:tcPr>
          <w:p>
            <w:pPr>
              <w:pStyle w:val="TableParagraph"/>
              <w:spacing w:line="268" w:lineRule="exact"/>
              <w:ind w:left="315"/>
              <w:rPr>
                <w:sz w:val="24"/>
              </w:rPr>
            </w:pPr>
            <w:r>
              <w:rPr>
                <w:spacing w:val="-16"/>
                <w:sz w:val="24"/>
              </w:rPr>
              <w:t>17,06</w:t>
            </w:r>
            <w:r>
              <w:rPr>
                <w:spacing w:val="-16"/>
                <w:sz w:val="24"/>
                <w:u w:val="single"/>
              </w:rPr>
              <w:t>+</w:t>
            </w:r>
          </w:p>
          <w:p>
            <w:pPr>
              <w:pStyle w:val="TableParagraph"/>
              <w:spacing w:line="271" w:lineRule="exact" w:before="2"/>
              <w:ind w:left="334"/>
              <w:rPr>
                <w:sz w:val="24"/>
              </w:rPr>
            </w:pPr>
            <w:r>
              <w:rPr>
                <w:sz w:val="24"/>
              </w:rPr>
              <w:t>1,658</w:t>
            </w:r>
          </w:p>
        </w:tc>
        <w:tc>
          <w:tcPr>
            <w:tcW w:w="1279" w:type="dxa"/>
          </w:tcPr>
          <w:p>
            <w:pPr>
              <w:pStyle w:val="TableParagraph"/>
              <w:spacing w:line="268" w:lineRule="exact"/>
              <w:ind w:left="387"/>
              <w:rPr>
                <w:sz w:val="24"/>
              </w:rPr>
            </w:pPr>
            <w:r>
              <w:rPr>
                <w:spacing w:val="-16"/>
                <w:sz w:val="24"/>
              </w:rPr>
              <w:t>15,16</w:t>
            </w:r>
            <w:r>
              <w:rPr>
                <w:spacing w:val="-16"/>
                <w:sz w:val="24"/>
                <w:u w:val="single"/>
              </w:rPr>
              <w:t>+</w:t>
            </w:r>
          </w:p>
          <w:p>
            <w:pPr>
              <w:pStyle w:val="TableParagraph"/>
              <w:spacing w:line="271" w:lineRule="exact" w:before="2"/>
              <w:ind w:left="406"/>
              <w:rPr>
                <w:sz w:val="24"/>
              </w:rPr>
            </w:pPr>
            <w:r>
              <w:rPr>
                <w:sz w:val="24"/>
              </w:rPr>
              <w:t>2,201</w:t>
            </w:r>
          </w:p>
        </w:tc>
        <w:tc>
          <w:tcPr>
            <w:tcW w:w="995" w:type="dxa"/>
          </w:tcPr>
          <w:p>
            <w:pPr>
              <w:pStyle w:val="TableParagraph"/>
              <w:spacing w:line="268" w:lineRule="exact"/>
              <w:ind w:left="246"/>
              <w:rPr>
                <w:sz w:val="24"/>
              </w:rPr>
            </w:pPr>
            <w:r>
              <w:rPr>
                <w:spacing w:val="-17"/>
                <w:sz w:val="24"/>
              </w:rPr>
              <w:t>18,27</w:t>
            </w:r>
            <w:r>
              <w:rPr>
                <w:spacing w:val="-17"/>
                <w:sz w:val="24"/>
                <w:u w:val="single"/>
              </w:rPr>
              <w:t>+</w:t>
            </w:r>
          </w:p>
          <w:p>
            <w:pPr>
              <w:pStyle w:val="TableParagraph"/>
              <w:spacing w:line="271" w:lineRule="exact" w:before="2"/>
              <w:ind w:left="265"/>
              <w:rPr>
                <w:sz w:val="24"/>
              </w:rPr>
            </w:pPr>
            <w:r>
              <w:rPr>
                <w:sz w:val="24"/>
              </w:rPr>
              <w:t>1,464</w:t>
            </w:r>
          </w:p>
        </w:tc>
      </w:tr>
      <w:tr>
        <w:trPr>
          <w:trHeight w:val="556" w:hRule="atLeast"/>
        </w:trPr>
        <w:tc>
          <w:tcPr>
            <w:tcW w:w="2024" w:type="dxa"/>
            <w:vMerge/>
            <w:tcBorders>
              <w:top w:val="nil"/>
            </w:tcBorders>
          </w:tcPr>
          <w:p>
            <w:pPr>
              <w:rPr>
                <w:sz w:val="2"/>
                <w:szCs w:val="2"/>
              </w:rPr>
            </w:pPr>
          </w:p>
        </w:tc>
        <w:tc>
          <w:tcPr>
            <w:tcW w:w="814" w:type="dxa"/>
          </w:tcPr>
          <w:p>
            <w:pPr>
              <w:pStyle w:val="TableParagraph"/>
              <w:spacing w:line="273" w:lineRule="exact"/>
              <w:ind w:right="305"/>
              <w:jc w:val="right"/>
              <w:rPr>
                <w:sz w:val="24"/>
              </w:rPr>
            </w:pPr>
            <w:r>
              <w:rPr>
                <w:sz w:val="24"/>
              </w:rPr>
              <w:t>2</w:t>
            </w:r>
          </w:p>
        </w:tc>
        <w:tc>
          <w:tcPr>
            <w:tcW w:w="1273" w:type="dxa"/>
          </w:tcPr>
          <w:p>
            <w:pPr>
              <w:pStyle w:val="TableParagraph"/>
              <w:spacing w:line="273" w:lineRule="exact"/>
              <w:ind w:left="340"/>
              <w:rPr>
                <w:sz w:val="24"/>
              </w:rPr>
            </w:pPr>
            <w:r>
              <w:rPr>
                <w:sz w:val="24"/>
              </w:rPr>
              <w:t>11,53</w:t>
            </w:r>
            <w:r>
              <w:rPr>
                <w:sz w:val="24"/>
                <w:u w:val="single"/>
              </w:rPr>
              <w:t>+</w:t>
            </w:r>
          </w:p>
          <w:p>
            <w:pPr>
              <w:pStyle w:val="TableParagraph"/>
              <w:spacing w:line="261" w:lineRule="exact" w:before="2"/>
              <w:ind w:left="407"/>
              <w:rPr>
                <w:sz w:val="24"/>
              </w:rPr>
            </w:pPr>
            <w:r>
              <w:rPr>
                <w:sz w:val="24"/>
              </w:rPr>
              <w:t>1,935</w:t>
            </w:r>
          </w:p>
        </w:tc>
        <w:tc>
          <w:tcPr>
            <w:tcW w:w="993" w:type="dxa"/>
          </w:tcPr>
          <w:p>
            <w:pPr>
              <w:pStyle w:val="TableParagraph"/>
              <w:spacing w:line="273" w:lineRule="exact"/>
              <w:ind w:left="248"/>
              <w:rPr>
                <w:sz w:val="24"/>
              </w:rPr>
            </w:pPr>
            <w:r>
              <w:rPr>
                <w:spacing w:val="-16"/>
                <w:sz w:val="24"/>
              </w:rPr>
              <w:t>16,31</w:t>
            </w:r>
            <w:r>
              <w:rPr>
                <w:spacing w:val="-16"/>
                <w:sz w:val="24"/>
                <w:u w:val="single"/>
              </w:rPr>
              <w:t>+</w:t>
            </w:r>
          </w:p>
          <w:p>
            <w:pPr>
              <w:pStyle w:val="TableParagraph"/>
              <w:spacing w:line="261" w:lineRule="exact" w:before="2"/>
              <w:ind w:left="267"/>
              <w:rPr>
                <w:sz w:val="24"/>
              </w:rPr>
            </w:pPr>
            <w:r>
              <w:rPr>
                <w:sz w:val="24"/>
              </w:rPr>
              <w:t>2,104</w:t>
            </w:r>
          </w:p>
        </w:tc>
        <w:tc>
          <w:tcPr>
            <w:tcW w:w="1279" w:type="dxa"/>
          </w:tcPr>
          <w:p>
            <w:pPr>
              <w:pStyle w:val="TableParagraph"/>
              <w:spacing w:line="273" w:lineRule="exact"/>
              <w:ind w:left="340"/>
              <w:rPr>
                <w:sz w:val="24"/>
              </w:rPr>
            </w:pPr>
            <w:r>
              <w:rPr>
                <w:sz w:val="24"/>
              </w:rPr>
              <w:t>15,82</w:t>
            </w:r>
            <w:r>
              <w:rPr>
                <w:sz w:val="24"/>
                <w:u w:val="single"/>
              </w:rPr>
              <w:t>+</w:t>
            </w:r>
          </w:p>
          <w:p>
            <w:pPr>
              <w:pStyle w:val="TableParagraph"/>
              <w:spacing w:line="261" w:lineRule="exact" w:before="2"/>
              <w:ind w:left="408"/>
              <w:rPr>
                <w:sz w:val="24"/>
              </w:rPr>
            </w:pPr>
            <w:r>
              <w:rPr>
                <w:sz w:val="24"/>
              </w:rPr>
              <w:t>1,926</w:t>
            </w:r>
          </w:p>
        </w:tc>
        <w:tc>
          <w:tcPr>
            <w:tcW w:w="1133" w:type="dxa"/>
          </w:tcPr>
          <w:p>
            <w:pPr>
              <w:pStyle w:val="TableParagraph"/>
              <w:spacing w:line="273" w:lineRule="exact"/>
              <w:ind w:left="315"/>
              <w:rPr>
                <w:sz w:val="24"/>
              </w:rPr>
            </w:pPr>
            <w:r>
              <w:rPr>
                <w:spacing w:val="-16"/>
                <w:sz w:val="24"/>
              </w:rPr>
              <w:t>16,18</w:t>
            </w:r>
            <w:r>
              <w:rPr>
                <w:spacing w:val="-16"/>
                <w:sz w:val="24"/>
                <w:u w:val="single"/>
              </w:rPr>
              <w:t>+</w:t>
            </w:r>
          </w:p>
          <w:p>
            <w:pPr>
              <w:pStyle w:val="TableParagraph"/>
              <w:spacing w:line="261" w:lineRule="exact" w:before="2"/>
              <w:ind w:left="334"/>
              <w:rPr>
                <w:sz w:val="24"/>
              </w:rPr>
            </w:pPr>
            <w:r>
              <w:rPr>
                <w:sz w:val="24"/>
              </w:rPr>
              <w:t>1,379</w:t>
            </w:r>
          </w:p>
        </w:tc>
        <w:tc>
          <w:tcPr>
            <w:tcW w:w="1279" w:type="dxa"/>
          </w:tcPr>
          <w:p>
            <w:pPr>
              <w:pStyle w:val="TableParagraph"/>
              <w:spacing w:line="273" w:lineRule="exact"/>
              <w:ind w:left="339"/>
              <w:rPr>
                <w:sz w:val="24"/>
              </w:rPr>
            </w:pPr>
            <w:r>
              <w:rPr>
                <w:sz w:val="24"/>
              </w:rPr>
              <w:t>10,36</w:t>
            </w:r>
            <w:r>
              <w:rPr>
                <w:sz w:val="24"/>
                <w:u w:val="single"/>
              </w:rPr>
              <w:t>+</w:t>
            </w:r>
          </w:p>
          <w:p>
            <w:pPr>
              <w:pStyle w:val="TableParagraph"/>
              <w:spacing w:line="261" w:lineRule="exact" w:before="2"/>
              <w:ind w:left="406"/>
              <w:rPr>
                <w:sz w:val="24"/>
              </w:rPr>
            </w:pPr>
            <w:r>
              <w:rPr>
                <w:sz w:val="24"/>
              </w:rPr>
              <w:t>1,636</w:t>
            </w:r>
          </w:p>
        </w:tc>
        <w:tc>
          <w:tcPr>
            <w:tcW w:w="995" w:type="dxa"/>
          </w:tcPr>
          <w:p>
            <w:pPr>
              <w:pStyle w:val="TableParagraph"/>
              <w:spacing w:line="273" w:lineRule="exact"/>
              <w:ind w:left="294"/>
              <w:rPr>
                <w:sz w:val="24"/>
              </w:rPr>
            </w:pPr>
            <w:r>
              <w:rPr>
                <w:spacing w:val="-16"/>
                <w:sz w:val="24"/>
              </w:rPr>
              <w:t>6,87</w:t>
            </w:r>
            <w:r>
              <w:rPr>
                <w:spacing w:val="-16"/>
                <w:sz w:val="24"/>
                <w:u w:val="single"/>
              </w:rPr>
              <w:t>+</w:t>
            </w:r>
          </w:p>
          <w:p>
            <w:pPr>
              <w:pStyle w:val="TableParagraph"/>
              <w:spacing w:line="261" w:lineRule="exact" w:before="2"/>
              <w:ind w:left="265"/>
              <w:rPr>
                <w:sz w:val="24"/>
              </w:rPr>
            </w:pPr>
            <w:r>
              <w:rPr>
                <w:sz w:val="24"/>
              </w:rPr>
              <w:t>1,815</w:t>
            </w:r>
          </w:p>
        </w:tc>
      </w:tr>
    </w:tbl>
    <w:p>
      <w:pPr>
        <w:spacing w:before="0"/>
        <w:ind w:left="255" w:right="0" w:firstLine="0"/>
        <w:jc w:val="left"/>
        <w:rPr>
          <w:sz w:val="24"/>
        </w:rPr>
      </w:pPr>
      <w:r>
        <w:rPr>
          <w:sz w:val="24"/>
        </w:rPr>
        <w:t>Примітка: *-р&lt;0,05; **-р&lt;0,01; ***-р&lt;0,001 порівняно з показниками лютеальної фази.</w:t>
      </w:r>
    </w:p>
    <w:p>
      <w:pPr>
        <w:spacing w:before="2"/>
        <w:ind w:left="754" w:right="0" w:firstLine="0"/>
        <w:jc w:val="left"/>
        <w:rPr>
          <w:sz w:val="24"/>
        </w:rPr>
      </w:pPr>
      <w:r>
        <w:rPr>
          <w:sz w:val="24"/>
        </w:rPr>
        <w:t>1 – контрольна група; 2 – дослідна група.</w:t>
      </w:r>
    </w:p>
    <w:p>
      <w:pPr>
        <w:pStyle w:val="BodyText"/>
        <w:spacing w:before="1"/>
        <w:ind w:left="0"/>
        <w:jc w:val="left"/>
        <w:rPr>
          <w:sz w:val="24"/>
        </w:rPr>
      </w:pPr>
    </w:p>
    <w:p>
      <w:pPr>
        <w:pStyle w:val="BodyText"/>
        <w:ind w:right="607" w:firstLine="720"/>
      </w:pPr>
      <w:r>
        <w:rPr/>
        <w:t>Отримані дані свідчать про прискорення процесів пероксидації, з настанням фази эструса у свинок, збільшується кількість ДК </w:t>
      </w:r>
      <w:r>
        <w:rPr>
          <w:spacing w:val="-3"/>
        </w:rPr>
        <w:t>під </w:t>
      </w:r>
      <w:r>
        <w:rPr/>
        <w:t>час 1-ї охоти на 38,6 %; 2-ї охоти – на 6,2 %; 3-ї охоти – на 87,3 %. Такі зміни відбувалися на тлі накопичення вторинних продуктів - ТБК-активних комплексів, при настанні еструса на 43,4 % під час 1-ї охоти, на 7,5 % - </w:t>
      </w:r>
      <w:r>
        <w:rPr>
          <w:spacing w:val="2"/>
        </w:rPr>
        <w:t>2-ї </w:t>
      </w:r>
      <w:r>
        <w:rPr/>
        <w:t>охоти і на 43,8 % - </w:t>
      </w:r>
      <w:r>
        <w:rPr>
          <w:spacing w:val="2"/>
        </w:rPr>
        <w:t>3-ї </w:t>
      </w:r>
      <w:r>
        <w:rPr/>
        <w:t>охоти, відносно лютеальної фази. У свинок дослідної групи, </w:t>
      </w:r>
      <w:r>
        <w:rPr>
          <w:spacing w:val="-3"/>
        </w:rPr>
        <w:t>із </w:t>
      </w:r>
      <w:r>
        <w:rPr/>
        <w:t>зміною статевих циклів, динаміка первинних і вторинних продуктів пероксидації була аналогічною до контрольної. Однак, слід зазначити, кількість ДК і ТБК-активних комплексів була меншою у тварин, що вживали вітамінну добавку, особливо протягом </w:t>
      </w:r>
      <w:r>
        <w:rPr>
          <w:spacing w:val="3"/>
        </w:rPr>
        <w:t>3-го </w:t>
      </w:r>
      <w:r>
        <w:rPr/>
        <w:t>статевого</w:t>
      </w:r>
      <w:r>
        <w:rPr>
          <w:spacing w:val="-6"/>
        </w:rPr>
        <w:t> </w:t>
      </w:r>
      <w:r>
        <w:rPr/>
        <w:t>циклу,</w:t>
      </w:r>
      <w:r>
        <w:rPr>
          <w:spacing w:val="-8"/>
        </w:rPr>
        <w:t> </w:t>
      </w:r>
      <w:r>
        <w:rPr/>
        <w:t>відповідно</w:t>
      </w:r>
      <w:r>
        <w:rPr>
          <w:spacing w:val="-11"/>
        </w:rPr>
        <w:t> </w:t>
      </w:r>
      <w:r>
        <w:rPr/>
        <w:t>на</w:t>
      </w:r>
      <w:r>
        <w:rPr>
          <w:spacing w:val="-10"/>
        </w:rPr>
        <w:t> </w:t>
      </w:r>
      <w:r>
        <w:rPr/>
        <w:t>18,2</w:t>
      </w:r>
      <w:r>
        <w:rPr>
          <w:spacing w:val="-9"/>
        </w:rPr>
        <w:t> </w:t>
      </w:r>
      <w:r>
        <w:rPr/>
        <w:t>%</w:t>
      </w:r>
      <w:r>
        <w:rPr>
          <w:spacing w:val="-7"/>
        </w:rPr>
        <w:t> </w:t>
      </w:r>
      <w:r>
        <w:rPr/>
        <w:t>і</w:t>
      </w:r>
      <w:r>
        <w:rPr>
          <w:spacing w:val="-15"/>
        </w:rPr>
        <w:t> </w:t>
      </w:r>
      <w:r>
        <w:rPr/>
        <w:t>32,4%</w:t>
      </w:r>
      <w:r>
        <w:rPr>
          <w:spacing w:val="-13"/>
        </w:rPr>
        <w:t> </w:t>
      </w:r>
      <w:r>
        <w:rPr/>
        <w:t>(лютеальна</w:t>
      </w:r>
      <w:r>
        <w:rPr>
          <w:spacing w:val="-10"/>
        </w:rPr>
        <w:t> </w:t>
      </w:r>
      <w:r>
        <w:rPr/>
        <w:t>фаза)</w:t>
      </w:r>
      <w:r>
        <w:rPr>
          <w:spacing w:val="-13"/>
        </w:rPr>
        <w:t> </w:t>
      </w:r>
      <w:r>
        <w:rPr/>
        <w:t>та</w:t>
      </w:r>
      <w:r>
        <w:rPr>
          <w:spacing w:val="-9"/>
        </w:rPr>
        <w:t> </w:t>
      </w:r>
      <w:r>
        <w:rPr/>
        <w:t>40,8</w:t>
      </w:r>
      <w:r>
        <w:rPr>
          <w:spacing w:val="-7"/>
        </w:rPr>
        <w:t> </w:t>
      </w:r>
      <w:r>
        <w:rPr/>
        <w:t>%</w:t>
      </w:r>
      <w:r>
        <w:rPr>
          <w:spacing w:val="-8"/>
        </w:rPr>
        <w:t> </w:t>
      </w:r>
      <w:r>
        <w:rPr/>
        <w:t>і</w:t>
      </w:r>
      <w:r>
        <w:rPr>
          <w:spacing w:val="-16"/>
        </w:rPr>
        <w:t> </w:t>
      </w:r>
      <w:r>
        <w:rPr/>
        <w:t>28,3% (естральна</w:t>
      </w:r>
      <w:r>
        <w:rPr>
          <w:spacing w:val="1"/>
        </w:rPr>
        <w:t> </w:t>
      </w:r>
      <w:r>
        <w:rPr/>
        <w:t>фаза).</w:t>
      </w:r>
    </w:p>
    <w:p>
      <w:pPr>
        <w:pStyle w:val="BodyText"/>
        <w:spacing w:before="2"/>
        <w:ind w:right="612" w:firstLine="710"/>
      </w:pPr>
      <w:r>
        <w:rPr/>
        <w:t>Рівень системи антиоксидантного захисту в крові свинок істотно змінювався як в період становлення статевої функції так і від споживання вітамінної добавки. Так, активність каталази </w:t>
      </w:r>
      <w:r>
        <w:rPr>
          <w:spacing w:val="-3"/>
        </w:rPr>
        <w:t>під </w:t>
      </w:r>
      <w:r>
        <w:rPr/>
        <w:t>час лютеальної фази збільшувалася</w:t>
      </w:r>
      <w:r>
        <w:rPr>
          <w:spacing w:val="-1"/>
        </w:rPr>
        <w:t> </w:t>
      </w:r>
      <w:r>
        <w:rPr/>
        <w:t>з</w:t>
      </w:r>
      <w:r>
        <w:rPr>
          <w:spacing w:val="-2"/>
        </w:rPr>
        <w:t> </w:t>
      </w:r>
      <w:r>
        <w:rPr/>
        <w:t>1-го</w:t>
      </w:r>
      <w:r>
        <w:rPr>
          <w:spacing w:val="-3"/>
        </w:rPr>
        <w:t> </w:t>
      </w:r>
      <w:r>
        <w:rPr/>
        <w:t>до</w:t>
      </w:r>
      <w:r>
        <w:rPr>
          <w:spacing w:val="-8"/>
        </w:rPr>
        <w:t> </w:t>
      </w:r>
      <w:r>
        <w:rPr/>
        <w:t>3-го</w:t>
      </w:r>
      <w:r>
        <w:rPr>
          <w:spacing w:val="-2"/>
        </w:rPr>
        <w:t> </w:t>
      </w:r>
      <w:r>
        <w:rPr/>
        <w:t>вираженого</w:t>
      </w:r>
      <w:r>
        <w:rPr>
          <w:spacing w:val="-7"/>
        </w:rPr>
        <w:t> </w:t>
      </w:r>
      <w:r>
        <w:rPr/>
        <w:t>статевого</w:t>
      </w:r>
      <w:r>
        <w:rPr>
          <w:spacing w:val="-2"/>
        </w:rPr>
        <w:t> </w:t>
      </w:r>
      <w:r>
        <w:rPr/>
        <w:t>циклу</w:t>
      </w:r>
      <w:r>
        <w:rPr>
          <w:spacing w:val="-7"/>
        </w:rPr>
        <w:t> </w:t>
      </w:r>
      <w:r>
        <w:rPr/>
        <w:t>в</w:t>
      </w:r>
      <w:r>
        <w:rPr>
          <w:spacing w:val="-5"/>
        </w:rPr>
        <w:t> </w:t>
      </w:r>
      <w:r>
        <w:rPr/>
        <w:t>2,1</w:t>
      </w:r>
      <w:r>
        <w:rPr>
          <w:spacing w:val="-3"/>
        </w:rPr>
        <w:t> </w:t>
      </w:r>
      <w:r>
        <w:rPr/>
        <w:t>раза.</w:t>
      </w:r>
      <w:r>
        <w:rPr>
          <w:spacing w:val="-6"/>
        </w:rPr>
        <w:t> </w:t>
      </w:r>
      <w:r>
        <w:rPr/>
        <w:t>При</w:t>
      </w:r>
      <w:r>
        <w:rPr>
          <w:spacing w:val="-2"/>
        </w:rPr>
        <w:t> </w:t>
      </w:r>
      <w:r>
        <w:rPr/>
        <w:t>цьому</w:t>
      </w:r>
      <w:r>
        <w:rPr>
          <w:spacing w:val="-8"/>
        </w:rPr>
        <w:t> </w:t>
      </w:r>
      <w:r>
        <w:rPr/>
        <w:t>з переходом лютеальної фази до еструсу рівень цього ензима зростав в 2,3 (1 охота), 1,5 (2 охота) і 1,6 раза (3 охота). Вживання вітамінної добавки істотно знижує рівень даного ензиму, де найбільший вплив прослідковується</w:t>
      </w:r>
      <w:r>
        <w:rPr>
          <w:spacing w:val="13"/>
        </w:rPr>
        <w:t> </w:t>
      </w:r>
      <w:r>
        <w:rPr/>
        <w:t>протягом</w:t>
      </w:r>
    </w:p>
    <w:p>
      <w:pPr>
        <w:spacing w:after="0"/>
        <w:sectPr>
          <w:pgSz w:w="11910" w:h="16840"/>
          <w:pgMar w:header="713" w:footer="778" w:top="1140" w:bottom="960" w:left="940" w:right="520"/>
        </w:sectPr>
      </w:pPr>
    </w:p>
    <w:p>
      <w:pPr>
        <w:pStyle w:val="BodyText"/>
        <w:spacing w:before="92"/>
        <w:ind w:right="633"/>
        <w:jc w:val="left"/>
      </w:pPr>
      <w:r>
        <w:rPr/>
        <w:t>3-го статевого циклу функціональна активність менша у 2,6 (лютеальна фаза) і 1,7 раза (естральна фаза) відносно контрольної групи.</w:t>
      </w:r>
    </w:p>
    <w:p>
      <w:pPr>
        <w:pStyle w:val="BodyText"/>
        <w:spacing w:after="5"/>
        <w:ind w:right="624" w:firstLine="710"/>
      </w:pPr>
      <w:r>
        <w:rPr/>
        <w:t>Таблиця 3. Стан системи антиоксидантного захисту в свинок у період статевого дозрівання, М</w:t>
      </w:r>
      <w:r>
        <w:rPr>
          <w:u w:val="single"/>
        </w:rPr>
        <w:t>+</w:t>
      </w:r>
      <w:r>
        <w:rPr/>
        <w:t>m (n=10)</w:t>
      </w:r>
    </w:p>
    <w:tbl>
      <w:tblPr>
        <w:tblW w:w="0" w:type="auto"/>
        <w:jc w:val="left"/>
        <w:tblInd w:w="1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1"/>
        <w:gridCol w:w="807"/>
        <w:gridCol w:w="1417"/>
        <w:gridCol w:w="848"/>
        <w:gridCol w:w="147"/>
        <w:gridCol w:w="1278"/>
        <w:gridCol w:w="849"/>
        <w:gridCol w:w="143"/>
        <w:gridCol w:w="1279"/>
        <w:gridCol w:w="996"/>
      </w:tblGrid>
      <w:tr>
        <w:trPr>
          <w:trHeight w:val="321" w:hRule="atLeast"/>
        </w:trPr>
        <w:tc>
          <w:tcPr>
            <w:tcW w:w="2031" w:type="dxa"/>
            <w:vMerge w:val="restart"/>
          </w:tcPr>
          <w:p>
            <w:pPr>
              <w:pStyle w:val="TableParagraph"/>
              <w:spacing w:line="273" w:lineRule="exact"/>
              <w:ind w:left="508"/>
              <w:rPr>
                <w:sz w:val="24"/>
              </w:rPr>
            </w:pPr>
            <w:r>
              <w:rPr>
                <w:sz w:val="24"/>
              </w:rPr>
              <w:t>Показники</w:t>
            </w:r>
          </w:p>
        </w:tc>
        <w:tc>
          <w:tcPr>
            <w:tcW w:w="807" w:type="dxa"/>
            <w:vMerge w:val="restart"/>
            <w:tcBorders>
              <w:right w:val="single" w:sz="6" w:space="0" w:color="000000"/>
            </w:tcBorders>
          </w:tcPr>
          <w:p>
            <w:pPr>
              <w:pStyle w:val="TableParagraph"/>
              <w:spacing w:line="237" w:lineRule="auto"/>
              <w:ind w:left="336" w:right="15" w:hanging="173"/>
              <w:rPr>
                <w:sz w:val="24"/>
              </w:rPr>
            </w:pPr>
            <w:r>
              <w:rPr>
                <w:sz w:val="24"/>
              </w:rPr>
              <w:t>Груп и</w:t>
            </w:r>
          </w:p>
        </w:tc>
        <w:tc>
          <w:tcPr>
            <w:tcW w:w="2265" w:type="dxa"/>
            <w:gridSpan w:val="2"/>
            <w:tcBorders>
              <w:left w:val="single" w:sz="6" w:space="0" w:color="000000"/>
              <w:right w:val="single" w:sz="6" w:space="0" w:color="000000"/>
            </w:tcBorders>
          </w:tcPr>
          <w:p>
            <w:pPr>
              <w:pStyle w:val="TableParagraph"/>
              <w:spacing w:before="16"/>
              <w:ind w:left="775"/>
              <w:rPr>
                <w:sz w:val="24"/>
              </w:rPr>
            </w:pPr>
            <w:r>
              <w:rPr>
                <w:sz w:val="24"/>
              </w:rPr>
              <w:t>1 охота</w:t>
            </w:r>
          </w:p>
        </w:tc>
        <w:tc>
          <w:tcPr>
            <w:tcW w:w="2274" w:type="dxa"/>
            <w:gridSpan w:val="3"/>
            <w:tcBorders>
              <w:left w:val="single" w:sz="6" w:space="0" w:color="000000"/>
              <w:right w:val="single" w:sz="6" w:space="0" w:color="000000"/>
            </w:tcBorders>
          </w:tcPr>
          <w:p>
            <w:pPr>
              <w:pStyle w:val="TableParagraph"/>
              <w:spacing w:before="16"/>
              <w:ind w:left="776"/>
              <w:rPr>
                <w:sz w:val="24"/>
              </w:rPr>
            </w:pPr>
            <w:r>
              <w:rPr>
                <w:sz w:val="24"/>
              </w:rPr>
              <w:t>2 охота</w:t>
            </w:r>
          </w:p>
        </w:tc>
        <w:tc>
          <w:tcPr>
            <w:tcW w:w="2418" w:type="dxa"/>
            <w:gridSpan w:val="3"/>
            <w:tcBorders>
              <w:left w:val="single" w:sz="6" w:space="0" w:color="000000"/>
            </w:tcBorders>
          </w:tcPr>
          <w:p>
            <w:pPr>
              <w:pStyle w:val="TableParagraph"/>
              <w:spacing w:before="16"/>
              <w:ind w:left="821" w:right="792"/>
              <w:jc w:val="center"/>
              <w:rPr>
                <w:sz w:val="24"/>
              </w:rPr>
            </w:pPr>
            <w:r>
              <w:rPr>
                <w:sz w:val="24"/>
              </w:rPr>
              <w:t>3 охота</w:t>
            </w:r>
          </w:p>
        </w:tc>
      </w:tr>
      <w:tr>
        <w:trPr>
          <w:trHeight w:val="282" w:hRule="atLeast"/>
        </w:trPr>
        <w:tc>
          <w:tcPr>
            <w:tcW w:w="2031" w:type="dxa"/>
            <w:vMerge/>
            <w:tcBorders>
              <w:top w:val="nil"/>
            </w:tcBorders>
          </w:tcPr>
          <w:p>
            <w:pPr>
              <w:rPr>
                <w:sz w:val="2"/>
                <w:szCs w:val="2"/>
              </w:rPr>
            </w:pPr>
          </w:p>
        </w:tc>
        <w:tc>
          <w:tcPr>
            <w:tcW w:w="807" w:type="dxa"/>
            <w:vMerge/>
            <w:tcBorders>
              <w:top w:val="nil"/>
              <w:right w:val="single" w:sz="6" w:space="0" w:color="000000"/>
            </w:tcBorders>
          </w:tcPr>
          <w:p>
            <w:pPr>
              <w:rPr>
                <w:sz w:val="2"/>
                <w:szCs w:val="2"/>
              </w:rPr>
            </w:pPr>
          </w:p>
        </w:tc>
        <w:tc>
          <w:tcPr>
            <w:tcW w:w="6957" w:type="dxa"/>
            <w:gridSpan w:val="8"/>
            <w:tcBorders>
              <w:left w:val="single" w:sz="6" w:space="0" w:color="000000"/>
              <w:bottom w:val="single" w:sz="6" w:space="0" w:color="000000"/>
            </w:tcBorders>
          </w:tcPr>
          <w:p>
            <w:pPr>
              <w:pStyle w:val="TableParagraph"/>
              <w:spacing w:line="263" w:lineRule="exact"/>
              <w:ind w:left="2355" w:right="2315"/>
              <w:jc w:val="center"/>
              <w:rPr>
                <w:sz w:val="24"/>
              </w:rPr>
            </w:pPr>
            <w:r>
              <w:rPr>
                <w:sz w:val="24"/>
              </w:rPr>
              <w:t>Фази статевого циклу</w:t>
            </w:r>
          </w:p>
        </w:tc>
      </w:tr>
      <w:tr>
        <w:trPr>
          <w:trHeight w:val="551" w:hRule="atLeast"/>
        </w:trPr>
        <w:tc>
          <w:tcPr>
            <w:tcW w:w="2031" w:type="dxa"/>
            <w:vMerge/>
            <w:tcBorders>
              <w:top w:val="nil"/>
            </w:tcBorders>
          </w:tcPr>
          <w:p>
            <w:pPr>
              <w:rPr>
                <w:sz w:val="2"/>
                <w:szCs w:val="2"/>
              </w:rPr>
            </w:pPr>
          </w:p>
        </w:tc>
        <w:tc>
          <w:tcPr>
            <w:tcW w:w="807" w:type="dxa"/>
            <w:vMerge/>
            <w:tcBorders>
              <w:top w:val="nil"/>
              <w:right w:val="single" w:sz="6" w:space="0" w:color="000000"/>
            </w:tcBorders>
          </w:tcPr>
          <w:p>
            <w:pPr>
              <w:rPr>
                <w:sz w:val="2"/>
                <w:szCs w:val="2"/>
              </w:rPr>
            </w:pPr>
          </w:p>
        </w:tc>
        <w:tc>
          <w:tcPr>
            <w:tcW w:w="1417" w:type="dxa"/>
            <w:tcBorders>
              <w:top w:val="single" w:sz="6" w:space="0" w:color="000000"/>
              <w:left w:val="single" w:sz="6" w:space="0" w:color="000000"/>
              <w:right w:val="single" w:sz="6" w:space="0" w:color="000000"/>
            </w:tcBorders>
          </w:tcPr>
          <w:p>
            <w:pPr>
              <w:pStyle w:val="TableParagraph"/>
              <w:spacing w:line="268" w:lineRule="exact"/>
              <w:ind w:left="184"/>
              <w:rPr>
                <w:sz w:val="24"/>
              </w:rPr>
            </w:pPr>
            <w:r>
              <w:rPr>
                <w:sz w:val="24"/>
              </w:rPr>
              <w:t>лютеальна</w:t>
            </w:r>
          </w:p>
        </w:tc>
        <w:tc>
          <w:tcPr>
            <w:tcW w:w="995" w:type="dxa"/>
            <w:gridSpan w:val="2"/>
            <w:tcBorders>
              <w:top w:val="single" w:sz="6" w:space="0" w:color="000000"/>
              <w:left w:val="single" w:sz="6" w:space="0" w:color="000000"/>
              <w:right w:val="single" w:sz="6" w:space="0" w:color="000000"/>
            </w:tcBorders>
          </w:tcPr>
          <w:p>
            <w:pPr>
              <w:pStyle w:val="TableParagraph"/>
              <w:spacing w:line="268" w:lineRule="exact"/>
              <w:ind w:left="179"/>
              <w:rPr>
                <w:sz w:val="24"/>
              </w:rPr>
            </w:pPr>
            <w:r>
              <w:rPr>
                <w:sz w:val="24"/>
              </w:rPr>
              <w:t>еструс</w:t>
            </w:r>
          </w:p>
        </w:tc>
        <w:tc>
          <w:tcPr>
            <w:tcW w:w="1278" w:type="dxa"/>
            <w:tcBorders>
              <w:top w:val="single" w:sz="6" w:space="0" w:color="000000"/>
              <w:left w:val="single" w:sz="6" w:space="0" w:color="000000"/>
              <w:right w:val="single" w:sz="6" w:space="0" w:color="000000"/>
            </w:tcBorders>
          </w:tcPr>
          <w:p>
            <w:pPr>
              <w:pStyle w:val="TableParagraph"/>
              <w:spacing w:line="266" w:lineRule="exact"/>
              <w:ind w:left="137" w:right="110"/>
              <w:jc w:val="center"/>
              <w:rPr>
                <w:sz w:val="24"/>
              </w:rPr>
            </w:pPr>
            <w:r>
              <w:rPr>
                <w:sz w:val="24"/>
              </w:rPr>
              <w:t>лютеальн</w:t>
            </w:r>
          </w:p>
          <w:p>
            <w:pPr>
              <w:pStyle w:val="TableParagraph"/>
              <w:spacing w:line="265" w:lineRule="exact"/>
              <w:jc w:val="center"/>
              <w:rPr>
                <w:sz w:val="24"/>
              </w:rPr>
            </w:pPr>
            <w:r>
              <w:rPr>
                <w:sz w:val="24"/>
              </w:rPr>
              <w:t>а</w:t>
            </w:r>
          </w:p>
        </w:tc>
        <w:tc>
          <w:tcPr>
            <w:tcW w:w="992" w:type="dxa"/>
            <w:gridSpan w:val="2"/>
            <w:tcBorders>
              <w:top w:val="single" w:sz="6" w:space="0" w:color="000000"/>
              <w:left w:val="single" w:sz="6" w:space="0" w:color="000000"/>
              <w:right w:val="single" w:sz="6" w:space="0" w:color="000000"/>
            </w:tcBorders>
          </w:tcPr>
          <w:p>
            <w:pPr>
              <w:pStyle w:val="TableParagraph"/>
              <w:spacing w:line="268" w:lineRule="exact"/>
              <w:ind w:left="172"/>
              <w:rPr>
                <w:sz w:val="24"/>
              </w:rPr>
            </w:pPr>
            <w:r>
              <w:rPr>
                <w:sz w:val="24"/>
              </w:rPr>
              <w:t>еструс</w:t>
            </w:r>
          </w:p>
        </w:tc>
        <w:tc>
          <w:tcPr>
            <w:tcW w:w="1279" w:type="dxa"/>
            <w:tcBorders>
              <w:top w:val="single" w:sz="6" w:space="0" w:color="000000"/>
              <w:left w:val="single" w:sz="6" w:space="0" w:color="000000"/>
              <w:right w:val="single" w:sz="6" w:space="0" w:color="000000"/>
            </w:tcBorders>
          </w:tcPr>
          <w:p>
            <w:pPr>
              <w:pStyle w:val="TableParagraph"/>
              <w:spacing w:line="266" w:lineRule="exact"/>
              <w:ind w:left="139" w:right="110"/>
              <w:jc w:val="center"/>
              <w:rPr>
                <w:sz w:val="24"/>
              </w:rPr>
            </w:pPr>
            <w:r>
              <w:rPr>
                <w:sz w:val="24"/>
              </w:rPr>
              <w:t>лютеальн</w:t>
            </w:r>
          </w:p>
          <w:p>
            <w:pPr>
              <w:pStyle w:val="TableParagraph"/>
              <w:spacing w:line="265" w:lineRule="exact"/>
              <w:ind w:right="1"/>
              <w:jc w:val="center"/>
              <w:rPr>
                <w:sz w:val="24"/>
              </w:rPr>
            </w:pPr>
            <w:r>
              <w:rPr>
                <w:sz w:val="24"/>
              </w:rPr>
              <w:t>а</w:t>
            </w:r>
          </w:p>
        </w:tc>
        <w:tc>
          <w:tcPr>
            <w:tcW w:w="996" w:type="dxa"/>
            <w:tcBorders>
              <w:top w:val="single" w:sz="6" w:space="0" w:color="000000"/>
              <w:left w:val="single" w:sz="6" w:space="0" w:color="000000"/>
            </w:tcBorders>
          </w:tcPr>
          <w:p>
            <w:pPr>
              <w:pStyle w:val="TableParagraph"/>
              <w:spacing w:line="268" w:lineRule="exact"/>
              <w:ind w:left="172"/>
              <w:rPr>
                <w:sz w:val="24"/>
              </w:rPr>
            </w:pPr>
            <w:r>
              <w:rPr>
                <w:sz w:val="24"/>
              </w:rPr>
              <w:t>еструс</w:t>
            </w:r>
          </w:p>
        </w:tc>
      </w:tr>
      <w:tr>
        <w:trPr>
          <w:trHeight w:val="551" w:hRule="atLeast"/>
        </w:trPr>
        <w:tc>
          <w:tcPr>
            <w:tcW w:w="2031" w:type="dxa"/>
            <w:vMerge w:val="restart"/>
          </w:tcPr>
          <w:p>
            <w:pPr>
              <w:pStyle w:val="TableParagraph"/>
              <w:spacing w:line="242" w:lineRule="auto"/>
              <w:ind w:left="206" w:hanging="44"/>
              <w:rPr>
                <w:sz w:val="24"/>
              </w:rPr>
            </w:pPr>
            <w:r>
              <w:rPr>
                <w:color w:val="221F1F"/>
                <w:sz w:val="24"/>
              </w:rPr>
              <w:t>Супероксиддисм утаза, од.акт/</w:t>
            </w:r>
            <w:r>
              <w:rPr>
                <w:sz w:val="24"/>
              </w:rPr>
              <w:t>мл</w:t>
            </w:r>
          </w:p>
        </w:tc>
        <w:tc>
          <w:tcPr>
            <w:tcW w:w="807" w:type="dxa"/>
          </w:tcPr>
          <w:p>
            <w:pPr>
              <w:pStyle w:val="TableParagraph"/>
              <w:spacing w:line="268" w:lineRule="exact"/>
              <w:ind w:right="319"/>
              <w:jc w:val="right"/>
              <w:rPr>
                <w:sz w:val="24"/>
              </w:rPr>
            </w:pPr>
            <w:r>
              <w:rPr>
                <w:sz w:val="24"/>
              </w:rPr>
              <w:t>1</w:t>
            </w:r>
          </w:p>
        </w:tc>
        <w:tc>
          <w:tcPr>
            <w:tcW w:w="1417" w:type="dxa"/>
          </w:tcPr>
          <w:p>
            <w:pPr>
              <w:pStyle w:val="TableParagraph"/>
              <w:spacing w:line="268" w:lineRule="exact"/>
              <w:ind w:left="445"/>
              <w:rPr>
                <w:sz w:val="24"/>
              </w:rPr>
            </w:pPr>
            <w:r>
              <w:rPr>
                <w:sz w:val="24"/>
              </w:rPr>
              <w:t>0,58</w:t>
            </w:r>
            <w:r>
              <w:rPr>
                <w:sz w:val="24"/>
                <w:u w:val="single"/>
              </w:rPr>
              <w:t>+</w:t>
            </w:r>
          </w:p>
          <w:p>
            <w:pPr>
              <w:pStyle w:val="TableParagraph"/>
              <w:spacing w:line="261" w:lineRule="exact" w:before="2"/>
              <w:ind w:left="455"/>
              <w:rPr>
                <w:sz w:val="24"/>
              </w:rPr>
            </w:pPr>
            <w:r>
              <w:rPr>
                <w:sz w:val="24"/>
              </w:rPr>
              <w:t>0,072</w:t>
            </w:r>
          </w:p>
        </w:tc>
        <w:tc>
          <w:tcPr>
            <w:tcW w:w="995" w:type="dxa"/>
            <w:gridSpan w:val="2"/>
          </w:tcPr>
          <w:p>
            <w:pPr>
              <w:pStyle w:val="TableParagraph"/>
              <w:spacing w:line="268" w:lineRule="exact"/>
              <w:ind w:left="277"/>
              <w:rPr>
                <w:sz w:val="24"/>
              </w:rPr>
            </w:pPr>
            <w:r>
              <w:rPr>
                <w:spacing w:val="-16"/>
                <w:sz w:val="24"/>
              </w:rPr>
              <w:t>0,75</w:t>
            </w:r>
            <w:r>
              <w:rPr>
                <w:spacing w:val="-16"/>
                <w:sz w:val="24"/>
                <w:u w:val="single"/>
              </w:rPr>
              <w:t>+</w:t>
            </w:r>
          </w:p>
          <w:p>
            <w:pPr>
              <w:pStyle w:val="TableParagraph"/>
              <w:spacing w:line="261" w:lineRule="exact" w:before="2"/>
              <w:ind w:left="243"/>
              <w:rPr>
                <w:sz w:val="24"/>
              </w:rPr>
            </w:pPr>
            <w:r>
              <w:rPr>
                <w:sz w:val="24"/>
              </w:rPr>
              <w:t>0,079</w:t>
            </w:r>
          </w:p>
        </w:tc>
        <w:tc>
          <w:tcPr>
            <w:tcW w:w="1278" w:type="dxa"/>
          </w:tcPr>
          <w:p>
            <w:pPr>
              <w:pStyle w:val="TableParagraph"/>
              <w:spacing w:line="268" w:lineRule="exact"/>
              <w:ind w:left="362"/>
              <w:rPr>
                <w:sz w:val="24"/>
              </w:rPr>
            </w:pPr>
            <w:r>
              <w:rPr>
                <w:spacing w:val="-16"/>
                <w:sz w:val="24"/>
              </w:rPr>
              <w:t>0,355</w:t>
            </w:r>
            <w:r>
              <w:rPr>
                <w:spacing w:val="-16"/>
                <w:sz w:val="24"/>
                <w:u w:val="single"/>
              </w:rPr>
              <w:t>+</w:t>
            </w:r>
          </w:p>
          <w:p>
            <w:pPr>
              <w:pStyle w:val="TableParagraph"/>
              <w:spacing w:line="261" w:lineRule="exact" w:before="2"/>
              <w:ind w:left="382"/>
              <w:rPr>
                <w:sz w:val="24"/>
              </w:rPr>
            </w:pPr>
            <w:r>
              <w:rPr>
                <w:sz w:val="24"/>
              </w:rPr>
              <w:t>0,065</w:t>
            </w:r>
          </w:p>
        </w:tc>
        <w:tc>
          <w:tcPr>
            <w:tcW w:w="992" w:type="dxa"/>
            <w:gridSpan w:val="2"/>
          </w:tcPr>
          <w:p>
            <w:pPr>
              <w:pStyle w:val="TableParagraph"/>
              <w:spacing w:line="268" w:lineRule="exact"/>
              <w:ind w:left="218"/>
              <w:rPr>
                <w:sz w:val="24"/>
              </w:rPr>
            </w:pPr>
            <w:r>
              <w:rPr>
                <w:spacing w:val="-16"/>
                <w:sz w:val="24"/>
              </w:rPr>
              <w:t>0,525</w:t>
            </w:r>
            <w:r>
              <w:rPr>
                <w:spacing w:val="-16"/>
                <w:sz w:val="24"/>
                <w:u w:val="single"/>
              </w:rPr>
              <w:t>+</w:t>
            </w:r>
          </w:p>
          <w:p>
            <w:pPr>
              <w:pStyle w:val="TableParagraph"/>
              <w:spacing w:line="261" w:lineRule="exact" w:before="2"/>
              <w:ind w:left="237"/>
              <w:rPr>
                <w:sz w:val="24"/>
              </w:rPr>
            </w:pPr>
            <w:r>
              <w:rPr>
                <w:sz w:val="24"/>
              </w:rPr>
              <w:t>0,109</w:t>
            </w:r>
          </w:p>
        </w:tc>
        <w:tc>
          <w:tcPr>
            <w:tcW w:w="1279" w:type="dxa"/>
          </w:tcPr>
          <w:p>
            <w:pPr>
              <w:pStyle w:val="TableParagraph"/>
              <w:spacing w:line="268" w:lineRule="exact"/>
              <w:ind w:left="373"/>
              <w:rPr>
                <w:sz w:val="24"/>
              </w:rPr>
            </w:pPr>
            <w:r>
              <w:rPr>
                <w:sz w:val="24"/>
              </w:rPr>
              <w:t>0,42</w:t>
            </w:r>
            <w:r>
              <w:rPr>
                <w:sz w:val="24"/>
                <w:u w:val="single"/>
              </w:rPr>
              <w:t>+</w:t>
            </w:r>
          </w:p>
          <w:p>
            <w:pPr>
              <w:pStyle w:val="TableParagraph"/>
              <w:spacing w:line="261" w:lineRule="exact" w:before="2"/>
              <w:ind w:left="383"/>
              <w:rPr>
                <w:sz w:val="24"/>
              </w:rPr>
            </w:pPr>
            <w:r>
              <w:rPr>
                <w:sz w:val="24"/>
              </w:rPr>
              <w:t>0,092</w:t>
            </w:r>
          </w:p>
        </w:tc>
        <w:tc>
          <w:tcPr>
            <w:tcW w:w="996" w:type="dxa"/>
          </w:tcPr>
          <w:p>
            <w:pPr>
              <w:pStyle w:val="TableParagraph"/>
              <w:spacing w:line="268" w:lineRule="exact"/>
              <w:ind w:left="271"/>
              <w:rPr>
                <w:sz w:val="24"/>
              </w:rPr>
            </w:pPr>
            <w:r>
              <w:rPr>
                <w:spacing w:val="-16"/>
                <w:sz w:val="24"/>
              </w:rPr>
              <w:t>0,39</w:t>
            </w:r>
            <w:r>
              <w:rPr>
                <w:spacing w:val="-16"/>
                <w:sz w:val="24"/>
                <w:u w:val="single"/>
              </w:rPr>
              <w:t>+</w:t>
            </w:r>
          </w:p>
          <w:p>
            <w:pPr>
              <w:pStyle w:val="TableParagraph"/>
              <w:spacing w:line="261" w:lineRule="exact" w:before="2"/>
              <w:ind w:left="237"/>
              <w:rPr>
                <w:sz w:val="24"/>
              </w:rPr>
            </w:pPr>
            <w:r>
              <w:rPr>
                <w:sz w:val="24"/>
              </w:rPr>
              <w:t>0,065</w:t>
            </w:r>
          </w:p>
        </w:tc>
      </w:tr>
      <w:tr>
        <w:trPr>
          <w:trHeight w:val="556" w:hRule="atLeast"/>
        </w:trPr>
        <w:tc>
          <w:tcPr>
            <w:tcW w:w="2031" w:type="dxa"/>
            <w:vMerge/>
            <w:tcBorders>
              <w:top w:val="nil"/>
            </w:tcBorders>
          </w:tcPr>
          <w:p>
            <w:pPr>
              <w:rPr>
                <w:sz w:val="2"/>
                <w:szCs w:val="2"/>
              </w:rPr>
            </w:pPr>
          </w:p>
        </w:tc>
        <w:tc>
          <w:tcPr>
            <w:tcW w:w="807" w:type="dxa"/>
          </w:tcPr>
          <w:p>
            <w:pPr>
              <w:pStyle w:val="TableParagraph"/>
              <w:spacing w:line="273" w:lineRule="exact"/>
              <w:ind w:right="319"/>
              <w:jc w:val="right"/>
              <w:rPr>
                <w:sz w:val="24"/>
              </w:rPr>
            </w:pPr>
            <w:r>
              <w:rPr>
                <w:sz w:val="24"/>
              </w:rPr>
              <w:t>2</w:t>
            </w:r>
          </w:p>
        </w:tc>
        <w:tc>
          <w:tcPr>
            <w:tcW w:w="1417" w:type="dxa"/>
          </w:tcPr>
          <w:p>
            <w:pPr>
              <w:pStyle w:val="TableParagraph"/>
              <w:spacing w:line="273" w:lineRule="exact"/>
              <w:ind w:left="388"/>
              <w:rPr>
                <w:sz w:val="24"/>
              </w:rPr>
            </w:pPr>
            <w:r>
              <w:rPr>
                <w:sz w:val="24"/>
              </w:rPr>
              <w:t>0,695</w:t>
            </w:r>
            <w:r>
              <w:rPr>
                <w:sz w:val="24"/>
                <w:u w:val="single"/>
              </w:rPr>
              <w:t>+</w:t>
            </w:r>
          </w:p>
          <w:p>
            <w:pPr>
              <w:pStyle w:val="TableParagraph"/>
              <w:spacing w:line="261" w:lineRule="exact" w:before="2"/>
              <w:ind w:left="455"/>
              <w:rPr>
                <w:sz w:val="24"/>
              </w:rPr>
            </w:pPr>
            <w:r>
              <w:rPr>
                <w:sz w:val="24"/>
              </w:rPr>
              <w:t>0,114</w:t>
            </w:r>
          </w:p>
        </w:tc>
        <w:tc>
          <w:tcPr>
            <w:tcW w:w="995" w:type="dxa"/>
            <w:gridSpan w:val="2"/>
          </w:tcPr>
          <w:p>
            <w:pPr>
              <w:pStyle w:val="TableParagraph"/>
              <w:spacing w:line="273" w:lineRule="exact"/>
              <w:ind w:left="224"/>
              <w:rPr>
                <w:sz w:val="24"/>
              </w:rPr>
            </w:pPr>
            <w:r>
              <w:rPr>
                <w:spacing w:val="-16"/>
                <w:sz w:val="24"/>
              </w:rPr>
              <w:t>0,765</w:t>
            </w:r>
            <w:r>
              <w:rPr>
                <w:spacing w:val="-16"/>
                <w:sz w:val="24"/>
                <w:u w:val="single"/>
              </w:rPr>
              <w:t>+</w:t>
            </w:r>
          </w:p>
          <w:p>
            <w:pPr>
              <w:pStyle w:val="TableParagraph"/>
              <w:spacing w:line="261" w:lineRule="exact" w:before="2"/>
              <w:ind w:left="243"/>
              <w:rPr>
                <w:sz w:val="24"/>
              </w:rPr>
            </w:pPr>
            <w:r>
              <w:rPr>
                <w:sz w:val="24"/>
              </w:rPr>
              <w:t>0,091</w:t>
            </w:r>
          </w:p>
        </w:tc>
        <w:tc>
          <w:tcPr>
            <w:tcW w:w="1278" w:type="dxa"/>
          </w:tcPr>
          <w:p>
            <w:pPr>
              <w:pStyle w:val="TableParagraph"/>
              <w:spacing w:line="273" w:lineRule="exact"/>
              <w:ind w:left="372"/>
              <w:rPr>
                <w:sz w:val="24"/>
              </w:rPr>
            </w:pPr>
            <w:r>
              <w:rPr>
                <w:sz w:val="24"/>
              </w:rPr>
              <w:t>0,73</w:t>
            </w:r>
            <w:r>
              <w:rPr>
                <w:sz w:val="24"/>
                <w:u w:val="single"/>
              </w:rPr>
              <w:t>+</w:t>
            </w:r>
          </w:p>
          <w:p>
            <w:pPr>
              <w:pStyle w:val="TableParagraph"/>
              <w:spacing w:line="261" w:lineRule="exact" w:before="2"/>
              <w:ind w:left="382"/>
              <w:rPr>
                <w:sz w:val="24"/>
              </w:rPr>
            </w:pPr>
            <w:r>
              <w:rPr>
                <w:sz w:val="24"/>
              </w:rPr>
              <w:t>0,089</w:t>
            </w:r>
          </w:p>
        </w:tc>
        <w:tc>
          <w:tcPr>
            <w:tcW w:w="992" w:type="dxa"/>
            <w:gridSpan w:val="2"/>
          </w:tcPr>
          <w:p>
            <w:pPr>
              <w:pStyle w:val="TableParagraph"/>
              <w:spacing w:line="273" w:lineRule="exact"/>
              <w:ind w:left="218"/>
              <w:rPr>
                <w:sz w:val="24"/>
              </w:rPr>
            </w:pPr>
            <w:r>
              <w:rPr>
                <w:spacing w:val="-16"/>
                <w:sz w:val="24"/>
              </w:rPr>
              <w:t>0,975</w:t>
            </w:r>
            <w:r>
              <w:rPr>
                <w:spacing w:val="-16"/>
                <w:sz w:val="24"/>
                <w:u w:val="single"/>
              </w:rPr>
              <w:t>+</w:t>
            </w:r>
          </w:p>
          <w:p>
            <w:pPr>
              <w:pStyle w:val="TableParagraph"/>
              <w:spacing w:line="261" w:lineRule="exact" w:before="2"/>
              <w:ind w:left="237"/>
              <w:rPr>
                <w:sz w:val="24"/>
              </w:rPr>
            </w:pPr>
            <w:r>
              <w:rPr>
                <w:sz w:val="24"/>
              </w:rPr>
              <w:t>0,093</w:t>
            </w:r>
          </w:p>
        </w:tc>
        <w:tc>
          <w:tcPr>
            <w:tcW w:w="1279" w:type="dxa"/>
          </w:tcPr>
          <w:p>
            <w:pPr>
              <w:pStyle w:val="TableParagraph"/>
              <w:spacing w:line="273" w:lineRule="exact"/>
              <w:ind w:left="311"/>
              <w:rPr>
                <w:sz w:val="24"/>
              </w:rPr>
            </w:pPr>
            <w:r>
              <w:rPr>
                <w:sz w:val="24"/>
              </w:rPr>
              <w:t>0,825</w:t>
            </w:r>
            <w:r>
              <w:rPr>
                <w:sz w:val="24"/>
                <w:u w:val="single"/>
              </w:rPr>
              <w:t>+</w:t>
            </w:r>
          </w:p>
          <w:p>
            <w:pPr>
              <w:pStyle w:val="TableParagraph"/>
              <w:spacing w:line="261" w:lineRule="exact" w:before="2"/>
              <w:ind w:left="383"/>
              <w:rPr>
                <w:sz w:val="24"/>
              </w:rPr>
            </w:pPr>
            <w:r>
              <w:rPr>
                <w:sz w:val="24"/>
              </w:rPr>
              <w:t>0,068</w:t>
            </w:r>
          </w:p>
        </w:tc>
        <w:tc>
          <w:tcPr>
            <w:tcW w:w="996" w:type="dxa"/>
          </w:tcPr>
          <w:p>
            <w:pPr>
              <w:pStyle w:val="TableParagraph"/>
              <w:spacing w:line="273" w:lineRule="exact"/>
              <w:ind w:left="271"/>
              <w:rPr>
                <w:sz w:val="24"/>
              </w:rPr>
            </w:pPr>
            <w:r>
              <w:rPr>
                <w:spacing w:val="-16"/>
                <w:sz w:val="24"/>
              </w:rPr>
              <w:t>0,66</w:t>
            </w:r>
            <w:r>
              <w:rPr>
                <w:spacing w:val="-16"/>
                <w:sz w:val="24"/>
                <w:u w:val="single"/>
              </w:rPr>
              <w:t>+</w:t>
            </w:r>
          </w:p>
          <w:p>
            <w:pPr>
              <w:pStyle w:val="TableParagraph"/>
              <w:spacing w:line="261" w:lineRule="exact" w:before="2"/>
              <w:ind w:left="237"/>
              <w:rPr>
                <w:sz w:val="24"/>
              </w:rPr>
            </w:pPr>
            <w:r>
              <w:rPr>
                <w:sz w:val="24"/>
              </w:rPr>
              <w:t>0,107</w:t>
            </w:r>
          </w:p>
        </w:tc>
      </w:tr>
      <w:tr>
        <w:trPr>
          <w:trHeight w:val="830" w:hRule="atLeast"/>
        </w:trPr>
        <w:tc>
          <w:tcPr>
            <w:tcW w:w="2031" w:type="dxa"/>
            <w:vMerge w:val="restart"/>
          </w:tcPr>
          <w:p>
            <w:pPr>
              <w:pStyle w:val="TableParagraph"/>
              <w:spacing w:line="242" w:lineRule="auto"/>
              <w:ind w:left="542" w:right="472" w:firstLine="9"/>
              <w:rPr>
                <w:sz w:val="24"/>
              </w:rPr>
            </w:pPr>
            <w:r>
              <w:rPr>
                <w:sz w:val="24"/>
              </w:rPr>
              <w:t>Каталаза, </w:t>
            </w:r>
            <w:r>
              <w:rPr>
                <w:position w:val="2"/>
                <w:sz w:val="24"/>
              </w:rPr>
              <w:t>H</w:t>
            </w:r>
            <w:r>
              <w:rPr>
                <w:sz w:val="16"/>
              </w:rPr>
              <w:t>2</w:t>
            </w:r>
            <w:r>
              <w:rPr>
                <w:position w:val="2"/>
                <w:sz w:val="24"/>
              </w:rPr>
              <w:t>O</w:t>
            </w:r>
            <w:r>
              <w:rPr>
                <w:sz w:val="16"/>
              </w:rPr>
              <w:t>2</w:t>
            </w:r>
            <w:r>
              <w:rPr>
                <w:position w:val="2"/>
                <w:sz w:val="24"/>
              </w:rPr>
              <w:t>/хв∙л</w:t>
            </w:r>
          </w:p>
        </w:tc>
        <w:tc>
          <w:tcPr>
            <w:tcW w:w="807" w:type="dxa"/>
          </w:tcPr>
          <w:p>
            <w:pPr>
              <w:pStyle w:val="TableParagraph"/>
              <w:spacing w:line="268" w:lineRule="exact"/>
              <w:ind w:right="319"/>
              <w:jc w:val="right"/>
              <w:rPr>
                <w:sz w:val="24"/>
              </w:rPr>
            </w:pPr>
            <w:r>
              <w:rPr>
                <w:sz w:val="24"/>
              </w:rPr>
              <w:t>1</w:t>
            </w:r>
          </w:p>
        </w:tc>
        <w:tc>
          <w:tcPr>
            <w:tcW w:w="1417" w:type="dxa"/>
          </w:tcPr>
          <w:p>
            <w:pPr>
              <w:pStyle w:val="TableParagraph"/>
              <w:spacing w:line="268" w:lineRule="exact"/>
              <w:ind w:left="388"/>
              <w:rPr>
                <w:sz w:val="24"/>
              </w:rPr>
            </w:pPr>
            <w:r>
              <w:rPr>
                <w:sz w:val="24"/>
              </w:rPr>
              <w:t>0,615</w:t>
            </w:r>
            <w:r>
              <w:rPr>
                <w:sz w:val="24"/>
                <w:u w:val="single"/>
              </w:rPr>
              <w:t>+</w:t>
            </w:r>
          </w:p>
          <w:p>
            <w:pPr>
              <w:pStyle w:val="TableParagraph"/>
              <w:spacing w:before="2"/>
              <w:ind w:left="455"/>
              <w:rPr>
                <w:sz w:val="24"/>
              </w:rPr>
            </w:pPr>
            <w:r>
              <w:rPr>
                <w:sz w:val="24"/>
              </w:rPr>
              <w:t>0,077</w:t>
            </w:r>
          </w:p>
        </w:tc>
        <w:tc>
          <w:tcPr>
            <w:tcW w:w="995" w:type="dxa"/>
            <w:gridSpan w:val="2"/>
          </w:tcPr>
          <w:p>
            <w:pPr>
              <w:pStyle w:val="TableParagraph"/>
              <w:spacing w:line="268" w:lineRule="exact"/>
              <w:ind w:left="157" w:right="111"/>
              <w:jc w:val="center"/>
              <w:rPr>
                <w:sz w:val="24"/>
              </w:rPr>
            </w:pPr>
            <w:r>
              <w:rPr>
                <w:sz w:val="24"/>
              </w:rPr>
              <w:t>1,385</w:t>
            </w:r>
            <w:r>
              <w:rPr>
                <w:sz w:val="24"/>
                <w:u w:val="single"/>
              </w:rPr>
              <w:t>+</w:t>
            </w:r>
          </w:p>
          <w:p>
            <w:pPr>
              <w:pStyle w:val="TableParagraph"/>
              <w:spacing w:line="275" w:lineRule="exact" w:before="2"/>
              <w:ind w:left="157" w:right="108"/>
              <w:jc w:val="center"/>
              <w:rPr>
                <w:sz w:val="24"/>
              </w:rPr>
            </w:pPr>
            <w:r>
              <w:rPr>
                <w:sz w:val="24"/>
              </w:rPr>
              <w:t>0,207*</w:t>
            </w:r>
          </w:p>
          <w:p>
            <w:pPr>
              <w:pStyle w:val="TableParagraph"/>
              <w:spacing w:line="265" w:lineRule="exact"/>
              <w:ind w:left="7"/>
              <w:jc w:val="center"/>
              <w:rPr>
                <w:sz w:val="24"/>
              </w:rPr>
            </w:pPr>
            <w:r>
              <w:rPr>
                <w:sz w:val="24"/>
              </w:rPr>
              <w:t>*</w:t>
            </w:r>
          </w:p>
        </w:tc>
        <w:tc>
          <w:tcPr>
            <w:tcW w:w="1278" w:type="dxa"/>
          </w:tcPr>
          <w:p>
            <w:pPr>
              <w:pStyle w:val="TableParagraph"/>
              <w:spacing w:line="268" w:lineRule="exact"/>
              <w:ind w:left="372"/>
              <w:rPr>
                <w:sz w:val="24"/>
              </w:rPr>
            </w:pPr>
            <w:r>
              <w:rPr>
                <w:sz w:val="24"/>
              </w:rPr>
              <w:t>0,77</w:t>
            </w:r>
            <w:r>
              <w:rPr>
                <w:sz w:val="24"/>
                <w:u w:val="single"/>
              </w:rPr>
              <w:t>+</w:t>
            </w:r>
          </w:p>
          <w:p>
            <w:pPr>
              <w:pStyle w:val="TableParagraph"/>
              <w:spacing w:before="2"/>
              <w:ind w:left="382"/>
              <w:rPr>
                <w:sz w:val="24"/>
              </w:rPr>
            </w:pPr>
            <w:r>
              <w:rPr>
                <w:sz w:val="24"/>
              </w:rPr>
              <w:t>0,131</w:t>
            </w:r>
          </w:p>
        </w:tc>
        <w:tc>
          <w:tcPr>
            <w:tcW w:w="992" w:type="dxa"/>
            <w:gridSpan w:val="2"/>
          </w:tcPr>
          <w:p>
            <w:pPr>
              <w:pStyle w:val="TableParagraph"/>
              <w:spacing w:line="268" w:lineRule="exact"/>
              <w:ind w:left="227"/>
              <w:rPr>
                <w:sz w:val="24"/>
              </w:rPr>
            </w:pPr>
            <w:r>
              <w:rPr>
                <w:sz w:val="24"/>
              </w:rPr>
              <w:t>1,15</w:t>
            </w:r>
            <w:r>
              <w:rPr>
                <w:sz w:val="24"/>
                <w:u w:val="single"/>
              </w:rPr>
              <w:t>+</w:t>
            </w:r>
          </w:p>
          <w:p>
            <w:pPr>
              <w:pStyle w:val="TableParagraph"/>
              <w:spacing w:before="2"/>
              <w:ind w:left="237"/>
              <w:rPr>
                <w:sz w:val="24"/>
              </w:rPr>
            </w:pPr>
            <w:r>
              <w:rPr>
                <w:sz w:val="24"/>
              </w:rPr>
              <w:t>0,131</w:t>
            </w:r>
          </w:p>
        </w:tc>
        <w:tc>
          <w:tcPr>
            <w:tcW w:w="1279" w:type="dxa"/>
          </w:tcPr>
          <w:p>
            <w:pPr>
              <w:pStyle w:val="TableParagraph"/>
              <w:spacing w:line="268" w:lineRule="exact"/>
              <w:ind w:left="373"/>
              <w:rPr>
                <w:sz w:val="24"/>
              </w:rPr>
            </w:pPr>
            <w:r>
              <w:rPr>
                <w:sz w:val="24"/>
              </w:rPr>
              <w:t>1,27</w:t>
            </w:r>
            <w:r>
              <w:rPr>
                <w:sz w:val="24"/>
                <w:u w:val="single"/>
              </w:rPr>
              <w:t>+</w:t>
            </w:r>
          </w:p>
          <w:p>
            <w:pPr>
              <w:pStyle w:val="TableParagraph"/>
              <w:spacing w:before="2"/>
              <w:ind w:left="383"/>
              <w:rPr>
                <w:sz w:val="24"/>
              </w:rPr>
            </w:pPr>
            <w:r>
              <w:rPr>
                <w:sz w:val="24"/>
              </w:rPr>
              <w:t>0,176</w:t>
            </w:r>
          </w:p>
        </w:tc>
        <w:tc>
          <w:tcPr>
            <w:tcW w:w="996" w:type="dxa"/>
          </w:tcPr>
          <w:p>
            <w:pPr>
              <w:pStyle w:val="TableParagraph"/>
              <w:spacing w:line="268" w:lineRule="exact"/>
              <w:ind w:left="271"/>
              <w:rPr>
                <w:sz w:val="24"/>
              </w:rPr>
            </w:pPr>
            <w:r>
              <w:rPr>
                <w:sz w:val="24"/>
              </w:rPr>
              <w:t>1,97</w:t>
            </w:r>
            <w:r>
              <w:rPr>
                <w:sz w:val="24"/>
                <w:u w:val="single"/>
              </w:rPr>
              <w:t>+</w:t>
            </w:r>
          </w:p>
          <w:p>
            <w:pPr>
              <w:pStyle w:val="TableParagraph"/>
              <w:spacing w:before="2"/>
              <w:ind w:left="180"/>
              <w:rPr>
                <w:sz w:val="24"/>
              </w:rPr>
            </w:pPr>
            <w:r>
              <w:rPr>
                <w:sz w:val="24"/>
              </w:rPr>
              <w:t>0,152*</w:t>
            </w:r>
          </w:p>
        </w:tc>
      </w:tr>
      <w:tr>
        <w:trPr>
          <w:trHeight w:val="830" w:hRule="atLeast"/>
        </w:trPr>
        <w:tc>
          <w:tcPr>
            <w:tcW w:w="2031" w:type="dxa"/>
            <w:vMerge/>
            <w:tcBorders>
              <w:top w:val="nil"/>
            </w:tcBorders>
          </w:tcPr>
          <w:p>
            <w:pPr>
              <w:rPr>
                <w:sz w:val="2"/>
                <w:szCs w:val="2"/>
              </w:rPr>
            </w:pPr>
          </w:p>
        </w:tc>
        <w:tc>
          <w:tcPr>
            <w:tcW w:w="807" w:type="dxa"/>
          </w:tcPr>
          <w:p>
            <w:pPr>
              <w:pStyle w:val="TableParagraph"/>
              <w:spacing w:line="273" w:lineRule="exact"/>
              <w:ind w:right="319"/>
              <w:jc w:val="right"/>
              <w:rPr>
                <w:sz w:val="24"/>
              </w:rPr>
            </w:pPr>
            <w:r>
              <w:rPr>
                <w:sz w:val="24"/>
              </w:rPr>
              <w:t>2</w:t>
            </w:r>
          </w:p>
        </w:tc>
        <w:tc>
          <w:tcPr>
            <w:tcW w:w="1417" w:type="dxa"/>
          </w:tcPr>
          <w:p>
            <w:pPr>
              <w:pStyle w:val="TableParagraph"/>
              <w:spacing w:line="271" w:lineRule="exact"/>
              <w:ind w:left="445"/>
              <w:rPr>
                <w:sz w:val="24"/>
              </w:rPr>
            </w:pPr>
            <w:r>
              <w:rPr>
                <w:sz w:val="24"/>
              </w:rPr>
              <w:t>0,55</w:t>
            </w:r>
            <w:r>
              <w:rPr>
                <w:sz w:val="24"/>
                <w:u w:val="single"/>
              </w:rPr>
              <w:t>+</w:t>
            </w:r>
          </w:p>
          <w:p>
            <w:pPr>
              <w:pStyle w:val="TableParagraph"/>
              <w:spacing w:line="275" w:lineRule="exact"/>
              <w:ind w:left="455"/>
              <w:rPr>
                <w:sz w:val="24"/>
              </w:rPr>
            </w:pPr>
            <w:r>
              <w:rPr>
                <w:sz w:val="24"/>
              </w:rPr>
              <w:t>0,101</w:t>
            </w:r>
          </w:p>
        </w:tc>
        <w:tc>
          <w:tcPr>
            <w:tcW w:w="995" w:type="dxa"/>
            <w:gridSpan w:val="2"/>
          </w:tcPr>
          <w:p>
            <w:pPr>
              <w:pStyle w:val="TableParagraph"/>
              <w:spacing w:line="271" w:lineRule="exact"/>
              <w:ind w:left="234"/>
              <w:rPr>
                <w:sz w:val="24"/>
              </w:rPr>
            </w:pPr>
            <w:r>
              <w:rPr>
                <w:sz w:val="24"/>
              </w:rPr>
              <w:t>0,87</w:t>
            </w:r>
            <w:r>
              <w:rPr>
                <w:sz w:val="24"/>
                <w:u w:val="single"/>
              </w:rPr>
              <w:t>+</w:t>
            </w:r>
          </w:p>
          <w:p>
            <w:pPr>
              <w:pStyle w:val="TableParagraph"/>
              <w:spacing w:line="275" w:lineRule="exact"/>
              <w:ind w:left="243"/>
              <w:rPr>
                <w:sz w:val="24"/>
              </w:rPr>
            </w:pPr>
            <w:r>
              <w:rPr>
                <w:sz w:val="24"/>
              </w:rPr>
              <w:t>0,111</w:t>
            </w:r>
          </w:p>
        </w:tc>
        <w:tc>
          <w:tcPr>
            <w:tcW w:w="1278" w:type="dxa"/>
          </w:tcPr>
          <w:p>
            <w:pPr>
              <w:pStyle w:val="TableParagraph"/>
              <w:spacing w:line="271" w:lineRule="exact"/>
              <w:ind w:left="310"/>
              <w:rPr>
                <w:sz w:val="24"/>
              </w:rPr>
            </w:pPr>
            <w:r>
              <w:rPr>
                <w:sz w:val="24"/>
              </w:rPr>
              <w:t>0,678</w:t>
            </w:r>
            <w:r>
              <w:rPr>
                <w:sz w:val="24"/>
                <w:u w:val="single"/>
              </w:rPr>
              <w:t>+</w:t>
            </w:r>
          </w:p>
          <w:p>
            <w:pPr>
              <w:pStyle w:val="TableParagraph"/>
              <w:spacing w:line="275" w:lineRule="exact"/>
              <w:ind w:left="382"/>
              <w:rPr>
                <w:sz w:val="24"/>
              </w:rPr>
            </w:pPr>
            <w:r>
              <w:rPr>
                <w:sz w:val="24"/>
              </w:rPr>
              <w:t>0,108</w:t>
            </w:r>
          </w:p>
        </w:tc>
        <w:tc>
          <w:tcPr>
            <w:tcW w:w="992" w:type="dxa"/>
            <w:gridSpan w:val="2"/>
          </w:tcPr>
          <w:p>
            <w:pPr>
              <w:pStyle w:val="TableParagraph"/>
              <w:spacing w:line="271" w:lineRule="exact"/>
              <w:ind w:left="227"/>
              <w:rPr>
                <w:sz w:val="24"/>
              </w:rPr>
            </w:pPr>
            <w:r>
              <w:rPr>
                <w:sz w:val="24"/>
              </w:rPr>
              <w:t>0,85</w:t>
            </w:r>
            <w:r>
              <w:rPr>
                <w:sz w:val="24"/>
                <w:u w:val="single"/>
              </w:rPr>
              <w:t>+</w:t>
            </w:r>
          </w:p>
          <w:p>
            <w:pPr>
              <w:pStyle w:val="TableParagraph"/>
              <w:spacing w:line="275" w:lineRule="exact"/>
              <w:ind w:left="237"/>
              <w:rPr>
                <w:sz w:val="24"/>
              </w:rPr>
            </w:pPr>
            <w:r>
              <w:rPr>
                <w:sz w:val="24"/>
              </w:rPr>
              <w:t>0,136</w:t>
            </w:r>
          </w:p>
        </w:tc>
        <w:tc>
          <w:tcPr>
            <w:tcW w:w="1279" w:type="dxa"/>
          </w:tcPr>
          <w:p>
            <w:pPr>
              <w:pStyle w:val="TableParagraph"/>
              <w:spacing w:line="271" w:lineRule="exact"/>
              <w:ind w:left="311"/>
              <w:rPr>
                <w:sz w:val="24"/>
              </w:rPr>
            </w:pPr>
            <w:r>
              <w:rPr>
                <w:sz w:val="24"/>
              </w:rPr>
              <w:t>0,483</w:t>
            </w:r>
            <w:r>
              <w:rPr>
                <w:sz w:val="24"/>
                <w:u w:val="single"/>
              </w:rPr>
              <w:t>+</w:t>
            </w:r>
          </w:p>
          <w:p>
            <w:pPr>
              <w:pStyle w:val="TableParagraph"/>
              <w:spacing w:line="275" w:lineRule="exact"/>
              <w:ind w:left="383"/>
              <w:rPr>
                <w:sz w:val="24"/>
              </w:rPr>
            </w:pPr>
            <w:r>
              <w:rPr>
                <w:sz w:val="24"/>
              </w:rPr>
              <w:t>0,088</w:t>
            </w:r>
          </w:p>
        </w:tc>
        <w:tc>
          <w:tcPr>
            <w:tcW w:w="996" w:type="dxa"/>
          </w:tcPr>
          <w:p>
            <w:pPr>
              <w:pStyle w:val="TableParagraph"/>
              <w:spacing w:line="271" w:lineRule="exact"/>
              <w:ind w:left="161" w:right="124"/>
              <w:jc w:val="center"/>
              <w:rPr>
                <w:sz w:val="24"/>
              </w:rPr>
            </w:pPr>
            <w:r>
              <w:rPr>
                <w:sz w:val="24"/>
              </w:rPr>
              <w:t>1,17</w:t>
            </w:r>
            <w:r>
              <w:rPr>
                <w:sz w:val="24"/>
                <w:u w:val="single"/>
              </w:rPr>
              <w:t>+</w:t>
            </w:r>
          </w:p>
          <w:p>
            <w:pPr>
              <w:pStyle w:val="TableParagraph"/>
              <w:spacing w:line="275" w:lineRule="exact"/>
              <w:ind w:left="161" w:right="125"/>
              <w:jc w:val="center"/>
              <w:rPr>
                <w:sz w:val="24"/>
              </w:rPr>
            </w:pPr>
            <w:r>
              <w:rPr>
                <w:sz w:val="24"/>
              </w:rPr>
              <w:t>0,111*</w:t>
            </w:r>
          </w:p>
          <w:p>
            <w:pPr>
              <w:pStyle w:val="TableParagraph"/>
              <w:spacing w:line="261" w:lineRule="exact" w:before="3"/>
              <w:ind w:right="4"/>
              <w:jc w:val="center"/>
              <w:rPr>
                <w:sz w:val="24"/>
              </w:rPr>
            </w:pPr>
            <w:r>
              <w:rPr>
                <w:sz w:val="24"/>
              </w:rPr>
              <w:t>*</w:t>
            </w:r>
          </w:p>
        </w:tc>
      </w:tr>
      <w:tr>
        <w:trPr>
          <w:trHeight w:val="551" w:hRule="atLeast"/>
        </w:trPr>
        <w:tc>
          <w:tcPr>
            <w:tcW w:w="2031" w:type="dxa"/>
            <w:vMerge w:val="restart"/>
          </w:tcPr>
          <w:p>
            <w:pPr>
              <w:pStyle w:val="TableParagraph"/>
              <w:ind w:left="170" w:right="128"/>
              <w:jc w:val="center"/>
              <w:rPr>
                <w:sz w:val="24"/>
              </w:rPr>
            </w:pPr>
            <w:r>
              <w:rPr>
                <w:sz w:val="24"/>
              </w:rPr>
              <w:t>Відновлений глутатіон, мкмоль/л</w:t>
            </w:r>
          </w:p>
        </w:tc>
        <w:tc>
          <w:tcPr>
            <w:tcW w:w="807" w:type="dxa"/>
          </w:tcPr>
          <w:p>
            <w:pPr>
              <w:pStyle w:val="TableParagraph"/>
              <w:spacing w:line="268" w:lineRule="exact"/>
              <w:ind w:right="319"/>
              <w:jc w:val="right"/>
              <w:rPr>
                <w:sz w:val="24"/>
              </w:rPr>
            </w:pPr>
            <w:r>
              <w:rPr>
                <w:sz w:val="24"/>
              </w:rPr>
              <w:t>1</w:t>
            </w:r>
          </w:p>
        </w:tc>
        <w:tc>
          <w:tcPr>
            <w:tcW w:w="1417" w:type="dxa"/>
          </w:tcPr>
          <w:p>
            <w:pPr>
              <w:pStyle w:val="TableParagraph"/>
              <w:spacing w:line="268" w:lineRule="exact"/>
              <w:ind w:left="436"/>
              <w:rPr>
                <w:sz w:val="24"/>
              </w:rPr>
            </w:pPr>
            <w:r>
              <w:rPr>
                <w:spacing w:val="-16"/>
                <w:sz w:val="24"/>
              </w:rPr>
              <w:t>0,483</w:t>
            </w:r>
            <w:r>
              <w:rPr>
                <w:spacing w:val="-16"/>
                <w:sz w:val="24"/>
                <w:u w:val="single"/>
              </w:rPr>
              <w:t>+</w:t>
            </w:r>
          </w:p>
          <w:p>
            <w:pPr>
              <w:pStyle w:val="TableParagraph"/>
              <w:spacing w:line="261" w:lineRule="exact" w:before="2"/>
              <w:ind w:left="455"/>
              <w:rPr>
                <w:sz w:val="24"/>
              </w:rPr>
            </w:pPr>
            <w:r>
              <w:rPr>
                <w:sz w:val="24"/>
              </w:rPr>
              <w:t>0,089</w:t>
            </w:r>
          </w:p>
        </w:tc>
        <w:tc>
          <w:tcPr>
            <w:tcW w:w="995" w:type="dxa"/>
            <w:gridSpan w:val="2"/>
          </w:tcPr>
          <w:p>
            <w:pPr>
              <w:pStyle w:val="TableParagraph"/>
              <w:spacing w:line="268" w:lineRule="exact"/>
              <w:ind w:left="176"/>
              <w:rPr>
                <w:sz w:val="24"/>
              </w:rPr>
            </w:pPr>
            <w:r>
              <w:rPr>
                <w:sz w:val="24"/>
              </w:rPr>
              <w:t>0,281</w:t>
            </w:r>
            <w:r>
              <w:rPr>
                <w:sz w:val="24"/>
                <w:u w:val="single"/>
              </w:rPr>
              <w:t>+</w:t>
            </w:r>
          </w:p>
          <w:p>
            <w:pPr>
              <w:pStyle w:val="TableParagraph"/>
              <w:spacing w:line="261" w:lineRule="exact" w:before="2"/>
              <w:ind w:left="243"/>
              <w:rPr>
                <w:sz w:val="24"/>
              </w:rPr>
            </w:pPr>
            <w:r>
              <w:rPr>
                <w:sz w:val="24"/>
              </w:rPr>
              <w:t>0,035</w:t>
            </w:r>
          </w:p>
        </w:tc>
        <w:tc>
          <w:tcPr>
            <w:tcW w:w="1278" w:type="dxa"/>
          </w:tcPr>
          <w:p>
            <w:pPr>
              <w:pStyle w:val="TableParagraph"/>
              <w:spacing w:line="268" w:lineRule="exact"/>
              <w:ind w:left="310"/>
              <w:rPr>
                <w:sz w:val="24"/>
              </w:rPr>
            </w:pPr>
            <w:r>
              <w:rPr>
                <w:sz w:val="24"/>
              </w:rPr>
              <w:t>0,522</w:t>
            </w:r>
            <w:r>
              <w:rPr>
                <w:sz w:val="24"/>
                <w:u w:val="single"/>
              </w:rPr>
              <w:t>+</w:t>
            </w:r>
          </w:p>
          <w:p>
            <w:pPr>
              <w:pStyle w:val="TableParagraph"/>
              <w:spacing w:line="261" w:lineRule="exact" w:before="2"/>
              <w:ind w:left="382"/>
              <w:rPr>
                <w:sz w:val="24"/>
              </w:rPr>
            </w:pPr>
            <w:r>
              <w:rPr>
                <w:sz w:val="24"/>
              </w:rPr>
              <w:t>0,090</w:t>
            </w:r>
          </w:p>
        </w:tc>
        <w:tc>
          <w:tcPr>
            <w:tcW w:w="992" w:type="dxa"/>
            <w:gridSpan w:val="2"/>
          </w:tcPr>
          <w:p>
            <w:pPr>
              <w:pStyle w:val="TableParagraph"/>
              <w:spacing w:line="268" w:lineRule="exact"/>
              <w:ind w:left="170"/>
              <w:rPr>
                <w:sz w:val="24"/>
              </w:rPr>
            </w:pPr>
            <w:r>
              <w:rPr>
                <w:sz w:val="24"/>
              </w:rPr>
              <w:t>0,375</w:t>
            </w:r>
            <w:r>
              <w:rPr>
                <w:sz w:val="24"/>
                <w:u w:val="single"/>
              </w:rPr>
              <w:t>+</w:t>
            </w:r>
          </w:p>
          <w:p>
            <w:pPr>
              <w:pStyle w:val="TableParagraph"/>
              <w:spacing w:line="261" w:lineRule="exact" w:before="2"/>
              <w:ind w:left="237"/>
              <w:rPr>
                <w:sz w:val="24"/>
              </w:rPr>
            </w:pPr>
            <w:r>
              <w:rPr>
                <w:sz w:val="24"/>
              </w:rPr>
              <w:t>0,071</w:t>
            </w:r>
          </w:p>
        </w:tc>
        <w:tc>
          <w:tcPr>
            <w:tcW w:w="1279" w:type="dxa"/>
          </w:tcPr>
          <w:p>
            <w:pPr>
              <w:pStyle w:val="TableParagraph"/>
              <w:spacing w:line="268" w:lineRule="exact"/>
              <w:ind w:left="364"/>
              <w:rPr>
                <w:sz w:val="24"/>
              </w:rPr>
            </w:pPr>
            <w:r>
              <w:rPr>
                <w:spacing w:val="-17"/>
                <w:sz w:val="24"/>
              </w:rPr>
              <w:t>0,419</w:t>
            </w:r>
            <w:r>
              <w:rPr>
                <w:spacing w:val="-17"/>
                <w:sz w:val="24"/>
                <w:u w:val="single"/>
              </w:rPr>
              <w:t>+</w:t>
            </w:r>
          </w:p>
          <w:p>
            <w:pPr>
              <w:pStyle w:val="TableParagraph"/>
              <w:spacing w:line="261" w:lineRule="exact" w:before="2"/>
              <w:ind w:left="383"/>
              <w:rPr>
                <w:sz w:val="24"/>
              </w:rPr>
            </w:pPr>
            <w:r>
              <w:rPr>
                <w:sz w:val="24"/>
              </w:rPr>
              <w:t>0,068</w:t>
            </w:r>
          </w:p>
        </w:tc>
        <w:tc>
          <w:tcPr>
            <w:tcW w:w="996" w:type="dxa"/>
          </w:tcPr>
          <w:p>
            <w:pPr>
              <w:pStyle w:val="TableParagraph"/>
              <w:spacing w:line="268" w:lineRule="exact"/>
              <w:ind w:left="218"/>
              <w:rPr>
                <w:sz w:val="24"/>
              </w:rPr>
            </w:pPr>
            <w:r>
              <w:rPr>
                <w:spacing w:val="-17"/>
                <w:sz w:val="24"/>
              </w:rPr>
              <w:t>0,345</w:t>
            </w:r>
            <w:r>
              <w:rPr>
                <w:spacing w:val="-17"/>
                <w:sz w:val="24"/>
                <w:u w:val="single"/>
              </w:rPr>
              <w:t>+</w:t>
            </w:r>
          </w:p>
          <w:p>
            <w:pPr>
              <w:pStyle w:val="TableParagraph"/>
              <w:spacing w:line="261" w:lineRule="exact" w:before="2"/>
              <w:ind w:left="237"/>
              <w:rPr>
                <w:sz w:val="24"/>
              </w:rPr>
            </w:pPr>
            <w:r>
              <w:rPr>
                <w:sz w:val="24"/>
              </w:rPr>
              <w:t>0,058</w:t>
            </w:r>
          </w:p>
        </w:tc>
      </w:tr>
      <w:tr>
        <w:trPr>
          <w:trHeight w:val="561" w:hRule="atLeast"/>
        </w:trPr>
        <w:tc>
          <w:tcPr>
            <w:tcW w:w="2031" w:type="dxa"/>
            <w:vMerge/>
            <w:tcBorders>
              <w:top w:val="nil"/>
            </w:tcBorders>
          </w:tcPr>
          <w:p>
            <w:pPr>
              <w:rPr>
                <w:sz w:val="2"/>
                <w:szCs w:val="2"/>
              </w:rPr>
            </w:pPr>
          </w:p>
        </w:tc>
        <w:tc>
          <w:tcPr>
            <w:tcW w:w="807" w:type="dxa"/>
          </w:tcPr>
          <w:p>
            <w:pPr>
              <w:pStyle w:val="TableParagraph"/>
              <w:spacing w:before="1"/>
              <w:ind w:right="319"/>
              <w:jc w:val="right"/>
              <w:rPr>
                <w:sz w:val="24"/>
              </w:rPr>
            </w:pPr>
            <w:r>
              <w:rPr>
                <w:sz w:val="24"/>
              </w:rPr>
              <w:t>2</w:t>
            </w:r>
          </w:p>
        </w:tc>
        <w:tc>
          <w:tcPr>
            <w:tcW w:w="1417" w:type="dxa"/>
          </w:tcPr>
          <w:p>
            <w:pPr>
              <w:pStyle w:val="TableParagraph"/>
              <w:spacing w:line="275" w:lineRule="exact" w:before="1"/>
              <w:ind w:left="445"/>
              <w:rPr>
                <w:sz w:val="24"/>
              </w:rPr>
            </w:pPr>
            <w:r>
              <w:rPr>
                <w:sz w:val="24"/>
              </w:rPr>
              <w:t>0,45</w:t>
            </w:r>
            <w:r>
              <w:rPr>
                <w:sz w:val="24"/>
                <w:u w:val="single"/>
              </w:rPr>
              <w:t>+</w:t>
            </w:r>
          </w:p>
          <w:p>
            <w:pPr>
              <w:pStyle w:val="TableParagraph"/>
              <w:spacing w:line="265" w:lineRule="exact"/>
              <w:ind w:left="455"/>
              <w:rPr>
                <w:sz w:val="24"/>
              </w:rPr>
            </w:pPr>
            <w:r>
              <w:rPr>
                <w:sz w:val="24"/>
              </w:rPr>
              <w:t>0,072</w:t>
            </w:r>
          </w:p>
        </w:tc>
        <w:tc>
          <w:tcPr>
            <w:tcW w:w="995" w:type="dxa"/>
            <w:gridSpan w:val="2"/>
          </w:tcPr>
          <w:p>
            <w:pPr>
              <w:pStyle w:val="TableParagraph"/>
              <w:spacing w:line="275" w:lineRule="exact" w:before="1"/>
              <w:ind w:left="176"/>
              <w:rPr>
                <w:sz w:val="24"/>
              </w:rPr>
            </w:pPr>
            <w:r>
              <w:rPr>
                <w:sz w:val="24"/>
              </w:rPr>
              <w:t>0,397</w:t>
            </w:r>
            <w:r>
              <w:rPr>
                <w:sz w:val="24"/>
                <w:u w:val="single"/>
              </w:rPr>
              <w:t>+</w:t>
            </w:r>
          </w:p>
          <w:p>
            <w:pPr>
              <w:pStyle w:val="TableParagraph"/>
              <w:spacing w:line="265" w:lineRule="exact"/>
              <w:ind w:left="243"/>
              <w:rPr>
                <w:sz w:val="24"/>
              </w:rPr>
            </w:pPr>
            <w:r>
              <w:rPr>
                <w:sz w:val="24"/>
              </w:rPr>
              <w:t>0,061</w:t>
            </w:r>
          </w:p>
        </w:tc>
        <w:tc>
          <w:tcPr>
            <w:tcW w:w="1278" w:type="dxa"/>
          </w:tcPr>
          <w:p>
            <w:pPr>
              <w:pStyle w:val="TableParagraph"/>
              <w:spacing w:line="275" w:lineRule="exact" w:before="1"/>
              <w:ind w:left="372"/>
              <w:rPr>
                <w:sz w:val="24"/>
              </w:rPr>
            </w:pPr>
            <w:r>
              <w:rPr>
                <w:sz w:val="24"/>
              </w:rPr>
              <w:t>0,43</w:t>
            </w:r>
            <w:r>
              <w:rPr>
                <w:sz w:val="24"/>
                <w:u w:val="single"/>
              </w:rPr>
              <w:t>+</w:t>
            </w:r>
          </w:p>
          <w:p>
            <w:pPr>
              <w:pStyle w:val="TableParagraph"/>
              <w:spacing w:line="265" w:lineRule="exact"/>
              <w:ind w:left="382"/>
              <w:rPr>
                <w:sz w:val="24"/>
              </w:rPr>
            </w:pPr>
            <w:r>
              <w:rPr>
                <w:sz w:val="24"/>
              </w:rPr>
              <w:t>0,053</w:t>
            </w:r>
          </w:p>
        </w:tc>
        <w:tc>
          <w:tcPr>
            <w:tcW w:w="992" w:type="dxa"/>
            <w:gridSpan w:val="2"/>
          </w:tcPr>
          <w:p>
            <w:pPr>
              <w:pStyle w:val="TableParagraph"/>
              <w:spacing w:line="275" w:lineRule="exact" w:before="1"/>
              <w:ind w:left="170"/>
              <w:rPr>
                <w:sz w:val="24"/>
              </w:rPr>
            </w:pPr>
            <w:r>
              <w:rPr>
                <w:sz w:val="24"/>
              </w:rPr>
              <w:t>0,365</w:t>
            </w:r>
            <w:r>
              <w:rPr>
                <w:sz w:val="24"/>
                <w:u w:val="single"/>
              </w:rPr>
              <w:t>+</w:t>
            </w:r>
          </w:p>
          <w:p>
            <w:pPr>
              <w:pStyle w:val="TableParagraph"/>
              <w:spacing w:line="265" w:lineRule="exact"/>
              <w:ind w:left="237"/>
              <w:rPr>
                <w:sz w:val="24"/>
              </w:rPr>
            </w:pPr>
            <w:r>
              <w:rPr>
                <w:sz w:val="24"/>
              </w:rPr>
              <w:t>0,063</w:t>
            </w:r>
          </w:p>
        </w:tc>
        <w:tc>
          <w:tcPr>
            <w:tcW w:w="1279" w:type="dxa"/>
          </w:tcPr>
          <w:p>
            <w:pPr>
              <w:pStyle w:val="TableParagraph"/>
              <w:spacing w:line="275" w:lineRule="exact" w:before="1"/>
              <w:ind w:left="364"/>
              <w:rPr>
                <w:sz w:val="24"/>
              </w:rPr>
            </w:pPr>
            <w:r>
              <w:rPr>
                <w:spacing w:val="-17"/>
                <w:sz w:val="24"/>
              </w:rPr>
              <w:t>0,655</w:t>
            </w:r>
            <w:r>
              <w:rPr>
                <w:spacing w:val="-17"/>
                <w:sz w:val="24"/>
                <w:u w:val="single"/>
              </w:rPr>
              <w:t>+</w:t>
            </w:r>
          </w:p>
          <w:p>
            <w:pPr>
              <w:pStyle w:val="TableParagraph"/>
              <w:spacing w:line="265" w:lineRule="exact"/>
              <w:ind w:left="383"/>
              <w:rPr>
                <w:sz w:val="24"/>
              </w:rPr>
            </w:pPr>
            <w:r>
              <w:rPr>
                <w:sz w:val="24"/>
              </w:rPr>
              <w:t>0,108</w:t>
            </w:r>
          </w:p>
        </w:tc>
        <w:tc>
          <w:tcPr>
            <w:tcW w:w="996" w:type="dxa"/>
          </w:tcPr>
          <w:p>
            <w:pPr>
              <w:pStyle w:val="TableParagraph"/>
              <w:spacing w:line="275" w:lineRule="exact" w:before="1"/>
              <w:ind w:left="218"/>
              <w:rPr>
                <w:sz w:val="24"/>
              </w:rPr>
            </w:pPr>
            <w:r>
              <w:rPr>
                <w:spacing w:val="-17"/>
                <w:sz w:val="24"/>
              </w:rPr>
              <w:t>0,525</w:t>
            </w:r>
            <w:r>
              <w:rPr>
                <w:spacing w:val="-17"/>
                <w:sz w:val="24"/>
                <w:u w:val="single"/>
              </w:rPr>
              <w:t>+</w:t>
            </w:r>
          </w:p>
          <w:p>
            <w:pPr>
              <w:pStyle w:val="TableParagraph"/>
              <w:spacing w:line="265" w:lineRule="exact"/>
              <w:ind w:left="237"/>
              <w:rPr>
                <w:sz w:val="24"/>
              </w:rPr>
            </w:pPr>
            <w:r>
              <w:rPr>
                <w:sz w:val="24"/>
              </w:rPr>
              <w:t>0,090</w:t>
            </w:r>
          </w:p>
        </w:tc>
      </w:tr>
      <w:tr>
        <w:trPr>
          <w:trHeight w:val="551" w:hRule="atLeast"/>
        </w:trPr>
        <w:tc>
          <w:tcPr>
            <w:tcW w:w="2031" w:type="dxa"/>
            <w:vMerge w:val="restart"/>
          </w:tcPr>
          <w:p>
            <w:pPr>
              <w:pStyle w:val="TableParagraph"/>
              <w:ind w:left="556" w:right="324" w:hanging="173"/>
              <w:rPr>
                <w:sz w:val="24"/>
              </w:rPr>
            </w:pPr>
            <w:r>
              <w:rPr>
                <w:sz w:val="24"/>
              </w:rPr>
              <w:t>Аскорбінова кислота, мкмоль/л</w:t>
            </w:r>
          </w:p>
        </w:tc>
        <w:tc>
          <w:tcPr>
            <w:tcW w:w="807" w:type="dxa"/>
          </w:tcPr>
          <w:p>
            <w:pPr>
              <w:pStyle w:val="TableParagraph"/>
              <w:spacing w:line="268" w:lineRule="exact"/>
              <w:ind w:right="319"/>
              <w:jc w:val="right"/>
              <w:rPr>
                <w:sz w:val="24"/>
              </w:rPr>
            </w:pPr>
            <w:r>
              <w:rPr>
                <w:sz w:val="24"/>
              </w:rPr>
              <w:t>1</w:t>
            </w:r>
          </w:p>
        </w:tc>
        <w:tc>
          <w:tcPr>
            <w:tcW w:w="1417" w:type="dxa"/>
          </w:tcPr>
          <w:p>
            <w:pPr>
              <w:pStyle w:val="TableParagraph"/>
              <w:spacing w:line="267" w:lineRule="exact"/>
              <w:ind w:left="388"/>
              <w:rPr>
                <w:sz w:val="24"/>
              </w:rPr>
            </w:pPr>
            <w:r>
              <w:rPr>
                <w:sz w:val="24"/>
              </w:rPr>
              <w:t>23,14</w:t>
            </w:r>
            <w:r>
              <w:rPr>
                <w:sz w:val="24"/>
                <w:u w:val="single"/>
              </w:rPr>
              <w:t>+</w:t>
            </w:r>
          </w:p>
          <w:p>
            <w:pPr>
              <w:pStyle w:val="TableParagraph"/>
              <w:spacing w:line="265" w:lineRule="exact"/>
              <w:ind w:left="455"/>
              <w:rPr>
                <w:sz w:val="24"/>
              </w:rPr>
            </w:pPr>
            <w:r>
              <w:rPr>
                <w:sz w:val="24"/>
              </w:rPr>
              <w:t>3,320</w:t>
            </w:r>
          </w:p>
        </w:tc>
        <w:tc>
          <w:tcPr>
            <w:tcW w:w="995" w:type="dxa"/>
            <w:gridSpan w:val="2"/>
          </w:tcPr>
          <w:p>
            <w:pPr>
              <w:pStyle w:val="TableParagraph"/>
              <w:spacing w:line="267" w:lineRule="exact"/>
              <w:ind w:left="176"/>
              <w:rPr>
                <w:sz w:val="24"/>
              </w:rPr>
            </w:pPr>
            <w:r>
              <w:rPr>
                <w:sz w:val="24"/>
              </w:rPr>
              <w:t>21,95</w:t>
            </w:r>
            <w:r>
              <w:rPr>
                <w:sz w:val="24"/>
                <w:u w:val="single"/>
              </w:rPr>
              <w:t>+</w:t>
            </w:r>
          </w:p>
          <w:p>
            <w:pPr>
              <w:pStyle w:val="TableParagraph"/>
              <w:spacing w:line="265" w:lineRule="exact"/>
              <w:ind w:left="243"/>
              <w:rPr>
                <w:sz w:val="24"/>
              </w:rPr>
            </w:pPr>
            <w:r>
              <w:rPr>
                <w:sz w:val="24"/>
              </w:rPr>
              <w:t>4,055</w:t>
            </w:r>
          </w:p>
        </w:tc>
        <w:tc>
          <w:tcPr>
            <w:tcW w:w="1278" w:type="dxa"/>
          </w:tcPr>
          <w:p>
            <w:pPr>
              <w:pStyle w:val="TableParagraph"/>
              <w:spacing w:line="267" w:lineRule="exact"/>
              <w:ind w:left="310"/>
              <w:rPr>
                <w:sz w:val="24"/>
              </w:rPr>
            </w:pPr>
            <w:r>
              <w:rPr>
                <w:sz w:val="24"/>
              </w:rPr>
              <w:t>17,05</w:t>
            </w:r>
            <w:r>
              <w:rPr>
                <w:sz w:val="24"/>
                <w:u w:val="single"/>
              </w:rPr>
              <w:t>+</w:t>
            </w:r>
          </w:p>
          <w:p>
            <w:pPr>
              <w:pStyle w:val="TableParagraph"/>
              <w:spacing w:line="265" w:lineRule="exact"/>
              <w:ind w:left="382"/>
              <w:rPr>
                <w:sz w:val="24"/>
              </w:rPr>
            </w:pPr>
            <w:r>
              <w:rPr>
                <w:sz w:val="24"/>
              </w:rPr>
              <w:t>2,829</w:t>
            </w:r>
          </w:p>
        </w:tc>
        <w:tc>
          <w:tcPr>
            <w:tcW w:w="992" w:type="dxa"/>
            <w:gridSpan w:val="2"/>
          </w:tcPr>
          <w:p>
            <w:pPr>
              <w:pStyle w:val="TableParagraph"/>
              <w:spacing w:line="267" w:lineRule="exact"/>
              <w:ind w:left="170"/>
              <w:rPr>
                <w:sz w:val="24"/>
              </w:rPr>
            </w:pPr>
            <w:r>
              <w:rPr>
                <w:sz w:val="24"/>
              </w:rPr>
              <w:t>12,91</w:t>
            </w:r>
            <w:r>
              <w:rPr>
                <w:sz w:val="24"/>
                <w:u w:val="single"/>
              </w:rPr>
              <w:t>+</w:t>
            </w:r>
          </w:p>
          <w:p>
            <w:pPr>
              <w:pStyle w:val="TableParagraph"/>
              <w:spacing w:line="265" w:lineRule="exact"/>
              <w:ind w:left="237"/>
              <w:rPr>
                <w:sz w:val="24"/>
              </w:rPr>
            </w:pPr>
            <w:r>
              <w:rPr>
                <w:sz w:val="24"/>
              </w:rPr>
              <w:t>2,275</w:t>
            </w:r>
          </w:p>
        </w:tc>
        <w:tc>
          <w:tcPr>
            <w:tcW w:w="1279" w:type="dxa"/>
          </w:tcPr>
          <w:p>
            <w:pPr>
              <w:pStyle w:val="TableParagraph"/>
              <w:spacing w:line="267" w:lineRule="exact"/>
              <w:ind w:left="311"/>
              <w:rPr>
                <w:sz w:val="24"/>
              </w:rPr>
            </w:pPr>
            <w:r>
              <w:rPr>
                <w:sz w:val="24"/>
              </w:rPr>
              <w:t>11,04</w:t>
            </w:r>
            <w:r>
              <w:rPr>
                <w:sz w:val="24"/>
                <w:u w:val="single"/>
              </w:rPr>
              <w:t>+</w:t>
            </w:r>
          </w:p>
          <w:p>
            <w:pPr>
              <w:pStyle w:val="TableParagraph"/>
              <w:spacing w:line="265" w:lineRule="exact"/>
              <w:ind w:left="383"/>
              <w:rPr>
                <w:sz w:val="24"/>
              </w:rPr>
            </w:pPr>
            <w:r>
              <w:rPr>
                <w:sz w:val="24"/>
              </w:rPr>
              <w:t>2,106</w:t>
            </w:r>
          </w:p>
        </w:tc>
        <w:tc>
          <w:tcPr>
            <w:tcW w:w="996" w:type="dxa"/>
          </w:tcPr>
          <w:p>
            <w:pPr>
              <w:pStyle w:val="TableParagraph"/>
              <w:spacing w:line="267" w:lineRule="exact"/>
              <w:ind w:left="228"/>
              <w:rPr>
                <w:sz w:val="24"/>
              </w:rPr>
            </w:pPr>
            <w:r>
              <w:rPr>
                <w:sz w:val="24"/>
              </w:rPr>
              <w:t>9,34</w:t>
            </w:r>
            <w:r>
              <w:rPr>
                <w:sz w:val="24"/>
                <w:u w:val="single"/>
              </w:rPr>
              <w:t>+</w:t>
            </w:r>
          </w:p>
          <w:p>
            <w:pPr>
              <w:pStyle w:val="TableParagraph"/>
              <w:spacing w:line="265" w:lineRule="exact"/>
              <w:ind w:left="237"/>
              <w:rPr>
                <w:sz w:val="24"/>
              </w:rPr>
            </w:pPr>
            <w:r>
              <w:rPr>
                <w:sz w:val="24"/>
              </w:rPr>
              <w:t>20,08</w:t>
            </w:r>
          </w:p>
        </w:tc>
      </w:tr>
      <w:tr>
        <w:trPr>
          <w:trHeight w:val="556" w:hRule="atLeast"/>
        </w:trPr>
        <w:tc>
          <w:tcPr>
            <w:tcW w:w="2031" w:type="dxa"/>
            <w:vMerge/>
            <w:tcBorders>
              <w:top w:val="nil"/>
            </w:tcBorders>
          </w:tcPr>
          <w:p>
            <w:pPr>
              <w:rPr>
                <w:sz w:val="2"/>
                <w:szCs w:val="2"/>
              </w:rPr>
            </w:pPr>
          </w:p>
        </w:tc>
        <w:tc>
          <w:tcPr>
            <w:tcW w:w="807" w:type="dxa"/>
          </w:tcPr>
          <w:p>
            <w:pPr>
              <w:pStyle w:val="TableParagraph"/>
              <w:spacing w:line="273" w:lineRule="exact"/>
              <w:ind w:right="319"/>
              <w:jc w:val="right"/>
              <w:rPr>
                <w:sz w:val="24"/>
              </w:rPr>
            </w:pPr>
            <w:r>
              <w:rPr>
                <w:sz w:val="24"/>
              </w:rPr>
              <w:t>2</w:t>
            </w:r>
          </w:p>
        </w:tc>
        <w:tc>
          <w:tcPr>
            <w:tcW w:w="1417" w:type="dxa"/>
          </w:tcPr>
          <w:p>
            <w:pPr>
              <w:pStyle w:val="TableParagraph"/>
              <w:spacing w:line="271" w:lineRule="exact"/>
              <w:ind w:left="388"/>
              <w:rPr>
                <w:sz w:val="24"/>
              </w:rPr>
            </w:pPr>
            <w:r>
              <w:rPr>
                <w:sz w:val="24"/>
              </w:rPr>
              <w:t>20,57</w:t>
            </w:r>
            <w:r>
              <w:rPr>
                <w:sz w:val="24"/>
                <w:u w:val="single"/>
              </w:rPr>
              <w:t>+</w:t>
            </w:r>
          </w:p>
          <w:p>
            <w:pPr>
              <w:pStyle w:val="TableParagraph"/>
              <w:spacing w:line="265" w:lineRule="exact"/>
              <w:ind w:left="455"/>
              <w:rPr>
                <w:sz w:val="24"/>
              </w:rPr>
            </w:pPr>
            <w:r>
              <w:rPr>
                <w:sz w:val="24"/>
              </w:rPr>
              <w:t>3,216</w:t>
            </w:r>
          </w:p>
        </w:tc>
        <w:tc>
          <w:tcPr>
            <w:tcW w:w="995" w:type="dxa"/>
            <w:gridSpan w:val="2"/>
          </w:tcPr>
          <w:p>
            <w:pPr>
              <w:pStyle w:val="TableParagraph"/>
              <w:spacing w:line="271" w:lineRule="exact"/>
              <w:ind w:left="176"/>
              <w:rPr>
                <w:sz w:val="24"/>
              </w:rPr>
            </w:pPr>
            <w:r>
              <w:rPr>
                <w:sz w:val="24"/>
              </w:rPr>
              <w:t>22,48</w:t>
            </w:r>
            <w:r>
              <w:rPr>
                <w:sz w:val="24"/>
                <w:u w:val="single"/>
              </w:rPr>
              <w:t>+</w:t>
            </w:r>
          </w:p>
          <w:p>
            <w:pPr>
              <w:pStyle w:val="TableParagraph"/>
              <w:spacing w:line="265" w:lineRule="exact"/>
              <w:ind w:left="243"/>
              <w:rPr>
                <w:sz w:val="24"/>
              </w:rPr>
            </w:pPr>
            <w:r>
              <w:rPr>
                <w:sz w:val="24"/>
              </w:rPr>
              <w:t>1,371</w:t>
            </w:r>
          </w:p>
        </w:tc>
        <w:tc>
          <w:tcPr>
            <w:tcW w:w="1278" w:type="dxa"/>
          </w:tcPr>
          <w:p>
            <w:pPr>
              <w:pStyle w:val="TableParagraph"/>
              <w:spacing w:line="271" w:lineRule="exact"/>
              <w:ind w:left="310"/>
              <w:rPr>
                <w:sz w:val="24"/>
              </w:rPr>
            </w:pPr>
            <w:r>
              <w:rPr>
                <w:sz w:val="24"/>
              </w:rPr>
              <w:t>24,93</w:t>
            </w:r>
            <w:r>
              <w:rPr>
                <w:sz w:val="24"/>
                <w:u w:val="single"/>
              </w:rPr>
              <w:t>+</w:t>
            </w:r>
          </w:p>
          <w:p>
            <w:pPr>
              <w:pStyle w:val="TableParagraph"/>
              <w:spacing w:line="265" w:lineRule="exact"/>
              <w:ind w:left="382"/>
              <w:rPr>
                <w:sz w:val="24"/>
              </w:rPr>
            </w:pPr>
            <w:r>
              <w:rPr>
                <w:sz w:val="24"/>
              </w:rPr>
              <w:t>2,967</w:t>
            </w:r>
          </w:p>
        </w:tc>
        <w:tc>
          <w:tcPr>
            <w:tcW w:w="992" w:type="dxa"/>
            <w:gridSpan w:val="2"/>
          </w:tcPr>
          <w:p>
            <w:pPr>
              <w:pStyle w:val="TableParagraph"/>
              <w:spacing w:line="271" w:lineRule="exact"/>
              <w:ind w:left="170"/>
              <w:rPr>
                <w:sz w:val="24"/>
              </w:rPr>
            </w:pPr>
            <w:r>
              <w:rPr>
                <w:sz w:val="24"/>
              </w:rPr>
              <w:t>19,33</w:t>
            </w:r>
            <w:r>
              <w:rPr>
                <w:sz w:val="24"/>
                <w:u w:val="single"/>
              </w:rPr>
              <w:t>+</w:t>
            </w:r>
          </w:p>
          <w:p>
            <w:pPr>
              <w:pStyle w:val="TableParagraph"/>
              <w:spacing w:line="265" w:lineRule="exact"/>
              <w:ind w:left="237"/>
              <w:rPr>
                <w:sz w:val="24"/>
              </w:rPr>
            </w:pPr>
            <w:r>
              <w:rPr>
                <w:sz w:val="24"/>
              </w:rPr>
              <w:t>2,123</w:t>
            </w:r>
          </w:p>
        </w:tc>
        <w:tc>
          <w:tcPr>
            <w:tcW w:w="1279" w:type="dxa"/>
          </w:tcPr>
          <w:p>
            <w:pPr>
              <w:pStyle w:val="TableParagraph"/>
              <w:spacing w:line="271" w:lineRule="exact"/>
              <w:ind w:left="311"/>
              <w:rPr>
                <w:sz w:val="24"/>
              </w:rPr>
            </w:pPr>
            <w:r>
              <w:rPr>
                <w:sz w:val="24"/>
              </w:rPr>
              <w:t>27,09</w:t>
            </w:r>
            <w:r>
              <w:rPr>
                <w:sz w:val="24"/>
                <w:u w:val="single"/>
              </w:rPr>
              <w:t>+</w:t>
            </w:r>
          </w:p>
          <w:p>
            <w:pPr>
              <w:pStyle w:val="TableParagraph"/>
              <w:spacing w:line="265" w:lineRule="exact"/>
              <w:ind w:left="383"/>
              <w:rPr>
                <w:sz w:val="24"/>
              </w:rPr>
            </w:pPr>
            <w:r>
              <w:rPr>
                <w:sz w:val="24"/>
              </w:rPr>
              <w:t>3,432</w:t>
            </w:r>
          </w:p>
        </w:tc>
        <w:tc>
          <w:tcPr>
            <w:tcW w:w="996" w:type="dxa"/>
          </w:tcPr>
          <w:p>
            <w:pPr>
              <w:pStyle w:val="TableParagraph"/>
              <w:spacing w:line="271" w:lineRule="exact"/>
              <w:ind w:left="170"/>
              <w:rPr>
                <w:sz w:val="24"/>
              </w:rPr>
            </w:pPr>
            <w:r>
              <w:rPr>
                <w:sz w:val="24"/>
              </w:rPr>
              <w:t>21,36</w:t>
            </w:r>
            <w:r>
              <w:rPr>
                <w:sz w:val="24"/>
                <w:u w:val="single"/>
              </w:rPr>
              <w:t>+</w:t>
            </w:r>
          </w:p>
          <w:p>
            <w:pPr>
              <w:pStyle w:val="TableParagraph"/>
              <w:spacing w:line="265" w:lineRule="exact"/>
              <w:ind w:left="237"/>
              <w:rPr>
                <w:sz w:val="24"/>
              </w:rPr>
            </w:pPr>
            <w:r>
              <w:rPr>
                <w:sz w:val="24"/>
              </w:rPr>
              <w:t>2,179</w:t>
            </w:r>
          </w:p>
        </w:tc>
      </w:tr>
      <w:tr>
        <w:trPr>
          <w:trHeight w:val="551" w:hRule="atLeast"/>
        </w:trPr>
        <w:tc>
          <w:tcPr>
            <w:tcW w:w="2031" w:type="dxa"/>
            <w:vMerge w:val="restart"/>
          </w:tcPr>
          <w:p>
            <w:pPr>
              <w:pStyle w:val="TableParagraph"/>
              <w:ind w:left="170" w:right="128"/>
              <w:jc w:val="center"/>
              <w:rPr>
                <w:sz w:val="24"/>
              </w:rPr>
            </w:pPr>
            <w:r>
              <w:rPr>
                <w:sz w:val="24"/>
              </w:rPr>
              <w:t>Дегідроаскорбін ова кислота, мкмоль/л</w:t>
            </w:r>
          </w:p>
        </w:tc>
        <w:tc>
          <w:tcPr>
            <w:tcW w:w="807" w:type="dxa"/>
          </w:tcPr>
          <w:p>
            <w:pPr>
              <w:pStyle w:val="TableParagraph"/>
              <w:spacing w:line="268" w:lineRule="exact"/>
              <w:ind w:right="319"/>
              <w:jc w:val="right"/>
              <w:rPr>
                <w:sz w:val="24"/>
              </w:rPr>
            </w:pPr>
            <w:r>
              <w:rPr>
                <w:sz w:val="24"/>
              </w:rPr>
              <w:t>1</w:t>
            </w:r>
          </w:p>
        </w:tc>
        <w:tc>
          <w:tcPr>
            <w:tcW w:w="1417" w:type="dxa"/>
          </w:tcPr>
          <w:p>
            <w:pPr>
              <w:pStyle w:val="TableParagraph"/>
              <w:spacing w:line="267" w:lineRule="exact"/>
              <w:ind w:left="436"/>
              <w:rPr>
                <w:sz w:val="24"/>
              </w:rPr>
            </w:pPr>
            <w:r>
              <w:rPr>
                <w:spacing w:val="-16"/>
                <w:sz w:val="24"/>
              </w:rPr>
              <w:t>18,44</w:t>
            </w:r>
            <w:r>
              <w:rPr>
                <w:spacing w:val="-16"/>
                <w:sz w:val="24"/>
                <w:u w:val="single"/>
              </w:rPr>
              <w:t>+</w:t>
            </w:r>
          </w:p>
          <w:p>
            <w:pPr>
              <w:pStyle w:val="TableParagraph"/>
              <w:spacing w:line="265" w:lineRule="exact"/>
              <w:ind w:left="455"/>
              <w:rPr>
                <w:sz w:val="24"/>
              </w:rPr>
            </w:pPr>
            <w:r>
              <w:rPr>
                <w:sz w:val="24"/>
              </w:rPr>
              <w:t>1,979</w:t>
            </w:r>
          </w:p>
        </w:tc>
        <w:tc>
          <w:tcPr>
            <w:tcW w:w="995" w:type="dxa"/>
            <w:gridSpan w:val="2"/>
          </w:tcPr>
          <w:p>
            <w:pPr>
              <w:pStyle w:val="TableParagraph"/>
              <w:spacing w:line="267" w:lineRule="exact"/>
              <w:ind w:left="224"/>
              <w:rPr>
                <w:sz w:val="24"/>
              </w:rPr>
            </w:pPr>
            <w:r>
              <w:rPr>
                <w:spacing w:val="-16"/>
                <w:sz w:val="24"/>
              </w:rPr>
              <w:t>23,65</w:t>
            </w:r>
            <w:r>
              <w:rPr>
                <w:spacing w:val="-16"/>
                <w:sz w:val="24"/>
                <w:u w:val="single"/>
              </w:rPr>
              <w:t>+</w:t>
            </w:r>
          </w:p>
          <w:p>
            <w:pPr>
              <w:pStyle w:val="TableParagraph"/>
              <w:spacing w:line="265" w:lineRule="exact"/>
              <w:ind w:left="243"/>
              <w:rPr>
                <w:sz w:val="24"/>
              </w:rPr>
            </w:pPr>
            <w:r>
              <w:rPr>
                <w:sz w:val="24"/>
              </w:rPr>
              <w:t>3,793</w:t>
            </w:r>
          </w:p>
        </w:tc>
        <w:tc>
          <w:tcPr>
            <w:tcW w:w="1278" w:type="dxa"/>
          </w:tcPr>
          <w:p>
            <w:pPr>
              <w:pStyle w:val="TableParagraph"/>
              <w:spacing w:line="267" w:lineRule="exact"/>
              <w:ind w:left="362"/>
              <w:rPr>
                <w:sz w:val="24"/>
              </w:rPr>
            </w:pPr>
            <w:r>
              <w:rPr>
                <w:spacing w:val="-16"/>
                <w:sz w:val="24"/>
              </w:rPr>
              <w:t>19,58</w:t>
            </w:r>
            <w:r>
              <w:rPr>
                <w:spacing w:val="-16"/>
                <w:sz w:val="24"/>
                <w:u w:val="single"/>
              </w:rPr>
              <w:t>+</w:t>
            </w:r>
          </w:p>
          <w:p>
            <w:pPr>
              <w:pStyle w:val="TableParagraph"/>
              <w:spacing w:line="265" w:lineRule="exact"/>
              <w:ind w:left="382"/>
              <w:rPr>
                <w:sz w:val="24"/>
              </w:rPr>
            </w:pPr>
            <w:r>
              <w:rPr>
                <w:sz w:val="24"/>
              </w:rPr>
              <w:t>2,248</w:t>
            </w:r>
          </w:p>
        </w:tc>
        <w:tc>
          <w:tcPr>
            <w:tcW w:w="992" w:type="dxa"/>
            <w:gridSpan w:val="2"/>
          </w:tcPr>
          <w:p>
            <w:pPr>
              <w:pStyle w:val="TableParagraph"/>
              <w:spacing w:line="267" w:lineRule="exact"/>
              <w:ind w:left="218"/>
              <w:rPr>
                <w:sz w:val="24"/>
              </w:rPr>
            </w:pPr>
            <w:r>
              <w:rPr>
                <w:spacing w:val="-16"/>
                <w:sz w:val="24"/>
              </w:rPr>
              <w:t>22,31</w:t>
            </w:r>
            <w:r>
              <w:rPr>
                <w:spacing w:val="-16"/>
                <w:sz w:val="24"/>
                <w:u w:val="single"/>
              </w:rPr>
              <w:t>+</w:t>
            </w:r>
          </w:p>
          <w:p>
            <w:pPr>
              <w:pStyle w:val="TableParagraph"/>
              <w:spacing w:line="265" w:lineRule="exact"/>
              <w:ind w:left="237"/>
              <w:rPr>
                <w:sz w:val="24"/>
              </w:rPr>
            </w:pPr>
            <w:r>
              <w:rPr>
                <w:sz w:val="24"/>
              </w:rPr>
              <w:t>2,929</w:t>
            </w:r>
          </w:p>
        </w:tc>
        <w:tc>
          <w:tcPr>
            <w:tcW w:w="1279" w:type="dxa"/>
          </w:tcPr>
          <w:p>
            <w:pPr>
              <w:pStyle w:val="TableParagraph"/>
              <w:spacing w:line="267" w:lineRule="exact"/>
              <w:ind w:left="364"/>
              <w:rPr>
                <w:sz w:val="24"/>
              </w:rPr>
            </w:pPr>
            <w:r>
              <w:rPr>
                <w:spacing w:val="-17"/>
                <w:sz w:val="24"/>
              </w:rPr>
              <w:t>10,49</w:t>
            </w:r>
            <w:r>
              <w:rPr>
                <w:spacing w:val="-17"/>
                <w:sz w:val="24"/>
                <w:u w:val="single"/>
              </w:rPr>
              <w:t>+</w:t>
            </w:r>
          </w:p>
          <w:p>
            <w:pPr>
              <w:pStyle w:val="TableParagraph"/>
              <w:spacing w:line="265" w:lineRule="exact"/>
              <w:ind w:left="383"/>
              <w:rPr>
                <w:sz w:val="24"/>
              </w:rPr>
            </w:pPr>
            <w:r>
              <w:rPr>
                <w:sz w:val="24"/>
              </w:rPr>
              <w:t>2,118</w:t>
            </w:r>
          </w:p>
        </w:tc>
        <w:tc>
          <w:tcPr>
            <w:tcW w:w="996" w:type="dxa"/>
          </w:tcPr>
          <w:p>
            <w:pPr>
              <w:pStyle w:val="TableParagraph"/>
              <w:spacing w:line="267" w:lineRule="exact"/>
              <w:ind w:left="218"/>
              <w:rPr>
                <w:sz w:val="24"/>
              </w:rPr>
            </w:pPr>
            <w:r>
              <w:rPr>
                <w:spacing w:val="-17"/>
                <w:sz w:val="24"/>
              </w:rPr>
              <w:t>13,96</w:t>
            </w:r>
            <w:r>
              <w:rPr>
                <w:spacing w:val="-17"/>
                <w:sz w:val="24"/>
                <w:u w:val="single"/>
              </w:rPr>
              <w:t>+</w:t>
            </w:r>
          </w:p>
          <w:p>
            <w:pPr>
              <w:pStyle w:val="TableParagraph"/>
              <w:spacing w:line="265" w:lineRule="exact"/>
              <w:ind w:left="237"/>
              <w:rPr>
                <w:sz w:val="24"/>
              </w:rPr>
            </w:pPr>
            <w:r>
              <w:rPr>
                <w:sz w:val="24"/>
              </w:rPr>
              <w:t>2,082</w:t>
            </w:r>
          </w:p>
        </w:tc>
      </w:tr>
      <w:tr>
        <w:trPr>
          <w:trHeight w:val="556" w:hRule="atLeast"/>
        </w:trPr>
        <w:tc>
          <w:tcPr>
            <w:tcW w:w="2031" w:type="dxa"/>
            <w:vMerge/>
            <w:tcBorders>
              <w:top w:val="nil"/>
            </w:tcBorders>
          </w:tcPr>
          <w:p>
            <w:pPr>
              <w:rPr>
                <w:sz w:val="2"/>
                <w:szCs w:val="2"/>
              </w:rPr>
            </w:pPr>
          </w:p>
        </w:tc>
        <w:tc>
          <w:tcPr>
            <w:tcW w:w="807" w:type="dxa"/>
          </w:tcPr>
          <w:p>
            <w:pPr>
              <w:pStyle w:val="TableParagraph"/>
              <w:spacing w:line="273" w:lineRule="exact"/>
              <w:ind w:right="319"/>
              <w:jc w:val="right"/>
              <w:rPr>
                <w:sz w:val="24"/>
              </w:rPr>
            </w:pPr>
            <w:r>
              <w:rPr>
                <w:sz w:val="24"/>
              </w:rPr>
              <w:t>2</w:t>
            </w:r>
          </w:p>
        </w:tc>
        <w:tc>
          <w:tcPr>
            <w:tcW w:w="1417" w:type="dxa"/>
          </w:tcPr>
          <w:p>
            <w:pPr>
              <w:pStyle w:val="TableParagraph"/>
              <w:spacing w:line="272" w:lineRule="exact"/>
              <w:ind w:left="388"/>
              <w:rPr>
                <w:sz w:val="24"/>
              </w:rPr>
            </w:pPr>
            <w:r>
              <w:rPr>
                <w:sz w:val="24"/>
              </w:rPr>
              <w:t>20,57</w:t>
            </w:r>
            <w:r>
              <w:rPr>
                <w:sz w:val="24"/>
                <w:u w:val="single"/>
              </w:rPr>
              <w:t>+</w:t>
            </w:r>
          </w:p>
          <w:p>
            <w:pPr>
              <w:pStyle w:val="TableParagraph"/>
              <w:spacing w:line="265" w:lineRule="exact"/>
              <w:ind w:left="455"/>
              <w:rPr>
                <w:sz w:val="24"/>
              </w:rPr>
            </w:pPr>
            <w:r>
              <w:rPr>
                <w:sz w:val="24"/>
              </w:rPr>
              <w:t>3,216</w:t>
            </w:r>
          </w:p>
        </w:tc>
        <w:tc>
          <w:tcPr>
            <w:tcW w:w="995" w:type="dxa"/>
            <w:gridSpan w:val="2"/>
          </w:tcPr>
          <w:p>
            <w:pPr>
              <w:pStyle w:val="TableParagraph"/>
              <w:spacing w:line="272" w:lineRule="exact"/>
              <w:ind w:left="224"/>
              <w:rPr>
                <w:sz w:val="24"/>
              </w:rPr>
            </w:pPr>
            <w:r>
              <w:rPr>
                <w:sz w:val="24"/>
              </w:rPr>
              <w:t>29,63</w:t>
            </w:r>
            <w:r>
              <w:rPr>
                <w:sz w:val="24"/>
                <w:u w:val="single"/>
              </w:rPr>
              <w:t>+</w:t>
            </w:r>
          </w:p>
          <w:p>
            <w:pPr>
              <w:pStyle w:val="TableParagraph"/>
              <w:spacing w:line="265" w:lineRule="exact"/>
              <w:ind w:left="186"/>
              <w:rPr>
                <w:sz w:val="24"/>
              </w:rPr>
            </w:pPr>
            <w:r>
              <w:rPr>
                <w:sz w:val="24"/>
              </w:rPr>
              <w:t>2,258*</w:t>
            </w:r>
          </w:p>
        </w:tc>
        <w:tc>
          <w:tcPr>
            <w:tcW w:w="1278" w:type="dxa"/>
          </w:tcPr>
          <w:p>
            <w:pPr>
              <w:pStyle w:val="TableParagraph"/>
              <w:spacing w:line="272" w:lineRule="exact"/>
              <w:ind w:left="310"/>
              <w:rPr>
                <w:sz w:val="24"/>
              </w:rPr>
            </w:pPr>
            <w:r>
              <w:rPr>
                <w:sz w:val="24"/>
              </w:rPr>
              <w:t>23,71</w:t>
            </w:r>
            <w:r>
              <w:rPr>
                <w:sz w:val="24"/>
                <w:u w:val="single"/>
              </w:rPr>
              <w:t>+</w:t>
            </w:r>
          </w:p>
          <w:p>
            <w:pPr>
              <w:pStyle w:val="TableParagraph"/>
              <w:spacing w:line="265" w:lineRule="exact"/>
              <w:ind w:left="382"/>
              <w:rPr>
                <w:sz w:val="24"/>
              </w:rPr>
            </w:pPr>
            <w:r>
              <w:rPr>
                <w:sz w:val="24"/>
              </w:rPr>
              <w:t>2,945</w:t>
            </w:r>
          </w:p>
        </w:tc>
        <w:tc>
          <w:tcPr>
            <w:tcW w:w="992" w:type="dxa"/>
            <w:gridSpan w:val="2"/>
          </w:tcPr>
          <w:p>
            <w:pPr>
              <w:pStyle w:val="TableParagraph"/>
              <w:spacing w:line="272" w:lineRule="exact"/>
              <w:ind w:left="218"/>
              <w:rPr>
                <w:sz w:val="24"/>
              </w:rPr>
            </w:pPr>
            <w:r>
              <w:rPr>
                <w:spacing w:val="-16"/>
                <w:sz w:val="24"/>
              </w:rPr>
              <w:t>32,39</w:t>
            </w:r>
            <w:r>
              <w:rPr>
                <w:spacing w:val="-16"/>
                <w:sz w:val="24"/>
                <w:u w:val="single"/>
              </w:rPr>
              <w:t>+</w:t>
            </w:r>
          </w:p>
          <w:p>
            <w:pPr>
              <w:pStyle w:val="TableParagraph"/>
              <w:spacing w:line="265" w:lineRule="exact"/>
              <w:ind w:left="237"/>
              <w:rPr>
                <w:sz w:val="24"/>
              </w:rPr>
            </w:pPr>
            <w:r>
              <w:rPr>
                <w:sz w:val="24"/>
              </w:rPr>
              <w:t>3,181</w:t>
            </w:r>
          </w:p>
        </w:tc>
        <w:tc>
          <w:tcPr>
            <w:tcW w:w="1279" w:type="dxa"/>
          </w:tcPr>
          <w:p>
            <w:pPr>
              <w:pStyle w:val="TableParagraph"/>
              <w:spacing w:line="272" w:lineRule="exact"/>
              <w:ind w:left="311"/>
              <w:rPr>
                <w:sz w:val="24"/>
              </w:rPr>
            </w:pPr>
            <w:r>
              <w:rPr>
                <w:sz w:val="24"/>
              </w:rPr>
              <w:t>20,84</w:t>
            </w:r>
            <w:r>
              <w:rPr>
                <w:sz w:val="24"/>
                <w:u w:val="single"/>
              </w:rPr>
              <w:t>+</w:t>
            </w:r>
          </w:p>
          <w:p>
            <w:pPr>
              <w:pStyle w:val="TableParagraph"/>
              <w:spacing w:line="265" w:lineRule="exact"/>
              <w:ind w:left="383"/>
              <w:rPr>
                <w:sz w:val="24"/>
              </w:rPr>
            </w:pPr>
            <w:r>
              <w:rPr>
                <w:sz w:val="24"/>
              </w:rPr>
              <w:t>2,553</w:t>
            </w:r>
          </w:p>
        </w:tc>
        <w:tc>
          <w:tcPr>
            <w:tcW w:w="996" w:type="dxa"/>
          </w:tcPr>
          <w:p>
            <w:pPr>
              <w:pStyle w:val="TableParagraph"/>
              <w:spacing w:line="272" w:lineRule="exact"/>
              <w:ind w:left="218"/>
              <w:rPr>
                <w:sz w:val="24"/>
              </w:rPr>
            </w:pPr>
            <w:r>
              <w:rPr>
                <w:spacing w:val="-17"/>
                <w:sz w:val="24"/>
              </w:rPr>
              <w:t>26,58</w:t>
            </w:r>
            <w:r>
              <w:rPr>
                <w:spacing w:val="-17"/>
                <w:sz w:val="24"/>
                <w:u w:val="single"/>
              </w:rPr>
              <w:t>+</w:t>
            </w:r>
          </w:p>
          <w:p>
            <w:pPr>
              <w:pStyle w:val="TableParagraph"/>
              <w:spacing w:line="265" w:lineRule="exact"/>
              <w:ind w:left="237"/>
              <w:rPr>
                <w:sz w:val="24"/>
              </w:rPr>
            </w:pPr>
            <w:r>
              <w:rPr>
                <w:sz w:val="24"/>
              </w:rPr>
              <w:t>3,077</w:t>
            </w:r>
          </w:p>
        </w:tc>
      </w:tr>
      <w:tr>
        <w:trPr>
          <w:trHeight w:val="551" w:hRule="atLeast"/>
        </w:trPr>
        <w:tc>
          <w:tcPr>
            <w:tcW w:w="2031" w:type="dxa"/>
            <w:vMerge w:val="restart"/>
          </w:tcPr>
          <w:p>
            <w:pPr>
              <w:pStyle w:val="TableParagraph"/>
              <w:spacing w:line="237" w:lineRule="auto"/>
              <w:ind w:left="532" w:hanging="44"/>
              <w:rPr>
                <w:sz w:val="24"/>
              </w:rPr>
            </w:pPr>
            <w:r>
              <w:rPr>
                <w:sz w:val="24"/>
              </w:rPr>
              <w:t>Вітамін А, мкмоль/л</w:t>
            </w:r>
          </w:p>
        </w:tc>
        <w:tc>
          <w:tcPr>
            <w:tcW w:w="807" w:type="dxa"/>
          </w:tcPr>
          <w:p>
            <w:pPr>
              <w:pStyle w:val="TableParagraph"/>
              <w:spacing w:line="268" w:lineRule="exact"/>
              <w:ind w:right="324"/>
              <w:jc w:val="right"/>
              <w:rPr>
                <w:sz w:val="24"/>
              </w:rPr>
            </w:pPr>
            <w:r>
              <w:rPr>
                <w:sz w:val="24"/>
              </w:rPr>
              <w:t>1</w:t>
            </w:r>
          </w:p>
        </w:tc>
        <w:tc>
          <w:tcPr>
            <w:tcW w:w="1417" w:type="dxa"/>
          </w:tcPr>
          <w:p>
            <w:pPr>
              <w:pStyle w:val="TableParagraph"/>
              <w:spacing w:line="267" w:lineRule="exact"/>
              <w:ind w:left="489"/>
              <w:rPr>
                <w:sz w:val="24"/>
              </w:rPr>
            </w:pPr>
            <w:r>
              <w:rPr>
                <w:spacing w:val="-16"/>
                <w:sz w:val="24"/>
              </w:rPr>
              <w:t>2,89</w:t>
            </w:r>
            <w:r>
              <w:rPr>
                <w:spacing w:val="-16"/>
                <w:sz w:val="24"/>
                <w:u w:val="single"/>
              </w:rPr>
              <w:t>+</w:t>
            </w:r>
          </w:p>
          <w:p>
            <w:pPr>
              <w:pStyle w:val="TableParagraph"/>
              <w:spacing w:line="265" w:lineRule="exact"/>
              <w:ind w:left="455"/>
              <w:rPr>
                <w:sz w:val="24"/>
              </w:rPr>
            </w:pPr>
            <w:r>
              <w:rPr>
                <w:sz w:val="24"/>
              </w:rPr>
              <w:t>0,488</w:t>
            </w:r>
          </w:p>
        </w:tc>
        <w:tc>
          <w:tcPr>
            <w:tcW w:w="995" w:type="dxa"/>
            <w:gridSpan w:val="2"/>
          </w:tcPr>
          <w:p>
            <w:pPr>
              <w:pStyle w:val="TableParagraph"/>
              <w:spacing w:line="267" w:lineRule="exact"/>
              <w:ind w:left="277"/>
              <w:rPr>
                <w:sz w:val="24"/>
              </w:rPr>
            </w:pPr>
            <w:r>
              <w:rPr>
                <w:spacing w:val="-16"/>
                <w:sz w:val="24"/>
              </w:rPr>
              <w:t>4,65</w:t>
            </w:r>
            <w:r>
              <w:rPr>
                <w:spacing w:val="-16"/>
                <w:sz w:val="24"/>
                <w:u w:val="single"/>
              </w:rPr>
              <w:t>+</w:t>
            </w:r>
          </w:p>
          <w:p>
            <w:pPr>
              <w:pStyle w:val="TableParagraph"/>
              <w:spacing w:line="265" w:lineRule="exact"/>
              <w:ind w:left="243"/>
              <w:rPr>
                <w:sz w:val="24"/>
              </w:rPr>
            </w:pPr>
            <w:r>
              <w:rPr>
                <w:sz w:val="24"/>
              </w:rPr>
              <w:t>0,685</w:t>
            </w:r>
          </w:p>
        </w:tc>
        <w:tc>
          <w:tcPr>
            <w:tcW w:w="1278" w:type="dxa"/>
          </w:tcPr>
          <w:p>
            <w:pPr>
              <w:pStyle w:val="TableParagraph"/>
              <w:spacing w:line="267" w:lineRule="exact"/>
              <w:ind w:left="410"/>
              <w:rPr>
                <w:sz w:val="24"/>
              </w:rPr>
            </w:pPr>
            <w:r>
              <w:rPr>
                <w:spacing w:val="-16"/>
                <w:sz w:val="24"/>
              </w:rPr>
              <w:t>3,14</w:t>
            </w:r>
            <w:r>
              <w:rPr>
                <w:spacing w:val="-16"/>
                <w:sz w:val="24"/>
                <w:u w:val="single"/>
              </w:rPr>
              <w:t>+</w:t>
            </w:r>
          </w:p>
          <w:p>
            <w:pPr>
              <w:pStyle w:val="TableParagraph"/>
              <w:spacing w:line="265" w:lineRule="exact"/>
              <w:ind w:left="382"/>
              <w:rPr>
                <w:sz w:val="24"/>
              </w:rPr>
            </w:pPr>
            <w:r>
              <w:rPr>
                <w:sz w:val="24"/>
              </w:rPr>
              <w:t>0,445</w:t>
            </w:r>
          </w:p>
        </w:tc>
        <w:tc>
          <w:tcPr>
            <w:tcW w:w="992" w:type="dxa"/>
            <w:gridSpan w:val="2"/>
          </w:tcPr>
          <w:p>
            <w:pPr>
              <w:pStyle w:val="TableParagraph"/>
              <w:spacing w:line="267" w:lineRule="exact"/>
              <w:ind w:left="270"/>
              <w:rPr>
                <w:sz w:val="24"/>
              </w:rPr>
            </w:pPr>
            <w:r>
              <w:rPr>
                <w:spacing w:val="-16"/>
                <w:sz w:val="24"/>
              </w:rPr>
              <w:t>3,46</w:t>
            </w:r>
            <w:r>
              <w:rPr>
                <w:spacing w:val="-16"/>
                <w:sz w:val="24"/>
                <w:u w:val="single"/>
              </w:rPr>
              <w:t>+</w:t>
            </w:r>
          </w:p>
          <w:p>
            <w:pPr>
              <w:pStyle w:val="TableParagraph"/>
              <w:spacing w:line="265" w:lineRule="exact"/>
              <w:ind w:left="237"/>
              <w:rPr>
                <w:sz w:val="24"/>
              </w:rPr>
            </w:pPr>
            <w:r>
              <w:rPr>
                <w:sz w:val="24"/>
              </w:rPr>
              <w:t>0,585</w:t>
            </w:r>
          </w:p>
        </w:tc>
        <w:tc>
          <w:tcPr>
            <w:tcW w:w="1279" w:type="dxa"/>
          </w:tcPr>
          <w:p>
            <w:pPr>
              <w:pStyle w:val="TableParagraph"/>
              <w:spacing w:line="267" w:lineRule="exact"/>
              <w:ind w:left="412"/>
              <w:rPr>
                <w:sz w:val="24"/>
              </w:rPr>
            </w:pPr>
            <w:r>
              <w:rPr>
                <w:spacing w:val="-16"/>
                <w:sz w:val="24"/>
              </w:rPr>
              <w:t>3,87</w:t>
            </w:r>
            <w:r>
              <w:rPr>
                <w:spacing w:val="-16"/>
                <w:sz w:val="24"/>
                <w:u w:val="single"/>
              </w:rPr>
              <w:t>+</w:t>
            </w:r>
          </w:p>
          <w:p>
            <w:pPr>
              <w:pStyle w:val="TableParagraph"/>
              <w:spacing w:line="265" w:lineRule="exact"/>
              <w:ind w:left="383"/>
              <w:rPr>
                <w:sz w:val="24"/>
              </w:rPr>
            </w:pPr>
            <w:r>
              <w:rPr>
                <w:sz w:val="24"/>
              </w:rPr>
              <w:t>0,483</w:t>
            </w:r>
          </w:p>
        </w:tc>
        <w:tc>
          <w:tcPr>
            <w:tcW w:w="996" w:type="dxa"/>
          </w:tcPr>
          <w:p>
            <w:pPr>
              <w:pStyle w:val="TableParagraph"/>
              <w:spacing w:line="267" w:lineRule="exact"/>
              <w:ind w:left="271"/>
              <w:rPr>
                <w:sz w:val="24"/>
              </w:rPr>
            </w:pPr>
            <w:r>
              <w:rPr>
                <w:spacing w:val="-16"/>
                <w:sz w:val="24"/>
              </w:rPr>
              <w:t>5,24</w:t>
            </w:r>
            <w:r>
              <w:rPr>
                <w:spacing w:val="-16"/>
                <w:sz w:val="24"/>
                <w:u w:val="single"/>
              </w:rPr>
              <w:t>+</w:t>
            </w:r>
          </w:p>
          <w:p>
            <w:pPr>
              <w:pStyle w:val="TableParagraph"/>
              <w:spacing w:line="265" w:lineRule="exact"/>
              <w:ind w:left="237"/>
              <w:rPr>
                <w:sz w:val="24"/>
              </w:rPr>
            </w:pPr>
            <w:r>
              <w:rPr>
                <w:sz w:val="24"/>
              </w:rPr>
              <w:t>0,980</w:t>
            </w:r>
          </w:p>
        </w:tc>
      </w:tr>
      <w:tr>
        <w:trPr>
          <w:trHeight w:val="556" w:hRule="atLeast"/>
        </w:trPr>
        <w:tc>
          <w:tcPr>
            <w:tcW w:w="2031" w:type="dxa"/>
            <w:vMerge/>
            <w:tcBorders>
              <w:top w:val="nil"/>
            </w:tcBorders>
          </w:tcPr>
          <w:p>
            <w:pPr>
              <w:rPr>
                <w:sz w:val="2"/>
                <w:szCs w:val="2"/>
              </w:rPr>
            </w:pPr>
          </w:p>
        </w:tc>
        <w:tc>
          <w:tcPr>
            <w:tcW w:w="807" w:type="dxa"/>
          </w:tcPr>
          <w:p>
            <w:pPr>
              <w:pStyle w:val="TableParagraph"/>
              <w:spacing w:line="273" w:lineRule="exact"/>
              <w:ind w:right="324"/>
              <w:jc w:val="right"/>
              <w:rPr>
                <w:sz w:val="24"/>
              </w:rPr>
            </w:pPr>
            <w:r>
              <w:rPr>
                <w:sz w:val="24"/>
              </w:rPr>
              <w:t>2</w:t>
            </w:r>
          </w:p>
        </w:tc>
        <w:tc>
          <w:tcPr>
            <w:tcW w:w="1417" w:type="dxa"/>
          </w:tcPr>
          <w:p>
            <w:pPr>
              <w:pStyle w:val="TableParagraph"/>
              <w:spacing w:line="273" w:lineRule="exact"/>
              <w:ind w:left="489"/>
              <w:rPr>
                <w:sz w:val="24"/>
              </w:rPr>
            </w:pPr>
            <w:r>
              <w:rPr>
                <w:spacing w:val="-16"/>
                <w:sz w:val="24"/>
              </w:rPr>
              <w:t>3,04</w:t>
            </w:r>
            <w:r>
              <w:rPr>
                <w:spacing w:val="-16"/>
                <w:sz w:val="24"/>
                <w:u w:val="single"/>
              </w:rPr>
              <w:t>+</w:t>
            </w:r>
          </w:p>
          <w:p>
            <w:pPr>
              <w:pStyle w:val="TableParagraph"/>
              <w:spacing w:line="261" w:lineRule="exact" w:before="2"/>
              <w:ind w:left="455"/>
              <w:rPr>
                <w:sz w:val="24"/>
              </w:rPr>
            </w:pPr>
            <w:r>
              <w:rPr>
                <w:sz w:val="24"/>
              </w:rPr>
              <w:t>0,502</w:t>
            </w:r>
          </w:p>
        </w:tc>
        <w:tc>
          <w:tcPr>
            <w:tcW w:w="995" w:type="dxa"/>
            <w:gridSpan w:val="2"/>
          </w:tcPr>
          <w:p>
            <w:pPr>
              <w:pStyle w:val="TableParagraph"/>
              <w:spacing w:line="273" w:lineRule="exact"/>
              <w:ind w:left="277"/>
              <w:rPr>
                <w:sz w:val="24"/>
              </w:rPr>
            </w:pPr>
            <w:r>
              <w:rPr>
                <w:spacing w:val="-16"/>
                <w:sz w:val="24"/>
              </w:rPr>
              <w:t>3,87</w:t>
            </w:r>
            <w:r>
              <w:rPr>
                <w:spacing w:val="-16"/>
                <w:sz w:val="24"/>
                <w:u w:val="single"/>
              </w:rPr>
              <w:t>+</w:t>
            </w:r>
          </w:p>
          <w:p>
            <w:pPr>
              <w:pStyle w:val="TableParagraph"/>
              <w:spacing w:line="261" w:lineRule="exact" w:before="2"/>
              <w:ind w:left="243"/>
              <w:rPr>
                <w:sz w:val="24"/>
              </w:rPr>
            </w:pPr>
            <w:r>
              <w:rPr>
                <w:sz w:val="24"/>
              </w:rPr>
              <w:t>0,649</w:t>
            </w:r>
          </w:p>
        </w:tc>
        <w:tc>
          <w:tcPr>
            <w:tcW w:w="1278" w:type="dxa"/>
          </w:tcPr>
          <w:p>
            <w:pPr>
              <w:pStyle w:val="TableParagraph"/>
              <w:spacing w:line="273" w:lineRule="exact"/>
              <w:ind w:left="410"/>
              <w:rPr>
                <w:sz w:val="24"/>
              </w:rPr>
            </w:pPr>
            <w:r>
              <w:rPr>
                <w:spacing w:val="-16"/>
                <w:sz w:val="24"/>
              </w:rPr>
              <w:t>4,45</w:t>
            </w:r>
            <w:r>
              <w:rPr>
                <w:spacing w:val="-16"/>
                <w:sz w:val="24"/>
                <w:u w:val="single"/>
              </w:rPr>
              <w:t>+</w:t>
            </w:r>
          </w:p>
          <w:p>
            <w:pPr>
              <w:pStyle w:val="TableParagraph"/>
              <w:spacing w:line="261" w:lineRule="exact" w:before="2"/>
              <w:ind w:left="382"/>
              <w:rPr>
                <w:sz w:val="24"/>
              </w:rPr>
            </w:pPr>
            <w:r>
              <w:rPr>
                <w:sz w:val="24"/>
              </w:rPr>
              <w:t>0,803</w:t>
            </w:r>
          </w:p>
        </w:tc>
        <w:tc>
          <w:tcPr>
            <w:tcW w:w="992" w:type="dxa"/>
            <w:gridSpan w:val="2"/>
          </w:tcPr>
          <w:p>
            <w:pPr>
              <w:pStyle w:val="TableParagraph"/>
              <w:spacing w:line="273" w:lineRule="exact"/>
              <w:ind w:left="270"/>
              <w:rPr>
                <w:sz w:val="24"/>
              </w:rPr>
            </w:pPr>
            <w:r>
              <w:rPr>
                <w:spacing w:val="-16"/>
                <w:sz w:val="24"/>
              </w:rPr>
              <w:t>5,16</w:t>
            </w:r>
            <w:r>
              <w:rPr>
                <w:spacing w:val="-16"/>
                <w:sz w:val="24"/>
                <w:u w:val="single"/>
              </w:rPr>
              <w:t>+</w:t>
            </w:r>
          </w:p>
          <w:p>
            <w:pPr>
              <w:pStyle w:val="TableParagraph"/>
              <w:spacing w:line="261" w:lineRule="exact" w:before="2"/>
              <w:ind w:left="237"/>
              <w:rPr>
                <w:sz w:val="24"/>
              </w:rPr>
            </w:pPr>
            <w:r>
              <w:rPr>
                <w:sz w:val="24"/>
              </w:rPr>
              <w:t>0,901</w:t>
            </w:r>
          </w:p>
        </w:tc>
        <w:tc>
          <w:tcPr>
            <w:tcW w:w="1279" w:type="dxa"/>
          </w:tcPr>
          <w:p>
            <w:pPr>
              <w:pStyle w:val="TableParagraph"/>
              <w:spacing w:line="273" w:lineRule="exact"/>
              <w:ind w:left="412"/>
              <w:rPr>
                <w:sz w:val="24"/>
              </w:rPr>
            </w:pPr>
            <w:r>
              <w:rPr>
                <w:spacing w:val="-16"/>
                <w:sz w:val="24"/>
              </w:rPr>
              <w:t>4,85</w:t>
            </w:r>
            <w:r>
              <w:rPr>
                <w:spacing w:val="-16"/>
                <w:sz w:val="24"/>
                <w:u w:val="single"/>
              </w:rPr>
              <w:t>+</w:t>
            </w:r>
          </w:p>
          <w:p>
            <w:pPr>
              <w:pStyle w:val="TableParagraph"/>
              <w:spacing w:line="261" w:lineRule="exact" w:before="2"/>
              <w:ind w:left="383"/>
              <w:rPr>
                <w:sz w:val="24"/>
              </w:rPr>
            </w:pPr>
            <w:r>
              <w:rPr>
                <w:sz w:val="24"/>
              </w:rPr>
              <w:t>0,685</w:t>
            </w:r>
          </w:p>
        </w:tc>
        <w:tc>
          <w:tcPr>
            <w:tcW w:w="996" w:type="dxa"/>
          </w:tcPr>
          <w:p>
            <w:pPr>
              <w:pStyle w:val="TableParagraph"/>
              <w:spacing w:line="273" w:lineRule="exact"/>
              <w:ind w:left="271"/>
              <w:rPr>
                <w:sz w:val="24"/>
              </w:rPr>
            </w:pPr>
            <w:r>
              <w:rPr>
                <w:sz w:val="24"/>
              </w:rPr>
              <w:t>7,42</w:t>
            </w:r>
            <w:r>
              <w:rPr>
                <w:sz w:val="24"/>
                <w:u w:val="single"/>
              </w:rPr>
              <w:t>+</w:t>
            </w:r>
          </w:p>
          <w:p>
            <w:pPr>
              <w:pStyle w:val="TableParagraph"/>
              <w:spacing w:line="261" w:lineRule="exact" w:before="2"/>
              <w:ind w:left="180"/>
              <w:rPr>
                <w:sz w:val="24"/>
              </w:rPr>
            </w:pPr>
            <w:r>
              <w:rPr>
                <w:sz w:val="24"/>
              </w:rPr>
              <w:t>0,731*</w:t>
            </w:r>
          </w:p>
        </w:tc>
      </w:tr>
      <w:tr>
        <w:trPr>
          <w:trHeight w:val="552" w:hRule="atLeast"/>
        </w:trPr>
        <w:tc>
          <w:tcPr>
            <w:tcW w:w="2031" w:type="dxa"/>
            <w:vMerge w:val="restart"/>
          </w:tcPr>
          <w:p>
            <w:pPr>
              <w:pStyle w:val="TableParagraph"/>
              <w:spacing w:line="242" w:lineRule="auto"/>
              <w:ind w:left="532" w:right="451" w:hanging="34"/>
              <w:rPr>
                <w:sz w:val="24"/>
              </w:rPr>
            </w:pPr>
            <w:r>
              <w:rPr>
                <w:sz w:val="24"/>
              </w:rPr>
              <w:t>Вітамін Е, мкмоль/л</w:t>
            </w:r>
          </w:p>
        </w:tc>
        <w:tc>
          <w:tcPr>
            <w:tcW w:w="807" w:type="dxa"/>
          </w:tcPr>
          <w:p>
            <w:pPr>
              <w:pStyle w:val="TableParagraph"/>
              <w:spacing w:line="268" w:lineRule="exact"/>
              <w:ind w:right="324"/>
              <w:jc w:val="right"/>
              <w:rPr>
                <w:sz w:val="24"/>
              </w:rPr>
            </w:pPr>
            <w:r>
              <w:rPr>
                <w:sz w:val="24"/>
              </w:rPr>
              <w:t>1</w:t>
            </w:r>
          </w:p>
        </w:tc>
        <w:tc>
          <w:tcPr>
            <w:tcW w:w="1417" w:type="dxa"/>
          </w:tcPr>
          <w:p>
            <w:pPr>
              <w:pStyle w:val="TableParagraph"/>
              <w:spacing w:line="268" w:lineRule="exact"/>
              <w:ind w:left="489"/>
              <w:rPr>
                <w:sz w:val="24"/>
              </w:rPr>
            </w:pPr>
            <w:r>
              <w:rPr>
                <w:spacing w:val="-16"/>
                <w:sz w:val="24"/>
              </w:rPr>
              <w:t>1,03</w:t>
            </w:r>
            <w:r>
              <w:rPr>
                <w:spacing w:val="-16"/>
                <w:sz w:val="24"/>
                <w:u w:val="single"/>
              </w:rPr>
              <w:t>+</w:t>
            </w:r>
          </w:p>
          <w:p>
            <w:pPr>
              <w:pStyle w:val="TableParagraph"/>
              <w:spacing w:line="262" w:lineRule="exact" w:before="2"/>
              <w:ind w:left="455"/>
              <w:rPr>
                <w:sz w:val="24"/>
              </w:rPr>
            </w:pPr>
            <w:r>
              <w:rPr>
                <w:sz w:val="24"/>
              </w:rPr>
              <w:t>0,111</w:t>
            </w:r>
          </w:p>
        </w:tc>
        <w:tc>
          <w:tcPr>
            <w:tcW w:w="995" w:type="dxa"/>
            <w:gridSpan w:val="2"/>
          </w:tcPr>
          <w:p>
            <w:pPr>
              <w:pStyle w:val="TableParagraph"/>
              <w:spacing w:line="268" w:lineRule="exact"/>
              <w:ind w:left="277"/>
              <w:rPr>
                <w:sz w:val="24"/>
              </w:rPr>
            </w:pPr>
            <w:r>
              <w:rPr>
                <w:sz w:val="24"/>
              </w:rPr>
              <w:t>1,43</w:t>
            </w:r>
            <w:r>
              <w:rPr>
                <w:sz w:val="24"/>
                <w:u w:val="single"/>
              </w:rPr>
              <w:t>+</w:t>
            </w:r>
          </w:p>
          <w:p>
            <w:pPr>
              <w:pStyle w:val="TableParagraph"/>
              <w:spacing w:line="262" w:lineRule="exact" w:before="2"/>
              <w:ind w:left="186"/>
              <w:rPr>
                <w:sz w:val="24"/>
              </w:rPr>
            </w:pPr>
            <w:r>
              <w:rPr>
                <w:sz w:val="24"/>
              </w:rPr>
              <w:t>0,020*</w:t>
            </w:r>
          </w:p>
        </w:tc>
        <w:tc>
          <w:tcPr>
            <w:tcW w:w="1278" w:type="dxa"/>
          </w:tcPr>
          <w:p>
            <w:pPr>
              <w:pStyle w:val="TableParagraph"/>
              <w:spacing w:line="268" w:lineRule="exact"/>
              <w:ind w:left="410"/>
              <w:rPr>
                <w:sz w:val="24"/>
              </w:rPr>
            </w:pPr>
            <w:r>
              <w:rPr>
                <w:spacing w:val="-16"/>
                <w:sz w:val="24"/>
              </w:rPr>
              <w:t>0,97</w:t>
            </w:r>
            <w:r>
              <w:rPr>
                <w:spacing w:val="-16"/>
                <w:sz w:val="24"/>
                <w:u w:val="single"/>
              </w:rPr>
              <w:t>+</w:t>
            </w:r>
          </w:p>
          <w:p>
            <w:pPr>
              <w:pStyle w:val="TableParagraph"/>
              <w:spacing w:line="262" w:lineRule="exact" w:before="2"/>
              <w:ind w:left="382"/>
              <w:rPr>
                <w:sz w:val="24"/>
              </w:rPr>
            </w:pPr>
            <w:r>
              <w:rPr>
                <w:sz w:val="24"/>
              </w:rPr>
              <w:t>0,147</w:t>
            </w:r>
          </w:p>
        </w:tc>
        <w:tc>
          <w:tcPr>
            <w:tcW w:w="992" w:type="dxa"/>
            <w:gridSpan w:val="2"/>
          </w:tcPr>
          <w:p>
            <w:pPr>
              <w:pStyle w:val="TableParagraph"/>
              <w:spacing w:line="268" w:lineRule="exact"/>
              <w:ind w:left="270"/>
              <w:rPr>
                <w:sz w:val="24"/>
              </w:rPr>
            </w:pPr>
            <w:r>
              <w:rPr>
                <w:sz w:val="24"/>
              </w:rPr>
              <w:t>0,47</w:t>
            </w:r>
            <w:r>
              <w:rPr>
                <w:sz w:val="24"/>
                <w:u w:val="single"/>
              </w:rPr>
              <w:t>+</w:t>
            </w:r>
          </w:p>
          <w:p>
            <w:pPr>
              <w:pStyle w:val="TableParagraph"/>
              <w:spacing w:line="262" w:lineRule="exact" w:before="2"/>
              <w:ind w:left="179"/>
              <w:rPr>
                <w:sz w:val="24"/>
              </w:rPr>
            </w:pPr>
            <w:r>
              <w:rPr>
                <w:sz w:val="24"/>
              </w:rPr>
              <w:t>0,068*</w:t>
            </w:r>
          </w:p>
        </w:tc>
        <w:tc>
          <w:tcPr>
            <w:tcW w:w="1279" w:type="dxa"/>
          </w:tcPr>
          <w:p>
            <w:pPr>
              <w:pStyle w:val="TableParagraph"/>
              <w:spacing w:line="268" w:lineRule="exact"/>
              <w:ind w:left="412"/>
              <w:rPr>
                <w:sz w:val="24"/>
              </w:rPr>
            </w:pPr>
            <w:r>
              <w:rPr>
                <w:spacing w:val="-16"/>
                <w:sz w:val="24"/>
              </w:rPr>
              <w:t>0,67</w:t>
            </w:r>
            <w:r>
              <w:rPr>
                <w:spacing w:val="-16"/>
                <w:sz w:val="24"/>
                <w:u w:val="single"/>
              </w:rPr>
              <w:t>+</w:t>
            </w:r>
          </w:p>
          <w:p>
            <w:pPr>
              <w:pStyle w:val="TableParagraph"/>
              <w:spacing w:line="262" w:lineRule="exact" w:before="2"/>
              <w:ind w:left="383"/>
              <w:rPr>
                <w:sz w:val="24"/>
              </w:rPr>
            </w:pPr>
            <w:r>
              <w:rPr>
                <w:sz w:val="24"/>
              </w:rPr>
              <w:t>0,109</w:t>
            </w:r>
          </w:p>
        </w:tc>
        <w:tc>
          <w:tcPr>
            <w:tcW w:w="996" w:type="dxa"/>
          </w:tcPr>
          <w:p>
            <w:pPr>
              <w:pStyle w:val="TableParagraph"/>
              <w:spacing w:line="268" w:lineRule="exact"/>
              <w:ind w:left="218"/>
              <w:rPr>
                <w:sz w:val="24"/>
              </w:rPr>
            </w:pPr>
            <w:r>
              <w:rPr>
                <w:sz w:val="24"/>
              </w:rPr>
              <w:t>1,178</w:t>
            </w:r>
            <w:r>
              <w:rPr>
                <w:sz w:val="24"/>
                <w:u w:val="single"/>
              </w:rPr>
              <w:t>+</w:t>
            </w:r>
          </w:p>
          <w:p>
            <w:pPr>
              <w:pStyle w:val="TableParagraph"/>
              <w:spacing w:line="262" w:lineRule="exact" w:before="2"/>
              <w:ind w:left="180"/>
              <w:rPr>
                <w:sz w:val="24"/>
              </w:rPr>
            </w:pPr>
            <w:r>
              <w:rPr>
                <w:sz w:val="24"/>
              </w:rPr>
              <w:t>0,152*</w:t>
            </w:r>
          </w:p>
        </w:tc>
      </w:tr>
      <w:tr>
        <w:trPr>
          <w:trHeight w:val="556" w:hRule="atLeast"/>
        </w:trPr>
        <w:tc>
          <w:tcPr>
            <w:tcW w:w="2031" w:type="dxa"/>
            <w:vMerge/>
            <w:tcBorders>
              <w:top w:val="nil"/>
            </w:tcBorders>
          </w:tcPr>
          <w:p>
            <w:pPr>
              <w:rPr>
                <w:sz w:val="2"/>
                <w:szCs w:val="2"/>
              </w:rPr>
            </w:pPr>
          </w:p>
        </w:tc>
        <w:tc>
          <w:tcPr>
            <w:tcW w:w="807" w:type="dxa"/>
          </w:tcPr>
          <w:p>
            <w:pPr>
              <w:pStyle w:val="TableParagraph"/>
              <w:spacing w:line="273" w:lineRule="exact"/>
              <w:ind w:right="324"/>
              <w:jc w:val="right"/>
              <w:rPr>
                <w:sz w:val="24"/>
              </w:rPr>
            </w:pPr>
            <w:r>
              <w:rPr>
                <w:sz w:val="24"/>
              </w:rPr>
              <w:t>2</w:t>
            </w:r>
          </w:p>
        </w:tc>
        <w:tc>
          <w:tcPr>
            <w:tcW w:w="1417" w:type="dxa"/>
          </w:tcPr>
          <w:p>
            <w:pPr>
              <w:pStyle w:val="TableParagraph"/>
              <w:spacing w:line="273" w:lineRule="exact"/>
              <w:ind w:left="489"/>
              <w:rPr>
                <w:sz w:val="24"/>
              </w:rPr>
            </w:pPr>
            <w:r>
              <w:rPr>
                <w:spacing w:val="-16"/>
                <w:sz w:val="24"/>
              </w:rPr>
              <w:t>0,89</w:t>
            </w:r>
            <w:r>
              <w:rPr>
                <w:spacing w:val="-16"/>
                <w:sz w:val="24"/>
                <w:u w:val="single"/>
              </w:rPr>
              <w:t>+</w:t>
            </w:r>
          </w:p>
          <w:p>
            <w:pPr>
              <w:pStyle w:val="TableParagraph"/>
              <w:spacing w:line="261" w:lineRule="exact" w:before="2"/>
              <w:ind w:left="455"/>
              <w:rPr>
                <w:sz w:val="24"/>
              </w:rPr>
            </w:pPr>
            <w:r>
              <w:rPr>
                <w:sz w:val="24"/>
              </w:rPr>
              <w:t>0,163</w:t>
            </w:r>
          </w:p>
        </w:tc>
        <w:tc>
          <w:tcPr>
            <w:tcW w:w="995" w:type="dxa"/>
            <w:gridSpan w:val="2"/>
          </w:tcPr>
          <w:p>
            <w:pPr>
              <w:pStyle w:val="TableParagraph"/>
              <w:spacing w:line="273" w:lineRule="exact"/>
              <w:ind w:left="277"/>
              <w:rPr>
                <w:sz w:val="24"/>
              </w:rPr>
            </w:pPr>
            <w:r>
              <w:rPr>
                <w:spacing w:val="-16"/>
                <w:sz w:val="24"/>
              </w:rPr>
              <w:t>1,49</w:t>
            </w:r>
            <w:r>
              <w:rPr>
                <w:spacing w:val="-16"/>
                <w:sz w:val="24"/>
                <w:u w:val="single"/>
              </w:rPr>
              <w:t>+</w:t>
            </w:r>
          </w:p>
          <w:p>
            <w:pPr>
              <w:pStyle w:val="TableParagraph"/>
              <w:spacing w:line="261" w:lineRule="exact" w:before="2"/>
              <w:ind w:left="243"/>
              <w:rPr>
                <w:sz w:val="24"/>
              </w:rPr>
            </w:pPr>
            <w:r>
              <w:rPr>
                <w:sz w:val="24"/>
              </w:rPr>
              <w:t>0,219</w:t>
            </w:r>
          </w:p>
        </w:tc>
        <w:tc>
          <w:tcPr>
            <w:tcW w:w="1278" w:type="dxa"/>
          </w:tcPr>
          <w:p>
            <w:pPr>
              <w:pStyle w:val="TableParagraph"/>
              <w:spacing w:line="273" w:lineRule="exact"/>
              <w:ind w:left="410"/>
              <w:rPr>
                <w:sz w:val="24"/>
              </w:rPr>
            </w:pPr>
            <w:r>
              <w:rPr>
                <w:spacing w:val="-16"/>
                <w:sz w:val="24"/>
              </w:rPr>
              <w:t>1,15</w:t>
            </w:r>
            <w:r>
              <w:rPr>
                <w:spacing w:val="-16"/>
                <w:sz w:val="24"/>
                <w:u w:val="single"/>
              </w:rPr>
              <w:t>+</w:t>
            </w:r>
          </w:p>
          <w:p>
            <w:pPr>
              <w:pStyle w:val="TableParagraph"/>
              <w:spacing w:line="261" w:lineRule="exact" w:before="2"/>
              <w:ind w:left="382"/>
              <w:rPr>
                <w:sz w:val="24"/>
              </w:rPr>
            </w:pPr>
            <w:r>
              <w:rPr>
                <w:sz w:val="24"/>
              </w:rPr>
              <w:t>0,142</w:t>
            </w:r>
          </w:p>
        </w:tc>
        <w:tc>
          <w:tcPr>
            <w:tcW w:w="992" w:type="dxa"/>
            <w:gridSpan w:val="2"/>
          </w:tcPr>
          <w:p>
            <w:pPr>
              <w:pStyle w:val="TableParagraph"/>
              <w:spacing w:line="273" w:lineRule="exact"/>
              <w:ind w:left="270"/>
              <w:rPr>
                <w:sz w:val="24"/>
              </w:rPr>
            </w:pPr>
            <w:r>
              <w:rPr>
                <w:sz w:val="24"/>
              </w:rPr>
              <w:t>1,87</w:t>
            </w:r>
            <w:r>
              <w:rPr>
                <w:sz w:val="24"/>
                <w:u w:val="single"/>
              </w:rPr>
              <w:t>+</w:t>
            </w:r>
          </w:p>
          <w:p>
            <w:pPr>
              <w:pStyle w:val="TableParagraph"/>
              <w:spacing w:line="261" w:lineRule="exact" w:before="2"/>
              <w:ind w:left="179"/>
              <w:rPr>
                <w:sz w:val="24"/>
              </w:rPr>
            </w:pPr>
            <w:r>
              <w:rPr>
                <w:sz w:val="24"/>
              </w:rPr>
              <w:t>0,236*</w:t>
            </w:r>
          </w:p>
        </w:tc>
        <w:tc>
          <w:tcPr>
            <w:tcW w:w="1279" w:type="dxa"/>
          </w:tcPr>
          <w:p>
            <w:pPr>
              <w:pStyle w:val="TableParagraph"/>
              <w:spacing w:line="273" w:lineRule="exact"/>
              <w:ind w:left="412"/>
              <w:rPr>
                <w:sz w:val="24"/>
              </w:rPr>
            </w:pPr>
            <w:r>
              <w:rPr>
                <w:spacing w:val="-16"/>
                <w:sz w:val="24"/>
              </w:rPr>
              <w:t>1,43</w:t>
            </w:r>
            <w:r>
              <w:rPr>
                <w:spacing w:val="-16"/>
                <w:sz w:val="24"/>
                <w:u w:val="single"/>
              </w:rPr>
              <w:t>+</w:t>
            </w:r>
          </w:p>
          <w:p>
            <w:pPr>
              <w:pStyle w:val="TableParagraph"/>
              <w:spacing w:line="261" w:lineRule="exact" w:before="2"/>
              <w:ind w:left="383"/>
              <w:rPr>
                <w:sz w:val="24"/>
              </w:rPr>
            </w:pPr>
            <w:r>
              <w:rPr>
                <w:sz w:val="24"/>
              </w:rPr>
              <w:t>0,146</w:t>
            </w:r>
          </w:p>
        </w:tc>
        <w:tc>
          <w:tcPr>
            <w:tcW w:w="996" w:type="dxa"/>
          </w:tcPr>
          <w:p>
            <w:pPr>
              <w:pStyle w:val="TableParagraph"/>
              <w:spacing w:line="273" w:lineRule="exact"/>
              <w:ind w:left="271"/>
              <w:rPr>
                <w:sz w:val="24"/>
              </w:rPr>
            </w:pPr>
            <w:r>
              <w:rPr>
                <w:spacing w:val="-16"/>
                <w:sz w:val="24"/>
              </w:rPr>
              <w:t>1,79</w:t>
            </w:r>
            <w:r>
              <w:rPr>
                <w:spacing w:val="-16"/>
                <w:sz w:val="24"/>
                <w:u w:val="single"/>
              </w:rPr>
              <w:t>+</w:t>
            </w:r>
          </w:p>
          <w:p>
            <w:pPr>
              <w:pStyle w:val="TableParagraph"/>
              <w:spacing w:line="261" w:lineRule="exact" w:before="2"/>
              <w:ind w:left="237"/>
              <w:rPr>
                <w:sz w:val="24"/>
              </w:rPr>
            </w:pPr>
            <w:r>
              <w:rPr>
                <w:sz w:val="24"/>
              </w:rPr>
              <w:t>0,222</w:t>
            </w:r>
          </w:p>
        </w:tc>
      </w:tr>
    </w:tbl>
    <w:p>
      <w:pPr>
        <w:spacing w:before="0"/>
        <w:ind w:left="255" w:right="0" w:firstLine="0"/>
        <w:jc w:val="left"/>
        <w:rPr>
          <w:sz w:val="24"/>
        </w:rPr>
      </w:pPr>
      <w:r>
        <w:rPr>
          <w:sz w:val="24"/>
        </w:rPr>
        <w:t>Примітка: *-р&lt;0,05; **-р&lt;0,01; ***-р&lt;0,001 порівняно з показниками лютеальної фази.</w:t>
      </w:r>
    </w:p>
    <w:p>
      <w:pPr>
        <w:spacing w:before="2"/>
        <w:ind w:left="898" w:right="0" w:firstLine="0"/>
        <w:jc w:val="left"/>
        <w:rPr>
          <w:sz w:val="24"/>
        </w:rPr>
      </w:pPr>
      <w:r>
        <w:rPr>
          <w:sz w:val="24"/>
        </w:rPr>
        <w:t>1 – контрольна група; 2 – дослідна група.</w:t>
      </w:r>
    </w:p>
    <w:p>
      <w:pPr>
        <w:pStyle w:val="BodyText"/>
        <w:spacing w:before="10"/>
        <w:ind w:left="0"/>
        <w:jc w:val="left"/>
        <w:rPr>
          <w:sz w:val="27"/>
        </w:rPr>
      </w:pPr>
    </w:p>
    <w:p>
      <w:pPr>
        <w:pStyle w:val="BodyText"/>
        <w:ind w:right="608" w:firstLine="710"/>
      </w:pPr>
      <w:r>
        <w:rPr/>
        <w:t>Зміна фаз статевого циклу впливала на рівень низькомолекулярних антиоксидантів – зниження змісту відновленого глутатіона і </w:t>
      </w:r>
      <w:r>
        <w:rPr>
          <w:spacing w:val="-3"/>
        </w:rPr>
        <w:t>АК </w:t>
      </w:r>
      <w:r>
        <w:rPr/>
        <w:t>відповідно на 41,8 % і 5,1 % (1 охота), 28,2% і 24,3 % (2 охота), 17,7 % і 15,4% (3 охота). Додаткове споживання вітамінної добавки сприяло насиченню крові АК, особливо при настанні 2-го і 3-го статевих циклів, відповідно в 1,5 і 2,5 раза (лютеальна</w:t>
      </w:r>
      <w:r>
        <w:rPr>
          <w:spacing w:val="-4"/>
        </w:rPr>
        <w:t> </w:t>
      </w:r>
      <w:r>
        <w:rPr/>
        <w:t>фаза)</w:t>
      </w:r>
      <w:r>
        <w:rPr>
          <w:spacing w:val="-6"/>
        </w:rPr>
        <w:t> </w:t>
      </w:r>
      <w:r>
        <w:rPr/>
        <w:t>та</w:t>
      </w:r>
      <w:r>
        <w:rPr>
          <w:spacing w:val="-3"/>
        </w:rPr>
        <w:t> </w:t>
      </w:r>
      <w:r>
        <w:rPr/>
        <w:t>1,4</w:t>
      </w:r>
      <w:r>
        <w:rPr>
          <w:spacing w:val="-5"/>
        </w:rPr>
        <w:t> </w:t>
      </w:r>
      <w:r>
        <w:rPr/>
        <w:t>і</w:t>
      </w:r>
      <w:r>
        <w:rPr>
          <w:spacing w:val="-9"/>
        </w:rPr>
        <w:t> </w:t>
      </w:r>
      <w:r>
        <w:rPr/>
        <w:t>2,3</w:t>
      </w:r>
      <w:r>
        <w:rPr>
          <w:spacing w:val="-9"/>
        </w:rPr>
        <w:t> </w:t>
      </w:r>
      <w:r>
        <w:rPr/>
        <w:t>раза</w:t>
      </w:r>
      <w:r>
        <w:rPr>
          <w:spacing w:val="-2"/>
        </w:rPr>
        <w:t> </w:t>
      </w:r>
      <w:r>
        <w:rPr/>
        <w:t>(естральна</w:t>
      </w:r>
      <w:r>
        <w:rPr>
          <w:spacing w:val="-4"/>
        </w:rPr>
        <w:t> </w:t>
      </w:r>
      <w:r>
        <w:rPr/>
        <w:t>фаза).</w:t>
      </w:r>
      <w:r>
        <w:rPr>
          <w:spacing w:val="-2"/>
        </w:rPr>
        <w:t> </w:t>
      </w:r>
      <w:r>
        <w:rPr/>
        <w:t>Збільшення</w:t>
      </w:r>
      <w:r>
        <w:rPr>
          <w:spacing w:val="-4"/>
        </w:rPr>
        <w:t> </w:t>
      </w:r>
      <w:r>
        <w:rPr/>
        <w:t>концентрації</w:t>
      </w:r>
      <w:r>
        <w:rPr>
          <w:spacing w:val="-5"/>
        </w:rPr>
        <w:t> </w:t>
      </w:r>
      <w:r>
        <w:rPr/>
        <w:t>АК, очевидно сприяло більш повному відновленню глутатіону після участі в пероксидних</w:t>
      </w:r>
      <w:r>
        <w:rPr>
          <w:spacing w:val="-4"/>
        </w:rPr>
        <w:t> </w:t>
      </w:r>
      <w:r>
        <w:rPr/>
        <w:t>процесах.</w:t>
      </w:r>
    </w:p>
    <w:p>
      <w:pPr>
        <w:spacing w:after="0"/>
        <w:sectPr>
          <w:pgSz w:w="11910" w:h="16840"/>
          <w:pgMar w:header="713" w:footer="778" w:top="1140" w:bottom="960" w:left="940" w:right="520"/>
        </w:sectPr>
      </w:pPr>
    </w:p>
    <w:p>
      <w:pPr>
        <w:pStyle w:val="BodyText"/>
        <w:spacing w:before="92"/>
        <w:ind w:right="607" w:firstLine="710"/>
      </w:pPr>
      <w:r>
        <w:rPr/>
        <w:t>Концентрація вітаміну А в крові свинок у фазу еструса під час першого і третього статевого циклу істотно збільшувалася відповідно на 60,9 % і 35,4%. Вживання дослідними тваринами вітамінної добавки сприяло накопиченню даного вітаміну, де його вміст переважав протягом 2-го і 3-го статевого циклу відповідно</w:t>
      </w:r>
      <w:r>
        <w:rPr>
          <w:spacing w:val="-12"/>
        </w:rPr>
        <w:t> </w:t>
      </w:r>
      <w:r>
        <w:rPr/>
        <w:t>на</w:t>
      </w:r>
      <w:r>
        <w:rPr>
          <w:spacing w:val="-11"/>
        </w:rPr>
        <w:t> </w:t>
      </w:r>
      <w:r>
        <w:rPr/>
        <w:t>41,7</w:t>
      </w:r>
      <w:r>
        <w:rPr>
          <w:spacing w:val="-14"/>
        </w:rPr>
        <w:t> </w:t>
      </w:r>
      <w:r>
        <w:rPr/>
        <w:t>%</w:t>
      </w:r>
      <w:r>
        <w:rPr>
          <w:spacing w:val="-14"/>
        </w:rPr>
        <w:t> </w:t>
      </w:r>
      <w:r>
        <w:rPr/>
        <w:t>і</w:t>
      </w:r>
      <w:r>
        <w:rPr>
          <w:spacing w:val="-16"/>
        </w:rPr>
        <w:t> </w:t>
      </w:r>
      <w:r>
        <w:rPr/>
        <w:t>25,3%</w:t>
      </w:r>
      <w:r>
        <w:rPr>
          <w:spacing w:val="-14"/>
        </w:rPr>
        <w:t> </w:t>
      </w:r>
      <w:r>
        <w:rPr/>
        <w:t>(лютеальна</w:t>
      </w:r>
      <w:r>
        <w:rPr>
          <w:spacing w:val="-11"/>
        </w:rPr>
        <w:t> </w:t>
      </w:r>
      <w:r>
        <w:rPr/>
        <w:t>фаза)</w:t>
      </w:r>
      <w:r>
        <w:rPr>
          <w:spacing w:val="-14"/>
        </w:rPr>
        <w:t> </w:t>
      </w:r>
      <w:r>
        <w:rPr/>
        <w:t>та</w:t>
      </w:r>
      <w:r>
        <w:rPr>
          <w:spacing w:val="-11"/>
        </w:rPr>
        <w:t> </w:t>
      </w:r>
      <w:r>
        <w:rPr/>
        <w:t>49,1</w:t>
      </w:r>
      <w:r>
        <w:rPr>
          <w:spacing w:val="-12"/>
        </w:rPr>
        <w:t> </w:t>
      </w:r>
      <w:r>
        <w:rPr/>
        <w:t>%</w:t>
      </w:r>
      <w:r>
        <w:rPr>
          <w:spacing w:val="-14"/>
        </w:rPr>
        <w:t> </w:t>
      </w:r>
      <w:r>
        <w:rPr/>
        <w:t>і</w:t>
      </w:r>
      <w:r>
        <w:rPr>
          <w:spacing w:val="-17"/>
        </w:rPr>
        <w:t> </w:t>
      </w:r>
      <w:r>
        <w:rPr/>
        <w:t>41,6%</w:t>
      </w:r>
      <w:r>
        <w:rPr>
          <w:spacing w:val="-13"/>
        </w:rPr>
        <w:t> </w:t>
      </w:r>
      <w:r>
        <w:rPr/>
        <w:t>(естральна</w:t>
      </w:r>
      <w:r>
        <w:rPr>
          <w:spacing w:val="-11"/>
        </w:rPr>
        <w:t> </w:t>
      </w:r>
      <w:r>
        <w:rPr/>
        <w:t>фаза), порівняно </w:t>
      </w:r>
      <w:r>
        <w:rPr>
          <w:spacing w:val="-3"/>
        </w:rPr>
        <w:t>із </w:t>
      </w:r>
      <w:r>
        <w:rPr/>
        <w:t>контрольною групою. Аналогічна закономірність до накопичення була</w:t>
      </w:r>
      <w:r>
        <w:rPr>
          <w:spacing w:val="-2"/>
        </w:rPr>
        <w:t> </w:t>
      </w:r>
      <w:r>
        <w:rPr/>
        <w:t>характерною</w:t>
      </w:r>
      <w:r>
        <w:rPr>
          <w:spacing w:val="-6"/>
        </w:rPr>
        <w:t> </w:t>
      </w:r>
      <w:r>
        <w:rPr/>
        <w:t>для</w:t>
      </w:r>
      <w:r>
        <w:rPr>
          <w:spacing w:val="-4"/>
        </w:rPr>
        <w:t> </w:t>
      </w:r>
      <w:r>
        <w:rPr/>
        <w:t>вітаміну</w:t>
      </w:r>
      <w:r>
        <w:rPr>
          <w:spacing w:val="-11"/>
        </w:rPr>
        <w:t> </w:t>
      </w:r>
      <w:r>
        <w:rPr/>
        <w:t>Е</w:t>
      </w:r>
      <w:r>
        <w:rPr>
          <w:spacing w:val="-5"/>
        </w:rPr>
        <w:t> </w:t>
      </w:r>
      <w:r>
        <w:rPr/>
        <w:t>у</w:t>
      </w:r>
      <w:r>
        <w:rPr>
          <w:spacing w:val="-11"/>
        </w:rPr>
        <w:t> </w:t>
      </w:r>
      <w:r>
        <w:rPr/>
        <w:t>свинок</w:t>
      </w:r>
      <w:r>
        <w:rPr>
          <w:spacing w:val="-7"/>
        </w:rPr>
        <w:t> </w:t>
      </w:r>
      <w:r>
        <w:rPr/>
        <w:t>першої</w:t>
      </w:r>
      <w:r>
        <w:rPr>
          <w:spacing w:val="-12"/>
        </w:rPr>
        <w:t> </w:t>
      </w:r>
      <w:r>
        <w:rPr/>
        <w:t>групи,</w:t>
      </w:r>
      <w:r>
        <w:rPr>
          <w:spacing w:val="-5"/>
        </w:rPr>
        <w:t> </w:t>
      </w:r>
      <w:r>
        <w:rPr/>
        <w:t>а</w:t>
      </w:r>
      <w:r>
        <w:rPr>
          <w:spacing w:val="-6"/>
        </w:rPr>
        <w:t> </w:t>
      </w:r>
      <w:r>
        <w:rPr/>
        <w:t>саме</w:t>
      </w:r>
      <w:r>
        <w:rPr>
          <w:spacing w:val="-7"/>
        </w:rPr>
        <w:t> </w:t>
      </w:r>
      <w:r>
        <w:rPr/>
        <w:t>більша</w:t>
      </w:r>
      <w:r>
        <w:rPr>
          <w:spacing w:val="-6"/>
        </w:rPr>
        <w:t> </w:t>
      </w:r>
      <w:r>
        <w:rPr/>
        <w:t>кількість протягом 2-го і 3-го відповідно в 1,2 і 2,1 раза (лютеальна фаза) та 3,9 і 1,5 раза (естральна фаза) відносно другої групи. Встановлені закономірності розподілу вмісту</w:t>
      </w:r>
      <w:r>
        <w:rPr>
          <w:spacing w:val="-24"/>
        </w:rPr>
        <w:t> </w:t>
      </w:r>
      <w:r>
        <w:rPr/>
        <w:t>вітамінів</w:t>
      </w:r>
      <w:r>
        <w:rPr>
          <w:spacing w:val="-20"/>
        </w:rPr>
        <w:t> </w:t>
      </w:r>
      <w:r>
        <w:rPr/>
        <w:t>антиоксидантної</w:t>
      </w:r>
      <w:r>
        <w:rPr>
          <w:spacing w:val="-23"/>
        </w:rPr>
        <w:t> </w:t>
      </w:r>
      <w:r>
        <w:rPr/>
        <w:t>дії</w:t>
      </w:r>
      <w:r>
        <w:rPr>
          <w:spacing w:val="-22"/>
        </w:rPr>
        <w:t> </w:t>
      </w:r>
      <w:r>
        <w:rPr/>
        <w:t>в</w:t>
      </w:r>
      <w:r>
        <w:rPr>
          <w:spacing w:val="-21"/>
        </w:rPr>
        <w:t> </w:t>
      </w:r>
      <w:r>
        <w:rPr/>
        <w:t>крові</w:t>
      </w:r>
      <w:r>
        <w:rPr>
          <w:spacing w:val="-23"/>
        </w:rPr>
        <w:t> </w:t>
      </w:r>
      <w:r>
        <w:rPr/>
        <w:t>свинок</w:t>
      </w:r>
      <w:r>
        <w:rPr>
          <w:spacing w:val="-16"/>
        </w:rPr>
        <w:t> </w:t>
      </w:r>
      <w:r>
        <w:rPr/>
        <w:t>у</w:t>
      </w:r>
      <w:r>
        <w:rPr>
          <w:spacing w:val="-24"/>
        </w:rPr>
        <w:t> </w:t>
      </w:r>
      <w:r>
        <w:rPr/>
        <w:t>період</w:t>
      </w:r>
      <w:r>
        <w:rPr>
          <w:spacing w:val="-17"/>
        </w:rPr>
        <w:t> </w:t>
      </w:r>
      <w:r>
        <w:rPr/>
        <w:t>еструса,</w:t>
      </w:r>
      <w:r>
        <w:rPr>
          <w:spacing w:val="-18"/>
        </w:rPr>
        <w:t> </w:t>
      </w:r>
      <w:r>
        <w:rPr/>
        <w:t>підтверджує їх провідну роль в процесах відтворення, особливо</w:t>
      </w:r>
      <w:r>
        <w:rPr>
          <w:spacing w:val="-8"/>
        </w:rPr>
        <w:t> </w:t>
      </w:r>
      <w:r>
        <w:rPr/>
        <w:t>заплідненні.</w:t>
      </w:r>
    </w:p>
    <w:p>
      <w:pPr>
        <w:pStyle w:val="BodyText"/>
        <w:spacing w:before="1"/>
        <w:ind w:right="607" w:firstLine="710"/>
      </w:pPr>
      <w:r>
        <w:rPr>
          <w:b/>
        </w:rPr>
        <w:t>Висновки</w:t>
      </w:r>
      <w:r>
        <w:rPr/>
        <w:t>. Отримані результати свідчать, що в період становлення статевих циклів відбуваються істотні зміни гормонального фону в напрямку збільшення амплітуди коливань, що супроводжувалося змінами ПАГ. Збільшення кількості тироксину і естрадіолу-17β з настанням фази еструса викликало інтенсифікацію процесів пероксидації та супроводжувалося інтенсивним</w:t>
      </w:r>
      <w:r>
        <w:rPr>
          <w:spacing w:val="-12"/>
        </w:rPr>
        <w:t> </w:t>
      </w:r>
      <w:r>
        <w:rPr/>
        <w:t>використанням</w:t>
      </w:r>
      <w:r>
        <w:rPr>
          <w:spacing w:val="-10"/>
        </w:rPr>
        <w:t> </w:t>
      </w:r>
      <w:r>
        <w:rPr/>
        <w:t>низькомолекулярних</w:t>
      </w:r>
      <w:r>
        <w:rPr>
          <w:spacing w:val="-16"/>
        </w:rPr>
        <w:t> </w:t>
      </w:r>
      <w:r>
        <w:rPr/>
        <w:t>антиоксидантів</w:t>
      </w:r>
      <w:r>
        <w:rPr>
          <w:spacing w:val="-14"/>
        </w:rPr>
        <w:t> </w:t>
      </w:r>
      <w:r>
        <w:rPr/>
        <w:t>і</w:t>
      </w:r>
      <w:r>
        <w:rPr>
          <w:spacing w:val="-17"/>
        </w:rPr>
        <w:t> </w:t>
      </w:r>
      <w:r>
        <w:rPr/>
        <w:t>збільшенням виходу вітамінів А і Е в кров. Додаткове згодовування вітамінної добавки з кормом істотно впливає на формування ендокринного профілю свинок в період статевого дозрівання. Найбільші біологічні ефекти спостерігались при настанні 2-го і 3-го статевих циклів, що проявлялись у підвищеному рівні тироксину, прогестерону і естрадіолу, особливо під час настання фази еструсу. Такі зміни відбуваються на тлі сповільнення перебігу процесів пероксидації, що очевидно обумовлено істотним насиченням крові низькомолекулярними антиоксидантами, однак загальна властивість прооксидантних ензимів до генерування активних форм оксигену залишається високою в період статевого збудження. Узагальнення отриманих даних досліджень вказують про одну з особливостей репродуктивної функції свинок - поява циклічної лабільності гомеостазу, яка характеризується певними періодичними коливаннями, зумовленими зміною їх фізіологічного стану, що направлені на підтримку фізіологічної норми перебігу метаболічних процесів. Зрушення гомеостатичних констант у період еструса спрямоване на створення необхідних умов для запліднення шляхом морфо-фізіологічних змін репродуктивної</w:t>
      </w:r>
      <w:r>
        <w:rPr>
          <w:spacing w:val="-13"/>
        </w:rPr>
        <w:t> </w:t>
      </w:r>
      <w:r>
        <w:rPr/>
        <w:t>системи.</w:t>
      </w:r>
    </w:p>
    <w:p>
      <w:pPr>
        <w:pStyle w:val="BodyText"/>
        <w:spacing w:before="4"/>
        <w:ind w:right="609" w:firstLine="710"/>
      </w:pPr>
      <w:r>
        <w:rPr>
          <w:b/>
        </w:rPr>
        <w:t>Перспективи</w:t>
      </w:r>
      <w:r>
        <w:rPr>
          <w:b/>
          <w:spacing w:val="-19"/>
        </w:rPr>
        <w:t> </w:t>
      </w:r>
      <w:r>
        <w:rPr>
          <w:b/>
        </w:rPr>
        <w:t>подальших</w:t>
      </w:r>
      <w:r>
        <w:rPr>
          <w:b/>
          <w:spacing w:val="-22"/>
        </w:rPr>
        <w:t> </w:t>
      </w:r>
      <w:r>
        <w:rPr>
          <w:b/>
        </w:rPr>
        <w:t>досліджень.</w:t>
      </w:r>
      <w:r>
        <w:rPr>
          <w:b/>
          <w:spacing w:val="-10"/>
        </w:rPr>
        <w:t> </w:t>
      </w:r>
      <w:r>
        <w:rPr/>
        <w:t>Нарощування</w:t>
      </w:r>
      <w:r>
        <w:rPr>
          <w:spacing w:val="-16"/>
        </w:rPr>
        <w:t> </w:t>
      </w:r>
      <w:r>
        <w:rPr/>
        <w:t>обсягів</w:t>
      </w:r>
      <w:r>
        <w:rPr>
          <w:spacing w:val="-20"/>
        </w:rPr>
        <w:t> </w:t>
      </w:r>
      <w:r>
        <w:rPr/>
        <w:t>виробництва продукції свинарства потребує проведення подальших науково-прикладних досліджень, спрямованих на розроблення ефективних способів регуляції статевого циклу у свиноматок та спермопродукції у кнурів-плідників, на основі використання сучасних біологічно активних речовин та обладнання для штучного осіменіння.</w:t>
      </w:r>
    </w:p>
    <w:p>
      <w:pPr>
        <w:spacing w:after="0"/>
        <w:sectPr>
          <w:pgSz w:w="11910" w:h="16840"/>
          <w:pgMar w:header="713" w:footer="778" w:top="1140" w:bottom="960" w:left="940" w:right="520"/>
        </w:sectPr>
      </w:pPr>
    </w:p>
    <w:p>
      <w:pPr>
        <w:pStyle w:val="Heading1"/>
        <w:spacing w:line="319" w:lineRule="exact" w:before="96"/>
        <w:ind w:left="894"/>
      </w:pPr>
      <w:r>
        <w:rPr/>
        <w:t>ЛІТЕРАТУРА</w:t>
      </w:r>
    </w:p>
    <w:p>
      <w:pPr>
        <w:pStyle w:val="ListParagraph"/>
        <w:numPr>
          <w:ilvl w:val="0"/>
          <w:numId w:val="8"/>
        </w:numPr>
        <w:tabs>
          <w:tab w:pos="1274" w:val="left" w:leader="none"/>
        </w:tabs>
        <w:spacing w:line="240" w:lineRule="auto" w:before="0" w:after="0"/>
        <w:ind w:left="193" w:right="609" w:firstLine="710"/>
        <w:jc w:val="both"/>
        <w:rPr>
          <w:sz w:val="28"/>
        </w:rPr>
      </w:pPr>
      <w:r>
        <w:rPr>
          <w:sz w:val="28"/>
        </w:rPr>
        <w:t>Величко А.К., Соловьйов В.Б. Методы лабораторного определения общей     перекисной разрушающей     активности      ферментов растений.  </w:t>
      </w:r>
      <w:r>
        <w:rPr>
          <w:i/>
          <w:sz w:val="28"/>
        </w:rPr>
        <w:t>Весн. Пензенского гос. пед. ун-та. </w:t>
      </w:r>
      <w:r>
        <w:rPr>
          <w:sz w:val="28"/>
        </w:rPr>
        <w:t>2009. №14 (18). С.</w:t>
      </w:r>
      <w:r>
        <w:rPr>
          <w:spacing w:val="13"/>
          <w:sz w:val="28"/>
        </w:rPr>
        <w:t> </w:t>
      </w:r>
      <w:r>
        <w:rPr>
          <w:sz w:val="28"/>
        </w:rPr>
        <w:t>44-48.</w:t>
      </w:r>
    </w:p>
    <w:p>
      <w:pPr>
        <w:pStyle w:val="ListParagraph"/>
        <w:numPr>
          <w:ilvl w:val="0"/>
          <w:numId w:val="8"/>
        </w:numPr>
        <w:tabs>
          <w:tab w:pos="1231" w:val="left" w:leader="none"/>
        </w:tabs>
        <w:spacing w:line="242" w:lineRule="auto" w:before="0" w:after="0"/>
        <w:ind w:left="193" w:right="609" w:firstLine="710"/>
        <w:jc w:val="both"/>
        <w:rPr>
          <w:sz w:val="28"/>
        </w:rPr>
      </w:pPr>
      <w:r>
        <w:rPr>
          <w:sz w:val="28"/>
        </w:rPr>
        <w:t>Кісельова І.К., Майданюк А.В., Імедадзе С.П. Визначення активності ксантиноксидазної активності реакції тимуса щурів. </w:t>
      </w:r>
      <w:r>
        <w:rPr>
          <w:i/>
          <w:sz w:val="28"/>
        </w:rPr>
        <w:t>Вісник КНУ ім. Тараса </w:t>
      </w:r>
      <w:r>
        <w:rPr>
          <w:i/>
          <w:sz w:val="28"/>
        </w:rPr>
        <w:t>Шевченка. </w:t>
      </w:r>
      <w:r>
        <w:rPr>
          <w:sz w:val="28"/>
        </w:rPr>
        <w:t>2005. С.</w:t>
      </w:r>
      <w:r>
        <w:rPr>
          <w:spacing w:val="7"/>
          <w:sz w:val="28"/>
        </w:rPr>
        <w:t> </w:t>
      </w:r>
      <w:r>
        <w:rPr>
          <w:sz w:val="28"/>
        </w:rPr>
        <w:t>28.</w:t>
      </w:r>
    </w:p>
    <w:p>
      <w:pPr>
        <w:pStyle w:val="ListParagraph"/>
        <w:numPr>
          <w:ilvl w:val="0"/>
          <w:numId w:val="8"/>
        </w:numPr>
        <w:tabs>
          <w:tab w:pos="1269" w:val="left" w:leader="none"/>
        </w:tabs>
        <w:spacing w:line="240" w:lineRule="auto" w:before="0" w:after="0"/>
        <w:ind w:left="193" w:right="614" w:firstLine="710"/>
        <w:jc w:val="both"/>
        <w:rPr>
          <w:sz w:val="28"/>
        </w:rPr>
      </w:pPr>
      <w:r>
        <w:rPr>
          <w:sz w:val="28"/>
        </w:rPr>
        <w:t>Коваленко В.Ф., Шостя А.М., Усенко С.А. и др. Физиологические аспекты метаболизма в системе мать-плацента-плод свиньи. Монография. Полтава: ООО «Фирма «Техсервис». 2012. с.</w:t>
      </w:r>
      <w:r>
        <w:rPr>
          <w:spacing w:val="8"/>
          <w:sz w:val="28"/>
        </w:rPr>
        <w:t> </w:t>
      </w:r>
      <w:r>
        <w:rPr>
          <w:sz w:val="28"/>
        </w:rPr>
        <w:t>204.</w:t>
      </w:r>
    </w:p>
    <w:p>
      <w:pPr>
        <w:pStyle w:val="ListParagraph"/>
        <w:numPr>
          <w:ilvl w:val="0"/>
          <w:numId w:val="8"/>
        </w:numPr>
        <w:tabs>
          <w:tab w:pos="1317" w:val="left" w:leader="none"/>
        </w:tabs>
        <w:spacing w:line="240" w:lineRule="auto" w:before="0" w:after="0"/>
        <w:ind w:left="193" w:right="612" w:firstLine="710"/>
        <w:jc w:val="both"/>
        <w:rPr>
          <w:color w:val="221F1F"/>
          <w:sz w:val="28"/>
        </w:rPr>
      </w:pPr>
      <w:r>
        <w:rPr>
          <w:color w:val="221F1F"/>
          <w:sz w:val="28"/>
        </w:rPr>
        <w:t>Кузьменко Л.М., Усенко С.О., Шостя А.М., Стояновський В.Г., Карповський В.І., Білаш С.М. Прооксидантно-антиоксидантний гомеостаз у тканинах матки свині залежно від періодів відтворювального циклу. </w:t>
      </w:r>
      <w:r>
        <w:rPr>
          <w:i/>
          <w:color w:val="221F1F"/>
          <w:sz w:val="28"/>
        </w:rPr>
        <w:t>Світ </w:t>
      </w:r>
      <w:r>
        <w:rPr>
          <w:i/>
          <w:color w:val="221F1F"/>
          <w:sz w:val="28"/>
        </w:rPr>
        <w:t>медицини і біології. </w:t>
      </w:r>
      <w:r>
        <w:rPr>
          <w:color w:val="221F1F"/>
          <w:sz w:val="28"/>
        </w:rPr>
        <w:t>2018. № 2 (64). С.</w:t>
      </w:r>
      <w:r>
        <w:rPr>
          <w:color w:val="221F1F"/>
          <w:spacing w:val="16"/>
          <w:sz w:val="28"/>
        </w:rPr>
        <w:t> </w:t>
      </w:r>
      <w:r>
        <w:rPr>
          <w:color w:val="221F1F"/>
          <w:sz w:val="28"/>
        </w:rPr>
        <w:t>198-203.</w:t>
      </w:r>
    </w:p>
    <w:p>
      <w:pPr>
        <w:pStyle w:val="ListParagraph"/>
        <w:numPr>
          <w:ilvl w:val="0"/>
          <w:numId w:val="8"/>
        </w:numPr>
        <w:tabs>
          <w:tab w:pos="1269" w:val="left" w:leader="none"/>
        </w:tabs>
        <w:spacing w:line="240" w:lineRule="auto" w:before="0" w:after="0"/>
        <w:ind w:left="193" w:right="616" w:firstLine="710"/>
        <w:jc w:val="both"/>
        <w:rPr>
          <w:sz w:val="28"/>
        </w:rPr>
      </w:pPr>
      <w:r>
        <w:rPr>
          <w:sz w:val="28"/>
        </w:rPr>
        <w:t>Сучасні методики досліджень у свинарстві / за ред. В.П. Рибалка. Полтава, 2005. С.</w:t>
      </w:r>
      <w:r>
        <w:rPr>
          <w:spacing w:val="11"/>
          <w:sz w:val="28"/>
        </w:rPr>
        <w:t> </w:t>
      </w:r>
      <w:r>
        <w:rPr>
          <w:sz w:val="28"/>
        </w:rPr>
        <w:t>114-123.</w:t>
      </w:r>
    </w:p>
    <w:p>
      <w:pPr>
        <w:pStyle w:val="ListParagraph"/>
        <w:numPr>
          <w:ilvl w:val="0"/>
          <w:numId w:val="8"/>
        </w:numPr>
        <w:tabs>
          <w:tab w:pos="1380" w:val="left" w:leader="none"/>
        </w:tabs>
        <w:spacing w:line="240" w:lineRule="auto" w:before="0" w:after="0"/>
        <w:ind w:left="193" w:right="610" w:firstLine="710"/>
        <w:jc w:val="both"/>
        <w:rPr>
          <w:sz w:val="28"/>
        </w:rPr>
      </w:pPr>
      <w:r>
        <w:rPr>
          <w:sz w:val="28"/>
        </w:rPr>
        <w:t>Таран Е.В., Горбенко Н.І., Кондратюк Ж.А., Яременко Ф.Г. Порівняльний аналіз антиоксидантних властивостей 17β-естадіолу та його 16- ариліденпохідних в умовах in vitro. </w:t>
      </w:r>
      <w:r>
        <w:rPr>
          <w:i/>
          <w:sz w:val="28"/>
        </w:rPr>
        <w:t>Український біофармацевтичний журнал. </w:t>
      </w:r>
      <w:r>
        <w:rPr>
          <w:sz w:val="28"/>
        </w:rPr>
        <w:t>2010. № 2 (7). С.</w:t>
      </w:r>
      <w:r>
        <w:rPr>
          <w:spacing w:val="14"/>
          <w:sz w:val="28"/>
        </w:rPr>
        <w:t> </w:t>
      </w:r>
      <w:r>
        <w:rPr>
          <w:sz w:val="28"/>
        </w:rPr>
        <w:t>6-10.</w:t>
      </w:r>
    </w:p>
    <w:p>
      <w:pPr>
        <w:pStyle w:val="ListParagraph"/>
        <w:numPr>
          <w:ilvl w:val="0"/>
          <w:numId w:val="8"/>
        </w:numPr>
        <w:tabs>
          <w:tab w:pos="1284" w:val="left" w:leader="none"/>
        </w:tabs>
        <w:spacing w:line="240" w:lineRule="auto" w:before="0" w:after="0"/>
        <w:ind w:left="193" w:right="622" w:firstLine="710"/>
        <w:jc w:val="both"/>
        <w:rPr>
          <w:sz w:val="28"/>
        </w:rPr>
      </w:pPr>
      <w:r>
        <w:rPr>
          <w:sz w:val="28"/>
        </w:rPr>
        <w:t>Усенко С.О. Особливості формування гомеостазу у циклюючих та поросних. </w:t>
      </w:r>
      <w:r>
        <w:rPr>
          <w:i/>
          <w:sz w:val="28"/>
        </w:rPr>
        <w:t>Свинарство. Міжвідомчий тематичний науковий збірник</w:t>
      </w:r>
      <w:r>
        <w:rPr>
          <w:i/>
          <w:spacing w:val="-47"/>
          <w:sz w:val="28"/>
        </w:rPr>
        <w:t> </w:t>
      </w:r>
      <w:r>
        <w:rPr>
          <w:i/>
          <w:sz w:val="28"/>
        </w:rPr>
        <w:t>Інституту </w:t>
      </w:r>
      <w:r>
        <w:rPr>
          <w:i/>
          <w:sz w:val="28"/>
        </w:rPr>
        <w:t>свинарства і АПВ НААН</w:t>
      </w:r>
      <w:r>
        <w:rPr>
          <w:sz w:val="28"/>
        </w:rPr>
        <w:t>. 2019. Вип. 73. С.</w:t>
      </w:r>
      <w:r>
        <w:rPr>
          <w:spacing w:val="15"/>
          <w:sz w:val="28"/>
        </w:rPr>
        <w:t> </w:t>
      </w:r>
      <w:r>
        <w:rPr>
          <w:sz w:val="28"/>
        </w:rPr>
        <w:t>226-233.</w:t>
      </w:r>
    </w:p>
    <w:p>
      <w:pPr>
        <w:pStyle w:val="ListParagraph"/>
        <w:numPr>
          <w:ilvl w:val="0"/>
          <w:numId w:val="8"/>
        </w:numPr>
        <w:tabs>
          <w:tab w:pos="1308" w:val="left" w:leader="none"/>
        </w:tabs>
        <w:spacing w:line="240" w:lineRule="auto" w:before="0" w:after="0"/>
        <w:ind w:left="193" w:right="617" w:firstLine="710"/>
        <w:jc w:val="both"/>
        <w:rPr>
          <w:sz w:val="28"/>
        </w:rPr>
      </w:pPr>
      <w:r>
        <w:rPr>
          <w:sz w:val="28"/>
        </w:rPr>
        <w:t>Шабунин С.В. Методические положения по изучению процессов свободнорадикального окисления в системе антиоксидантной защиты организма. Воронеж, 2010. С. 36-37;</w:t>
      </w:r>
      <w:r>
        <w:rPr>
          <w:spacing w:val="13"/>
          <w:sz w:val="28"/>
        </w:rPr>
        <w:t> </w:t>
      </w:r>
      <w:r>
        <w:rPr>
          <w:sz w:val="28"/>
        </w:rPr>
        <w:t>51-52.</w:t>
      </w:r>
    </w:p>
    <w:p>
      <w:pPr>
        <w:pStyle w:val="ListParagraph"/>
        <w:numPr>
          <w:ilvl w:val="0"/>
          <w:numId w:val="8"/>
        </w:numPr>
        <w:tabs>
          <w:tab w:pos="1188" w:val="left" w:leader="none"/>
        </w:tabs>
        <w:spacing w:line="240" w:lineRule="auto" w:before="0" w:after="0"/>
        <w:ind w:left="193" w:right="612" w:firstLine="710"/>
        <w:jc w:val="both"/>
        <w:rPr>
          <w:sz w:val="28"/>
        </w:rPr>
      </w:pPr>
      <w:r>
        <w:rPr>
          <w:sz w:val="28"/>
        </w:rPr>
        <w:t>Шостя А.М., Ступарь І.І., Усенко С.О., Цибенко В.Г., Мироненко О.І., Бондаренко О.М., Чухліб Є.В. Динаміка вмісту стероїдних гормонів та інтенсивність пероксидного окиснення у свинок у період становлення статевої функції. </w:t>
      </w:r>
      <w:r>
        <w:rPr>
          <w:i/>
          <w:sz w:val="28"/>
        </w:rPr>
        <w:t>Свинарство. Міжвідомчий тематичний науковий збірник Інституту </w:t>
      </w:r>
      <w:r>
        <w:rPr>
          <w:i/>
          <w:sz w:val="28"/>
        </w:rPr>
        <w:t>свинарства і АПВ НААН. </w:t>
      </w:r>
      <w:r>
        <w:rPr>
          <w:sz w:val="28"/>
        </w:rPr>
        <w:t>2019. Вип. 72.</w:t>
      </w:r>
      <w:r>
        <w:rPr>
          <w:spacing w:val="16"/>
          <w:sz w:val="28"/>
        </w:rPr>
        <w:t> </w:t>
      </w:r>
      <w:r>
        <w:rPr>
          <w:sz w:val="28"/>
        </w:rPr>
        <w:t>С.83-93.</w:t>
      </w:r>
    </w:p>
    <w:p>
      <w:pPr>
        <w:pStyle w:val="ListParagraph"/>
        <w:numPr>
          <w:ilvl w:val="0"/>
          <w:numId w:val="8"/>
        </w:numPr>
        <w:tabs>
          <w:tab w:pos="1370" w:val="left" w:leader="none"/>
        </w:tabs>
        <w:spacing w:line="240" w:lineRule="auto" w:before="0" w:after="0"/>
        <w:ind w:left="193" w:right="610" w:firstLine="710"/>
        <w:jc w:val="both"/>
        <w:rPr>
          <w:sz w:val="24"/>
        </w:rPr>
      </w:pPr>
      <w:hyperlink r:id="rId25">
        <w:r>
          <w:rPr>
            <w:sz w:val="28"/>
          </w:rPr>
          <w:t>Brossaud J</w:t>
        </w:r>
      </w:hyperlink>
      <w:r>
        <w:rPr>
          <w:sz w:val="28"/>
        </w:rPr>
        <w:t>., </w:t>
      </w:r>
      <w:hyperlink r:id="rId26">
        <w:r>
          <w:rPr>
            <w:sz w:val="28"/>
          </w:rPr>
          <w:t>Pallet V</w:t>
        </w:r>
      </w:hyperlink>
      <w:r>
        <w:rPr>
          <w:sz w:val="28"/>
        </w:rPr>
        <w:t>., </w:t>
      </w:r>
      <w:hyperlink r:id="rId27">
        <w:r>
          <w:rPr>
            <w:sz w:val="28"/>
          </w:rPr>
          <w:t>Corcuff J.B</w:t>
        </w:r>
      </w:hyperlink>
      <w:r>
        <w:rPr>
          <w:sz w:val="28"/>
        </w:rPr>
        <w:t>. Vitamin </w:t>
      </w:r>
      <w:r>
        <w:rPr>
          <w:spacing w:val="-3"/>
          <w:sz w:val="28"/>
        </w:rPr>
        <w:t>A, </w:t>
      </w:r>
      <w:r>
        <w:rPr>
          <w:sz w:val="28"/>
        </w:rPr>
        <w:t>endocrine tissues and hormones: interplay and interactions. </w:t>
      </w:r>
      <w:hyperlink r:id="rId28">
        <w:r>
          <w:rPr>
            <w:i/>
            <w:sz w:val="28"/>
          </w:rPr>
          <w:t>Endocr Connect. </w:t>
        </w:r>
      </w:hyperlink>
      <w:r>
        <w:rPr>
          <w:sz w:val="28"/>
        </w:rPr>
        <w:t>2017. Vol. 9. № 6 (7). Р. 121- 130. doi: https://doi:</w:t>
      </w:r>
      <w:r>
        <w:rPr>
          <w:spacing w:val="-2"/>
          <w:sz w:val="28"/>
        </w:rPr>
        <w:t> </w:t>
      </w:r>
      <w:r>
        <w:rPr>
          <w:sz w:val="28"/>
        </w:rPr>
        <w:t>10.1530/EC-17-0101.</w:t>
      </w:r>
    </w:p>
    <w:p>
      <w:pPr>
        <w:pStyle w:val="ListParagraph"/>
        <w:numPr>
          <w:ilvl w:val="0"/>
          <w:numId w:val="8"/>
        </w:numPr>
        <w:tabs>
          <w:tab w:pos="1341" w:val="left" w:leader="none"/>
        </w:tabs>
        <w:spacing w:line="240" w:lineRule="auto" w:before="0" w:after="0"/>
        <w:ind w:left="193" w:right="605" w:firstLine="710"/>
        <w:jc w:val="both"/>
        <w:rPr>
          <w:sz w:val="28"/>
        </w:rPr>
      </w:pPr>
      <w:r>
        <w:rPr>
          <w:sz w:val="28"/>
        </w:rPr>
        <w:t>Mehmet S. B., Merih B., Zuhal A. </w:t>
      </w:r>
      <w:r>
        <w:rPr>
          <w:spacing w:val="-3"/>
          <w:sz w:val="28"/>
        </w:rPr>
        <w:t>K. </w:t>
      </w:r>
      <w:r>
        <w:rPr>
          <w:sz w:val="28"/>
        </w:rPr>
        <w:t>The Effects of Ascorbic Acid on the Estrogen. Progesteron Levels in the Isolated Rabbit Uterine Muscle. </w:t>
      </w:r>
      <w:hyperlink r:id="rId29">
        <w:r>
          <w:rPr>
            <w:i/>
            <w:sz w:val="28"/>
          </w:rPr>
          <w:t>Journal de</w:t>
        </w:r>
      </w:hyperlink>
      <w:hyperlink r:id="rId29">
        <w:r>
          <w:rPr>
            <w:i/>
            <w:sz w:val="28"/>
          </w:rPr>
          <w:t> </w:t>
        </w:r>
        <w:r>
          <w:rPr>
            <w:i/>
            <w:sz w:val="28"/>
          </w:rPr>
          <w:t>gynécologie et d’obstétrique cliniques</w:t>
        </w:r>
      </w:hyperlink>
      <w:r>
        <w:rPr>
          <w:i/>
          <w:sz w:val="28"/>
        </w:rPr>
        <w:t>. </w:t>
      </w:r>
      <w:r>
        <w:rPr>
          <w:sz w:val="28"/>
        </w:rPr>
        <w:t>2012. Vol. 1, № 4-5. Р. 63-66. doi:</w:t>
      </w:r>
      <w:hyperlink r:id="rId30">
        <w:r>
          <w:rPr>
            <w:color w:val="0000FF"/>
            <w:sz w:val="28"/>
            <w:u w:val="single" w:color="0000FF"/>
          </w:rPr>
          <w:t> https://doi.org/10.4021/jcgo47w</w:t>
        </w:r>
      </w:hyperlink>
    </w:p>
    <w:p>
      <w:pPr>
        <w:pStyle w:val="ListParagraph"/>
        <w:numPr>
          <w:ilvl w:val="0"/>
          <w:numId w:val="8"/>
        </w:numPr>
        <w:tabs>
          <w:tab w:pos="1356" w:val="left" w:leader="none"/>
        </w:tabs>
        <w:spacing w:line="240" w:lineRule="auto" w:before="0" w:after="0"/>
        <w:ind w:left="193" w:right="605" w:firstLine="710"/>
        <w:jc w:val="both"/>
        <w:rPr>
          <w:sz w:val="28"/>
        </w:rPr>
      </w:pPr>
      <w:r>
        <w:rPr/>
        <w:pict>
          <v:rect style="position:absolute;margin-left:272.5pt;margin-top:14.510344pt;width:3.6pt;height:.71997pt;mso-position-horizontal-relative:page;mso-position-vertical-relative:paragraph;z-index:-267167744" filled="true" fillcolor="#000000" stroked="false">
            <v:fill type="solid"/>
            <w10:wrap type="none"/>
          </v:rect>
        </w:pict>
      </w:r>
      <w:hyperlink r:id="rId31">
        <w:r>
          <w:rPr>
            <w:sz w:val="28"/>
            <w:u w:val="single"/>
          </w:rPr>
          <w:t>Рerrone S</w:t>
        </w:r>
      </w:hyperlink>
      <w:r>
        <w:rPr>
          <w:sz w:val="28"/>
        </w:rPr>
        <w:t>., T</w:t>
      </w:r>
      <w:hyperlink r:id="rId32">
        <w:r>
          <w:rPr>
            <w:sz w:val="28"/>
            <w:u w:val="single"/>
          </w:rPr>
          <w:t>ataranno</w:t>
        </w:r>
        <w:r>
          <w:rPr>
            <w:sz w:val="28"/>
          </w:rPr>
          <w:t> M.L., </w:t>
        </w:r>
      </w:hyperlink>
      <w:r>
        <w:rPr>
          <w:sz w:val="28"/>
        </w:rPr>
        <w:t>S</w:t>
      </w:r>
      <w:hyperlink r:id="rId33">
        <w:r>
          <w:rPr>
            <w:sz w:val="28"/>
            <w:u w:val="single"/>
          </w:rPr>
          <w:t>tazzoni</w:t>
        </w:r>
        <w:r>
          <w:rPr>
            <w:sz w:val="28"/>
          </w:rPr>
          <w:t> </w:t>
        </w:r>
      </w:hyperlink>
      <w:r>
        <w:rPr>
          <w:sz w:val="28"/>
        </w:rPr>
        <w:t>G.and B</w:t>
      </w:r>
      <w:hyperlink r:id="rId34">
        <w:r>
          <w:rPr>
            <w:sz w:val="28"/>
            <w:u w:val="single"/>
          </w:rPr>
          <w:t>uonocore</w:t>
        </w:r>
        <w:r>
          <w:rPr>
            <w:sz w:val="28"/>
          </w:rPr>
          <w:t> G. </w:t>
        </w:r>
      </w:hyperlink>
      <w:r>
        <w:rPr>
          <w:sz w:val="28"/>
        </w:rPr>
        <w:t>Biomarkers of oxidative stress in fetal and neonatal diseases. </w:t>
      </w:r>
      <w:r>
        <w:rPr>
          <w:i/>
          <w:sz w:val="28"/>
        </w:rPr>
        <w:t>J</w:t>
      </w:r>
      <w:hyperlink r:id="rId35">
        <w:r>
          <w:rPr>
            <w:i/>
            <w:sz w:val="28"/>
            <w:u w:val="single"/>
          </w:rPr>
          <w:t>. matern fetal neonatal med.</w:t>
        </w:r>
        <w:r>
          <w:rPr>
            <w:i/>
            <w:sz w:val="28"/>
          </w:rPr>
          <w:t> </w:t>
        </w:r>
      </w:hyperlink>
      <w:r>
        <w:rPr>
          <w:sz w:val="28"/>
        </w:rPr>
        <w:t>2012. № 25(12). Р.</w:t>
      </w:r>
      <w:r>
        <w:rPr>
          <w:spacing w:val="7"/>
          <w:sz w:val="28"/>
        </w:rPr>
        <w:t> </w:t>
      </w:r>
      <w:r>
        <w:rPr>
          <w:sz w:val="28"/>
        </w:rPr>
        <w:t>2575-2578.</w:t>
      </w:r>
    </w:p>
    <w:p>
      <w:pPr>
        <w:pStyle w:val="ListParagraph"/>
        <w:numPr>
          <w:ilvl w:val="0"/>
          <w:numId w:val="8"/>
        </w:numPr>
        <w:tabs>
          <w:tab w:pos="1413" w:val="left" w:leader="none"/>
        </w:tabs>
        <w:spacing w:line="240" w:lineRule="auto" w:before="0" w:after="0"/>
        <w:ind w:left="193" w:right="610" w:firstLine="710"/>
        <w:jc w:val="both"/>
        <w:rPr>
          <w:sz w:val="28"/>
        </w:rPr>
      </w:pPr>
      <w:r>
        <w:rPr>
          <w:sz w:val="28"/>
        </w:rPr>
        <w:t>Yin L., Ran J., Lian T., Yang C., Li S., Liu Y. Еffects of vitamin e supplementation on serum hormones and gene expression of anti-season</w:t>
      </w:r>
      <w:r>
        <w:rPr>
          <w:spacing w:val="30"/>
          <w:sz w:val="28"/>
        </w:rPr>
        <w:t> </w:t>
      </w:r>
      <w:r>
        <w:rPr>
          <w:sz w:val="28"/>
        </w:rPr>
        <w:t>breeding</w:t>
      </w:r>
    </w:p>
    <w:p>
      <w:pPr>
        <w:spacing w:after="0" w:line="240" w:lineRule="auto"/>
        <w:jc w:val="both"/>
        <w:rPr>
          <w:sz w:val="28"/>
        </w:rPr>
        <w:sectPr>
          <w:pgSz w:w="11910" w:h="16840"/>
          <w:pgMar w:header="713" w:footer="778" w:top="1140" w:bottom="960" w:left="940" w:right="520"/>
        </w:sectPr>
      </w:pPr>
    </w:p>
    <w:p>
      <w:pPr>
        <w:pStyle w:val="BodyText"/>
        <w:spacing w:before="92"/>
        <w:ind w:right="609"/>
      </w:pPr>
      <w:r>
        <w:rPr/>
        <w:t>xingguo grey geese (anser cygnoides) Braz. </w:t>
      </w:r>
      <w:r>
        <w:rPr>
          <w:i/>
        </w:rPr>
        <w:t>J. Poult. Sci. </w:t>
      </w:r>
      <w:r>
        <w:rPr/>
        <w:t>2019. vol. 21, № 4. doi.</w:t>
      </w:r>
      <w:hyperlink r:id="rId36">
        <w:r>
          <w:rPr/>
          <w:t> https://doi.org/10.1590/1806-9061-2018-0892</w:t>
        </w:r>
      </w:hyperlink>
    </w:p>
    <w:p>
      <w:pPr>
        <w:pStyle w:val="BodyText"/>
        <w:spacing w:before="6"/>
        <w:ind w:left="0"/>
        <w:jc w:val="left"/>
        <w:rPr>
          <w:sz w:val="24"/>
        </w:rPr>
      </w:pPr>
    </w:p>
    <w:p>
      <w:pPr>
        <w:pStyle w:val="Heading1"/>
        <w:ind w:left="514" w:right="811" w:firstLine="451"/>
        <w:jc w:val="left"/>
      </w:pPr>
      <w:r>
        <w:rPr/>
        <w:t>ФОРМИРОВАНИЕ ПРООКСИДАНТНО-АНТИОКСИДАНТНОГО ГОМЕОСТАЗА У СВИНОК В ПЕРИОД СТАНОВЛЕНИЯ ПОЛОВОЙ</w:t>
      </w:r>
    </w:p>
    <w:p>
      <w:pPr>
        <w:spacing w:line="319" w:lineRule="exact" w:before="0"/>
        <w:ind w:left="1014" w:right="0" w:firstLine="0"/>
        <w:jc w:val="both"/>
        <w:rPr>
          <w:b/>
          <w:sz w:val="28"/>
        </w:rPr>
      </w:pPr>
      <w:r>
        <w:rPr>
          <w:b/>
          <w:sz w:val="28"/>
        </w:rPr>
        <w:t>ФУНКЦИИ ПРИ КОРРЕКЦИИ ВИТАМИННОГО ПИТАНИЯ</w:t>
      </w:r>
    </w:p>
    <w:p>
      <w:pPr>
        <w:pStyle w:val="BodyText"/>
        <w:spacing w:line="319" w:lineRule="exact"/>
        <w:ind w:left="601"/>
      </w:pPr>
      <w:r>
        <w:rPr/>
        <w:t>Усенко С., Шостя А. ,Мироненко Е., Шаферивский Б., Бирта Г., Флока Л.</w:t>
      </w:r>
    </w:p>
    <w:p>
      <w:pPr>
        <w:spacing w:line="240" w:lineRule="auto" w:before="0"/>
        <w:ind w:left="193" w:right="614" w:firstLine="710"/>
        <w:jc w:val="both"/>
        <w:rPr>
          <w:i/>
          <w:sz w:val="28"/>
        </w:rPr>
      </w:pPr>
      <w:r>
        <w:rPr>
          <w:i/>
          <w:sz w:val="28"/>
        </w:rPr>
        <w:t>Выявлено, что в период становления половых циклов происходят </w:t>
      </w:r>
      <w:r>
        <w:rPr>
          <w:i/>
          <w:sz w:val="28"/>
        </w:rPr>
        <w:t>существенные изменения гормонального фона, сопровождающиеся изменениями прооксидантно-антиоксидантного гомеостаза в направлении ускорения процессов перекисного окисления. Дополнительное скармливания витаминов А, Е и С с существенно влияет на формирование эндокринного профиля свинок при наступлении 2-го и 3-го половых циклов, которые проявлялись в повышенном содержании эстрадиола-17β, особенно во время наступления фазы эструса.</w:t>
      </w:r>
    </w:p>
    <w:p>
      <w:pPr>
        <w:pStyle w:val="BodyText"/>
        <w:spacing w:before="3"/>
        <w:ind w:right="620"/>
      </w:pPr>
      <w:r>
        <w:rPr>
          <w:b/>
        </w:rPr>
        <w:t>Ключевые слова: </w:t>
      </w:r>
      <w:r>
        <w:rPr/>
        <w:t>свинки, половой цикл, кровь, гормоны, перекисное окисление, антиоксиданты, витаминная добавка.</w:t>
      </w:r>
    </w:p>
    <w:p>
      <w:pPr>
        <w:pStyle w:val="BodyText"/>
        <w:ind w:left="0"/>
        <w:jc w:val="left"/>
        <w:rPr>
          <w:sz w:val="30"/>
        </w:rPr>
      </w:pPr>
    </w:p>
    <w:p>
      <w:pPr>
        <w:pStyle w:val="BodyText"/>
        <w:spacing w:before="3"/>
        <w:ind w:left="0"/>
        <w:jc w:val="left"/>
        <w:rPr>
          <w:sz w:val="26"/>
        </w:rPr>
      </w:pPr>
    </w:p>
    <w:p>
      <w:pPr>
        <w:pStyle w:val="Heading1"/>
        <w:ind w:left="423" w:right="780" w:firstLine="662"/>
        <w:jc w:val="left"/>
      </w:pPr>
      <w:r>
        <w:rPr/>
        <w:t>FORMATION OF PROXIDIDANT-ANTIOXIDANT HOMEOSTASIS IN PIGS DURING THE FORMATION OF SEXUAL FUNCTION DURING</w:t>
      </w:r>
    </w:p>
    <w:p>
      <w:pPr>
        <w:spacing w:line="319" w:lineRule="exact" w:before="0"/>
        <w:ind w:left="2301" w:right="0" w:firstLine="0"/>
        <w:jc w:val="left"/>
        <w:rPr>
          <w:b/>
          <w:sz w:val="28"/>
        </w:rPr>
      </w:pPr>
      <w:r>
        <w:rPr>
          <w:b/>
          <w:sz w:val="28"/>
        </w:rPr>
        <w:t>CORRECTION OF VITAMIN NUTRITION</w:t>
      </w:r>
    </w:p>
    <w:p>
      <w:pPr>
        <w:pStyle w:val="BodyText"/>
        <w:spacing w:line="319" w:lineRule="exact"/>
        <w:ind w:left="1096"/>
      </w:pPr>
      <w:r>
        <w:rPr/>
        <w:t>Usenko S., Shostya A , Myronenko O., Shaferivskyi B. , Birta G., Floka L.</w:t>
      </w:r>
    </w:p>
    <w:p>
      <w:pPr>
        <w:spacing w:line="242" w:lineRule="auto" w:before="0"/>
        <w:ind w:left="193" w:right="605" w:firstLine="710"/>
        <w:jc w:val="both"/>
        <w:rPr>
          <w:i/>
          <w:sz w:val="28"/>
        </w:rPr>
      </w:pPr>
      <w:r>
        <w:rPr>
          <w:i/>
          <w:sz w:val="28"/>
        </w:rPr>
        <w:t>It has been found out that during the formation of sexual cycles it is occurred </w:t>
      </w:r>
      <w:r>
        <w:rPr>
          <w:i/>
          <w:sz w:val="28"/>
        </w:rPr>
        <w:t>the significant changes of hormonal background, accompanied by changes in prooxidant-antioxidant</w:t>
      </w:r>
    </w:p>
    <w:p>
      <w:pPr>
        <w:spacing w:line="240" w:lineRule="auto" w:before="0"/>
        <w:ind w:left="193" w:right="431" w:firstLine="0"/>
        <w:jc w:val="left"/>
        <w:rPr>
          <w:i/>
          <w:sz w:val="28"/>
        </w:rPr>
      </w:pPr>
      <w:r>
        <w:rPr>
          <w:i/>
          <w:sz w:val="28"/>
        </w:rPr>
        <w:t>homeostasis in the direction of accelerating the processes of peroxide oxidation. The </w:t>
      </w:r>
      <w:r>
        <w:rPr>
          <w:i/>
          <w:sz w:val="28"/>
        </w:rPr>
        <w:t>supplementary feeding of the vitamin addition with feed significantly influences on the formation of the endocrine profile of gilts during puberty. The greatest biological effects were observed during the onset of the 2nd and 3rd sexsual cycles, which were manifested in elevated levels of thyroxine, progesterone and estradiol-17β, especially during the onset of the estrus phase.</w:t>
      </w:r>
    </w:p>
    <w:p>
      <w:pPr>
        <w:tabs>
          <w:tab w:pos="1555" w:val="left" w:leader="none"/>
          <w:tab w:pos="2546" w:val="left" w:leader="none"/>
          <w:tab w:pos="3313" w:val="left" w:leader="none"/>
          <w:tab w:pos="4349" w:val="left" w:leader="none"/>
          <w:tab w:pos="5206" w:val="left" w:leader="none"/>
          <w:tab w:pos="6123" w:val="left" w:leader="none"/>
          <w:tab w:pos="7516" w:val="left" w:leader="none"/>
          <w:tab w:pos="8711" w:val="left" w:leader="none"/>
        </w:tabs>
        <w:spacing w:before="0"/>
        <w:ind w:left="193" w:right="609" w:firstLine="710"/>
        <w:jc w:val="left"/>
        <w:rPr>
          <w:i/>
          <w:sz w:val="28"/>
        </w:rPr>
      </w:pPr>
      <w:r>
        <w:rPr>
          <w:b/>
          <w:i/>
          <w:sz w:val="28"/>
        </w:rPr>
        <w:t>Key</w:t>
        <w:tab/>
        <w:t>words:</w:t>
        <w:tab/>
      </w:r>
      <w:r>
        <w:rPr>
          <w:i/>
          <w:sz w:val="28"/>
        </w:rPr>
        <w:t>gilts,</w:t>
        <w:tab/>
        <w:t>sexsual</w:t>
        <w:tab/>
        <w:t>cycle,</w:t>
        <w:tab/>
        <w:t>blood,</w:t>
        <w:tab/>
        <w:t>hormones,</w:t>
        <w:tab/>
        <w:t>peroxide</w:t>
        <w:tab/>
      </w:r>
      <w:r>
        <w:rPr>
          <w:i/>
          <w:spacing w:val="-3"/>
          <w:sz w:val="28"/>
        </w:rPr>
        <w:t>oxidation, </w:t>
      </w:r>
      <w:r>
        <w:rPr>
          <w:i/>
          <w:sz w:val="28"/>
        </w:rPr>
        <w:t>antioxidants, vitamin</w:t>
      </w:r>
      <w:r>
        <w:rPr>
          <w:i/>
          <w:spacing w:val="5"/>
          <w:sz w:val="28"/>
        </w:rPr>
        <w:t> </w:t>
      </w:r>
      <w:r>
        <w:rPr>
          <w:i/>
          <w:sz w:val="28"/>
        </w:rPr>
        <w:t>addition.</w:t>
      </w:r>
    </w:p>
    <w:p>
      <w:pPr>
        <w:spacing w:after="0"/>
        <w:jc w:val="left"/>
        <w:rPr>
          <w:sz w:val="28"/>
        </w:rPr>
        <w:sectPr>
          <w:pgSz w:w="11910" w:h="16840"/>
          <w:pgMar w:header="713" w:footer="778" w:top="1140" w:bottom="960" w:left="940" w:right="520"/>
        </w:sectPr>
      </w:pPr>
    </w:p>
    <w:p>
      <w:pPr>
        <w:pStyle w:val="Heading1"/>
        <w:tabs>
          <w:tab w:pos="5931" w:val="left" w:leader="none"/>
        </w:tabs>
        <w:spacing w:before="96"/>
        <w:ind w:right="0"/>
        <w:jc w:val="left"/>
      </w:pPr>
      <w:r>
        <w:rPr/>
        <w:t>УДК</w:t>
      </w:r>
      <w:r>
        <w:rPr>
          <w:spacing w:val="-2"/>
        </w:rPr>
        <w:t> </w:t>
      </w:r>
      <w:r>
        <w:rPr/>
        <w:t>619:616.1-084:615.322:636.8</w:t>
        <w:tab/>
        <w:t>DOI:</w:t>
      </w:r>
      <w:r>
        <w:rPr>
          <w:spacing w:val="-1"/>
        </w:rPr>
        <w:t> </w:t>
      </w:r>
      <w:r>
        <w:rPr/>
        <w:t>10.37000/abbsl.2020.96.04</w:t>
      </w:r>
    </w:p>
    <w:p>
      <w:pPr>
        <w:pStyle w:val="BodyText"/>
        <w:spacing w:before="11"/>
        <w:ind w:left="0"/>
        <w:jc w:val="left"/>
        <w:rPr>
          <w:b/>
          <w:sz w:val="27"/>
        </w:rPr>
      </w:pPr>
    </w:p>
    <w:p>
      <w:pPr>
        <w:spacing w:before="0"/>
        <w:ind w:left="380" w:right="0" w:firstLine="1090"/>
        <w:jc w:val="left"/>
        <w:rPr>
          <w:b/>
          <w:sz w:val="28"/>
        </w:rPr>
      </w:pPr>
      <w:r>
        <w:rPr>
          <w:b/>
          <w:sz w:val="28"/>
        </w:rPr>
        <w:t>ВПЛИВ ФІТОДОБАВОК «КАРДІОФІЛ» І «ФІТОХОЛ» НА БІОХІМІЧНІ ПОКАЗНИКИ КРОВІ КОТІВ ЗА УМОВ ІЗОЛЯЦІЙНОГО</w:t>
      </w:r>
    </w:p>
    <w:p>
      <w:pPr>
        <w:spacing w:before="0"/>
        <w:ind w:left="4437" w:right="0" w:firstLine="0"/>
        <w:jc w:val="left"/>
        <w:rPr>
          <w:b/>
          <w:sz w:val="28"/>
        </w:rPr>
      </w:pPr>
      <w:r>
        <w:rPr>
          <w:b/>
          <w:sz w:val="28"/>
        </w:rPr>
        <w:t>СТРЕСУ</w:t>
      </w:r>
    </w:p>
    <w:p>
      <w:pPr>
        <w:spacing w:line="319" w:lineRule="exact" w:before="4"/>
        <w:ind w:left="188" w:right="603" w:firstLine="0"/>
        <w:jc w:val="center"/>
        <w:rPr>
          <w:b/>
          <w:sz w:val="28"/>
        </w:rPr>
      </w:pPr>
      <w:r>
        <w:rPr>
          <w:b/>
          <w:sz w:val="28"/>
        </w:rPr>
        <w:t>А. Лисенко</w:t>
      </w:r>
    </w:p>
    <w:p>
      <w:pPr>
        <w:spacing w:line="319" w:lineRule="exact" w:before="0"/>
        <w:ind w:left="181" w:right="603" w:firstLine="0"/>
        <w:jc w:val="center"/>
        <w:rPr>
          <w:i/>
          <w:sz w:val="28"/>
        </w:rPr>
      </w:pPr>
      <w:r>
        <w:rPr>
          <w:i/>
          <w:sz w:val="28"/>
        </w:rPr>
        <w:t>Дніпровський державний аграрно-економічний університет</w:t>
      </w:r>
    </w:p>
    <w:p>
      <w:pPr>
        <w:pStyle w:val="BodyText"/>
        <w:ind w:left="0"/>
        <w:jc w:val="left"/>
        <w:rPr>
          <w:i/>
        </w:rPr>
      </w:pPr>
    </w:p>
    <w:p>
      <w:pPr>
        <w:spacing w:line="240" w:lineRule="auto" w:before="0"/>
        <w:ind w:left="193" w:right="607" w:firstLine="710"/>
        <w:jc w:val="both"/>
        <w:rPr>
          <w:i/>
          <w:sz w:val="28"/>
        </w:rPr>
      </w:pPr>
      <w:r>
        <w:rPr>
          <w:i/>
          <w:sz w:val="28"/>
        </w:rPr>
        <w:t>В статті наведені дані, щодо вивчення впливу фітодобавок «Кардіофіл» </w:t>
      </w:r>
      <w:r>
        <w:rPr>
          <w:i/>
          <w:sz w:val="28"/>
        </w:rPr>
        <w:t>та «Фітохол» на біохімічні показники крові котів за умов ізоляційного стресу. Встановлено, що за умов стресу у тварин з’являється стрес-реакція, яка супроводжується збільшенням серцебиття та частотою дихання, а також розвиток гіпертензії, що викликає постнавантаження на серцево-судинну систему і в подальшому призводить до змін в судинах і крові і викликає</w:t>
      </w:r>
      <w:r>
        <w:rPr>
          <w:i/>
          <w:spacing w:val="-46"/>
          <w:sz w:val="28"/>
        </w:rPr>
        <w:t> </w:t>
      </w:r>
      <w:r>
        <w:rPr>
          <w:i/>
          <w:sz w:val="28"/>
        </w:rPr>
        <w:t>серцево- судинну</w:t>
      </w:r>
      <w:r>
        <w:rPr>
          <w:i/>
          <w:spacing w:val="-17"/>
          <w:sz w:val="28"/>
        </w:rPr>
        <w:t> </w:t>
      </w:r>
      <w:r>
        <w:rPr>
          <w:i/>
          <w:sz w:val="28"/>
        </w:rPr>
        <w:t>та</w:t>
      </w:r>
      <w:r>
        <w:rPr>
          <w:i/>
          <w:spacing w:val="-16"/>
          <w:sz w:val="28"/>
        </w:rPr>
        <w:t> </w:t>
      </w:r>
      <w:r>
        <w:rPr>
          <w:i/>
          <w:sz w:val="28"/>
        </w:rPr>
        <w:t>легеневу</w:t>
      </w:r>
      <w:r>
        <w:rPr>
          <w:i/>
          <w:spacing w:val="-17"/>
          <w:sz w:val="28"/>
        </w:rPr>
        <w:t> </w:t>
      </w:r>
      <w:r>
        <w:rPr>
          <w:i/>
          <w:sz w:val="28"/>
        </w:rPr>
        <w:t>недостатність,</w:t>
      </w:r>
      <w:r>
        <w:rPr>
          <w:i/>
          <w:spacing w:val="-15"/>
          <w:sz w:val="28"/>
        </w:rPr>
        <w:t> </w:t>
      </w:r>
      <w:r>
        <w:rPr>
          <w:i/>
          <w:sz w:val="28"/>
        </w:rPr>
        <w:t>а</w:t>
      </w:r>
      <w:r>
        <w:rPr>
          <w:i/>
          <w:spacing w:val="-17"/>
          <w:sz w:val="28"/>
        </w:rPr>
        <w:t> </w:t>
      </w:r>
      <w:r>
        <w:rPr>
          <w:i/>
          <w:sz w:val="28"/>
        </w:rPr>
        <w:t>саме</w:t>
      </w:r>
      <w:r>
        <w:rPr>
          <w:i/>
          <w:spacing w:val="-17"/>
          <w:sz w:val="28"/>
        </w:rPr>
        <w:t> </w:t>
      </w:r>
      <w:r>
        <w:rPr>
          <w:i/>
          <w:sz w:val="28"/>
        </w:rPr>
        <w:t>в</w:t>
      </w:r>
      <w:r>
        <w:rPr>
          <w:i/>
          <w:spacing w:val="-18"/>
          <w:sz w:val="28"/>
        </w:rPr>
        <w:t> </w:t>
      </w:r>
      <w:r>
        <w:rPr>
          <w:i/>
          <w:sz w:val="28"/>
        </w:rPr>
        <w:t>крові</w:t>
      </w:r>
      <w:r>
        <w:rPr>
          <w:i/>
          <w:spacing w:val="-17"/>
          <w:sz w:val="28"/>
        </w:rPr>
        <w:t> </w:t>
      </w:r>
      <w:r>
        <w:rPr>
          <w:i/>
          <w:sz w:val="28"/>
        </w:rPr>
        <w:t>у</w:t>
      </w:r>
      <w:r>
        <w:rPr>
          <w:i/>
          <w:spacing w:val="-16"/>
          <w:sz w:val="28"/>
        </w:rPr>
        <w:t> </w:t>
      </w:r>
      <w:r>
        <w:rPr>
          <w:i/>
          <w:sz w:val="28"/>
        </w:rPr>
        <w:t>котів</w:t>
      </w:r>
      <w:r>
        <w:rPr>
          <w:i/>
          <w:spacing w:val="-18"/>
          <w:sz w:val="28"/>
        </w:rPr>
        <w:t> </w:t>
      </w:r>
      <w:r>
        <w:rPr>
          <w:i/>
          <w:sz w:val="28"/>
        </w:rPr>
        <w:t>визначено</w:t>
      </w:r>
      <w:r>
        <w:rPr>
          <w:i/>
          <w:spacing w:val="-17"/>
          <w:sz w:val="28"/>
        </w:rPr>
        <w:t> </w:t>
      </w:r>
      <w:r>
        <w:rPr>
          <w:i/>
          <w:sz w:val="28"/>
        </w:rPr>
        <w:t>підвищення рівня сечовини на 26%, креатиніну на 11%, загального білку на 10,5%, </w:t>
      </w:r>
      <w:r>
        <w:rPr>
          <w:i/>
          <w:spacing w:val="2"/>
          <w:sz w:val="28"/>
        </w:rPr>
        <w:t>глюкози </w:t>
      </w:r>
      <w:r>
        <w:rPr>
          <w:i/>
          <w:sz w:val="28"/>
        </w:rPr>
        <w:t>на 17,5%, ЛДГ (лактатдегідрогенази) на 11,5%, водночас знижувавлася активність ферментів АсАТ на 20%, АлАТ на 9,4%, лужної фосфотази на 9%, креатинфосфокіназа на </w:t>
      </w:r>
      <w:r>
        <w:rPr>
          <w:i/>
          <w:spacing w:val="4"/>
          <w:sz w:val="28"/>
        </w:rPr>
        <w:t>9% </w:t>
      </w:r>
      <w:r>
        <w:rPr>
          <w:i/>
          <w:sz w:val="28"/>
        </w:rPr>
        <w:t>та триглециридів на </w:t>
      </w:r>
      <w:r>
        <w:rPr>
          <w:i/>
          <w:spacing w:val="-3"/>
          <w:sz w:val="28"/>
        </w:rPr>
        <w:t>9%, </w:t>
      </w:r>
      <w:r>
        <w:rPr>
          <w:i/>
          <w:sz w:val="28"/>
        </w:rPr>
        <w:t>натрію на </w:t>
      </w:r>
      <w:r>
        <w:rPr>
          <w:i/>
          <w:spacing w:val="-4"/>
          <w:sz w:val="28"/>
        </w:rPr>
        <w:t>3%. </w:t>
      </w:r>
      <w:r>
        <w:rPr>
          <w:i/>
          <w:sz w:val="28"/>
        </w:rPr>
        <w:t>Такі зміни біохімічних показників крові пояснюються тим, що за адаптогенної дії фітодобавок</w:t>
      </w:r>
      <w:r>
        <w:rPr>
          <w:i/>
          <w:spacing w:val="-12"/>
          <w:sz w:val="28"/>
        </w:rPr>
        <w:t> </w:t>
      </w:r>
      <w:r>
        <w:rPr>
          <w:i/>
          <w:sz w:val="28"/>
        </w:rPr>
        <w:t>покращувалася</w:t>
      </w:r>
      <w:r>
        <w:rPr>
          <w:i/>
          <w:spacing w:val="-11"/>
          <w:sz w:val="28"/>
        </w:rPr>
        <w:t> </w:t>
      </w:r>
      <w:r>
        <w:rPr>
          <w:i/>
          <w:sz w:val="28"/>
        </w:rPr>
        <w:t>функція</w:t>
      </w:r>
      <w:r>
        <w:rPr>
          <w:i/>
          <w:spacing w:val="-10"/>
          <w:sz w:val="28"/>
        </w:rPr>
        <w:t> </w:t>
      </w:r>
      <w:r>
        <w:rPr>
          <w:i/>
          <w:sz w:val="28"/>
        </w:rPr>
        <w:t>печінки</w:t>
      </w:r>
      <w:r>
        <w:rPr>
          <w:i/>
          <w:spacing w:val="-7"/>
          <w:sz w:val="28"/>
        </w:rPr>
        <w:t> </w:t>
      </w:r>
      <w:r>
        <w:rPr>
          <w:i/>
          <w:sz w:val="28"/>
        </w:rPr>
        <w:t>(білоксинтетична,</w:t>
      </w:r>
      <w:r>
        <w:rPr>
          <w:i/>
          <w:spacing w:val="-9"/>
          <w:sz w:val="28"/>
        </w:rPr>
        <w:t> </w:t>
      </w:r>
      <w:r>
        <w:rPr>
          <w:i/>
          <w:sz w:val="28"/>
        </w:rPr>
        <w:t>ліполітична</w:t>
      </w:r>
      <w:r>
        <w:rPr>
          <w:i/>
          <w:spacing w:val="-11"/>
          <w:sz w:val="28"/>
        </w:rPr>
        <w:t> </w:t>
      </w:r>
      <w:r>
        <w:rPr>
          <w:i/>
          <w:sz w:val="28"/>
        </w:rPr>
        <w:t>та ін.),</w:t>
      </w:r>
      <w:r>
        <w:rPr>
          <w:i/>
          <w:spacing w:val="-11"/>
          <w:sz w:val="28"/>
        </w:rPr>
        <w:t> </w:t>
      </w:r>
      <w:r>
        <w:rPr>
          <w:i/>
          <w:sz w:val="28"/>
        </w:rPr>
        <w:t>що</w:t>
      </w:r>
      <w:r>
        <w:rPr>
          <w:i/>
          <w:spacing w:val="-12"/>
          <w:sz w:val="28"/>
        </w:rPr>
        <w:t> </w:t>
      </w:r>
      <w:r>
        <w:rPr>
          <w:i/>
          <w:sz w:val="28"/>
        </w:rPr>
        <w:t>призвело</w:t>
      </w:r>
      <w:r>
        <w:rPr>
          <w:i/>
          <w:spacing w:val="-13"/>
          <w:sz w:val="28"/>
        </w:rPr>
        <w:t> </w:t>
      </w:r>
      <w:r>
        <w:rPr>
          <w:i/>
          <w:sz w:val="28"/>
        </w:rPr>
        <w:t>до</w:t>
      </w:r>
      <w:r>
        <w:rPr>
          <w:i/>
          <w:spacing w:val="-12"/>
          <w:sz w:val="28"/>
        </w:rPr>
        <w:t> </w:t>
      </w:r>
      <w:r>
        <w:rPr>
          <w:i/>
          <w:sz w:val="28"/>
        </w:rPr>
        <w:t>поліпшення</w:t>
      </w:r>
      <w:r>
        <w:rPr>
          <w:i/>
          <w:spacing w:val="-8"/>
          <w:sz w:val="28"/>
        </w:rPr>
        <w:t> </w:t>
      </w:r>
      <w:r>
        <w:rPr>
          <w:i/>
          <w:sz w:val="28"/>
        </w:rPr>
        <w:t>ліпомобілізуючої</w:t>
      </w:r>
      <w:r>
        <w:rPr>
          <w:i/>
          <w:spacing w:val="-13"/>
          <w:sz w:val="28"/>
        </w:rPr>
        <w:t> </w:t>
      </w:r>
      <w:r>
        <w:rPr>
          <w:i/>
          <w:sz w:val="28"/>
        </w:rPr>
        <w:t>дії</w:t>
      </w:r>
      <w:r>
        <w:rPr>
          <w:i/>
          <w:spacing w:val="-14"/>
          <w:sz w:val="28"/>
        </w:rPr>
        <w:t> </w:t>
      </w:r>
      <w:r>
        <w:rPr>
          <w:i/>
          <w:sz w:val="28"/>
        </w:rPr>
        <w:t>у</w:t>
      </w:r>
      <w:r>
        <w:rPr>
          <w:i/>
          <w:spacing w:val="-11"/>
          <w:sz w:val="28"/>
        </w:rPr>
        <w:t> </w:t>
      </w:r>
      <w:r>
        <w:rPr>
          <w:i/>
          <w:sz w:val="28"/>
        </w:rPr>
        <w:t>тварин</w:t>
      </w:r>
      <w:r>
        <w:rPr>
          <w:i/>
          <w:spacing w:val="-13"/>
          <w:sz w:val="28"/>
        </w:rPr>
        <w:t> </w:t>
      </w:r>
      <w:r>
        <w:rPr>
          <w:i/>
          <w:sz w:val="28"/>
        </w:rPr>
        <w:t>дослідної</w:t>
      </w:r>
      <w:r>
        <w:rPr>
          <w:i/>
          <w:spacing w:val="-13"/>
          <w:sz w:val="28"/>
        </w:rPr>
        <w:t> </w:t>
      </w:r>
      <w:r>
        <w:rPr>
          <w:i/>
          <w:sz w:val="28"/>
        </w:rPr>
        <w:t>групи.</w:t>
      </w:r>
      <w:r>
        <w:rPr>
          <w:i/>
          <w:spacing w:val="-11"/>
          <w:sz w:val="28"/>
        </w:rPr>
        <w:t> </w:t>
      </w:r>
      <w:r>
        <w:rPr>
          <w:i/>
          <w:sz w:val="28"/>
        </w:rPr>
        <w:t>На це вказує зниження тригліцеридів та креатинфосфокінази. Це свідчить за зменшення стресової реакції тварин дослідної, а також покращення функції сечовидільної системи, зокрема нирок. Треба відмітити, що всі вищезазначені біохімічні показники крові коливались в межах фізіологічних нормативних значень.</w:t>
      </w:r>
    </w:p>
    <w:p>
      <w:pPr>
        <w:spacing w:before="0"/>
        <w:ind w:left="193" w:right="615" w:firstLine="710"/>
        <w:jc w:val="both"/>
        <w:rPr>
          <w:i/>
          <w:sz w:val="28"/>
        </w:rPr>
      </w:pPr>
      <w:r>
        <w:rPr>
          <w:b/>
          <w:i/>
          <w:sz w:val="28"/>
        </w:rPr>
        <w:t>Ключові слова: </w:t>
      </w:r>
      <w:r>
        <w:rPr>
          <w:i/>
          <w:sz w:val="28"/>
        </w:rPr>
        <w:t>фітодобавки, «Кардіофіл», «Фітохол», ізоляційний</w:t>
      </w:r>
      <w:r>
        <w:rPr>
          <w:i/>
          <w:spacing w:val="-51"/>
          <w:sz w:val="28"/>
        </w:rPr>
        <w:t> </w:t>
      </w:r>
      <w:r>
        <w:rPr>
          <w:i/>
          <w:sz w:val="28"/>
        </w:rPr>
        <w:t>стрес, </w:t>
      </w:r>
      <w:r>
        <w:rPr>
          <w:i/>
          <w:sz w:val="28"/>
        </w:rPr>
        <w:t>біохімічні показники.</w:t>
      </w:r>
    </w:p>
    <w:p>
      <w:pPr>
        <w:pStyle w:val="BodyText"/>
        <w:spacing w:before="9"/>
        <w:ind w:left="0"/>
        <w:jc w:val="left"/>
        <w:rPr>
          <w:i/>
          <w:sz w:val="27"/>
        </w:rPr>
      </w:pPr>
    </w:p>
    <w:p>
      <w:pPr>
        <w:pStyle w:val="BodyText"/>
        <w:spacing w:before="1"/>
        <w:ind w:right="611" w:firstLine="710"/>
      </w:pPr>
      <w:r>
        <w:rPr>
          <w:b/>
        </w:rPr>
        <w:t>Вступ</w:t>
      </w:r>
      <w:r>
        <w:rPr/>
        <w:t>. Стрес-реакція зачастую виникає при дії на організм тварин не тільки екстремально, но і нових факторів наволишнього середовища незалежно від причин. За впливу стресових ситуацій відповідно виникають реакції організму, частіше у тварин це проявляється підвищенням серцебиття, що призводить</w:t>
      </w:r>
      <w:r>
        <w:rPr>
          <w:spacing w:val="-21"/>
        </w:rPr>
        <w:t> </w:t>
      </w:r>
      <w:r>
        <w:rPr/>
        <w:t>до</w:t>
      </w:r>
      <w:r>
        <w:rPr>
          <w:spacing w:val="-19"/>
        </w:rPr>
        <w:t> </w:t>
      </w:r>
      <w:r>
        <w:rPr/>
        <w:t>збільшення</w:t>
      </w:r>
      <w:r>
        <w:rPr>
          <w:spacing w:val="-17"/>
        </w:rPr>
        <w:t> </w:t>
      </w:r>
      <w:r>
        <w:rPr/>
        <w:t>кровообігу</w:t>
      </w:r>
      <w:r>
        <w:rPr>
          <w:spacing w:val="-23"/>
        </w:rPr>
        <w:t> </w:t>
      </w:r>
      <w:r>
        <w:rPr/>
        <w:t>до</w:t>
      </w:r>
      <w:r>
        <w:rPr>
          <w:spacing w:val="-23"/>
        </w:rPr>
        <w:t> </w:t>
      </w:r>
      <w:r>
        <w:rPr/>
        <w:t>м’язів</w:t>
      </w:r>
      <w:r>
        <w:rPr>
          <w:spacing w:val="-21"/>
        </w:rPr>
        <w:t> </w:t>
      </w:r>
      <w:r>
        <w:rPr/>
        <w:t>та</w:t>
      </w:r>
      <w:r>
        <w:rPr>
          <w:spacing w:val="-18"/>
        </w:rPr>
        <w:t> </w:t>
      </w:r>
      <w:r>
        <w:rPr/>
        <w:t>зменшення</w:t>
      </w:r>
      <w:r>
        <w:rPr>
          <w:spacing w:val="-17"/>
        </w:rPr>
        <w:t> </w:t>
      </w:r>
      <w:r>
        <w:rPr/>
        <w:t>до</w:t>
      </w:r>
      <w:r>
        <w:rPr>
          <w:spacing w:val="-23"/>
        </w:rPr>
        <w:t> </w:t>
      </w:r>
      <w:r>
        <w:rPr/>
        <w:t>травного</w:t>
      </w:r>
      <w:r>
        <w:rPr>
          <w:spacing w:val="-19"/>
        </w:rPr>
        <w:t> </w:t>
      </w:r>
      <w:r>
        <w:rPr/>
        <w:t>тракту. Водночас наднирники виділяють гормон адреналін, який стимулює вихід глюкози</w:t>
      </w:r>
      <w:r>
        <w:rPr>
          <w:spacing w:val="-2"/>
        </w:rPr>
        <w:t> </w:t>
      </w:r>
      <w:r>
        <w:rPr/>
        <w:t>в</w:t>
      </w:r>
      <w:r>
        <w:rPr>
          <w:spacing w:val="-7"/>
        </w:rPr>
        <w:t> </w:t>
      </w:r>
      <w:r>
        <w:rPr/>
        <w:t>кров</w:t>
      </w:r>
      <w:r>
        <w:rPr>
          <w:spacing w:val="-3"/>
        </w:rPr>
        <w:t> із</w:t>
      </w:r>
      <w:r>
        <w:rPr>
          <w:spacing w:val="-6"/>
        </w:rPr>
        <w:t> </w:t>
      </w:r>
      <w:r>
        <w:rPr/>
        <w:t>запасів</w:t>
      </w:r>
      <w:r>
        <w:rPr>
          <w:spacing w:val="-9"/>
        </w:rPr>
        <w:t> </w:t>
      </w:r>
      <w:r>
        <w:rPr/>
        <w:t>глікогену</w:t>
      </w:r>
      <w:r>
        <w:rPr>
          <w:spacing w:val="-7"/>
        </w:rPr>
        <w:t> </w:t>
      </w:r>
      <w:r>
        <w:rPr/>
        <w:t>в</w:t>
      </w:r>
      <w:r>
        <w:rPr>
          <w:spacing w:val="-8"/>
        </w:rPr>
        <w:t> </w:t>
      </w:r>
      <w:r>
        <w:rPr/>
        <w:t>м’язах</w:t>
      </w:r>
      <w:r>
        <w:rPr>
          <w:spacing w:val="-10"/>
        </w:rPr>
        <w:t> </w:t>
      </w:r>
      <w:r>
        <w:rPr/>
        <w:t>та</w:t>
      </w:r>
      <w:r>
        <w:rPr>
          <w:spacing w:val="-2"/>
        </w:rPr>
        <w:t> </w:t>
      </w:r>
      <w:r>
        <w:rPr/>
        <w:t>печінки</w:t>
      </w:r>
      <w:r>
        <w:rPr>
          <w:spacing w:val="-6"/>
        </w:rPr>
        <w:t> </w:t>
      </w:r>
      <w:r>
        <w:rPr/>
        <w:t>[1-3].Глюкоза інтенсивно розщеплюється</w:t>
      </w:r>
      <w:r>
        <w:rPr>
          <w:spacing w:val="-16"/>
        </w:rPr>
        <w:t> </w:t>
      </w:r>
      <w:r>
        <w:rPr/>
        <w:t>в</w:t>
      </w:r>
      <w:r>
        <w:rPr>
          <w:spacing w:val="-20"/>
        </w:rPr>
        <w:t> </w:t>
      </w:r>
      <w:r>
        <w:rPr/>
        <w:t>м’язових</w:t>
      </w:r>
      <w:r>
        <w:rPr>
          <w:spacing w:val="-22"/>
        </w:rPr>
        <w:t> </w:t>
      </w:r>
      <w:r>
        <w:rPr/>
        <w:t>клітинах</w:t>
      </w:r>
      <w:r>
        <w:rPr>
          <w:spacing w:val="-23"/>
        </w:rPr>
        <w:t> </w:t>
      </w:r>
      <w:r>
        <w:rPr/>
        <w:t>з</w:t>
      </w:r>
      <w:r>
        <w:rPr>
          <w:spacing w:val="-17"/>
        </w:rPr>
        <w:t> </w:t>
      </w:r>
      <w:r>
        <w:rPr/>
        <w:t>утворенням</w:t>
      </w:r>
      <w:r>
        <w:rPr>
          <w:spacing w:val="-17"/>
        </w:rPr>
        <w:t> </w:t>
      </w:r>
      <w:r>
        <w:rPr/>
        <w:t>значної</w:t>
      </w:r>
      <w:r>
        <w:rPr>
          <w:spacing w:val="-23"/>
        </w:rPr>
        <w:t> </w:t>
      </w:r>
      <w:r>
        <w:rPr/>
        <w:t>кількості</w:t>
      </w:r>
      <w:r>
        <w:rPr>
          <w:spacing w:val="-22"/>
        </w:rPr>
        <w:t> </w:t>
      </w:r>
      <w:r>
        <w:rPr/>
        <w:t>енергії.</w:t>
      </w:r>
      <w:r>
        <w:rPr>
          <w:spacing w:val="-16"/>
        </w:rPr>
        <w:t> </w:t>
      </w:r>
      <w:r>
        <w:rPr/>
        <w:t>Після виникнення стресу, запаси енергії в організмі відповідно зменшуються, тому рівень глюкози в крові знижується і організм починає відчувати почуття енергетичного голоду, це в подальшому призводить до збудження парасимпатичного відділу вегетативної нервової системи, завданням якої полягає у відновленні та збереженні енергетичних ресурсів. Ганс Сельє підкреслював, що при дії стресів на організм на це відповідає</w:t>
      </w:r>
      <w:r>
        <w:rPr>
          <w:spacing w:val="37"/>
        </w:rPr>
        <w:t> </w:t>
      </w:r>
      <w:r>
        <w:rPr/>
        <w:t>стереотипною</w:t>
      </w:r>
    </w:p>
    <w:p>
      <w:pPr>
        <w:spacing w:after="0"/>
        <w:sectPr>
          <w:pgSz w:w="11910" w:h="16840"/>
          <w:pgMar w:header="713" w:footer="778" w:top="1140" w:bottom="960" w:left="940" w:right="520"/>
        </w:sectPr>
      </w:pPr>
    </w:p>
    <w:p>
      <w:pPr>
        <w:pStyle w:val="BodyText"/>
        <w:spacing w:before="92"/>
        <w:ind w:right="601"/>
      </w:pPr>
      <w:r>
        <w:rPr/>
        <w:t>формою біохімічних, функціональних і структурних змін адаптації, тобто проявом неспецифічним реакціям захисту; збільшенням артериального тиску та пульсу і відповідно в крові вмісту кортикостероїдних гормонів, іноді можливо незначний лейкоцитоз, це пояснюється напруженням адаптивних механізмів захисту організму [4,5,8].Ряд авторів свідчать про те, що стрес-рекція спочатку призводить спочатку до активації гіпоталамо-гіпофізарно-наднирникової системи і відповідно викиду гормону кортизолу та катехоламінів, що в подальшому викликає різке посилення продукції активних форм кисню і активації процесів перекисного окислення ліпідів (ПОЛ) [7-11,13]. </w:t>
      </w:r>
      <w:r>
        <w:rPr>
          <w:spacing w:val="-4"/>
        </w:rPr>
        <w:t>Шкідлива </w:t>
      </w:r>
      <w:r>
        <w:rPr>
          <w:spacing w:val="-3"/>
        </w:rPr>
        <w:t>дія </w:t>
      </w:r>
      <w:r>
        <w:rPr>
          <w:spacing w:val="-4"/>
        </w:rPr>
        <w:t>адреналіну </w:t>
      </w:r>
      <w:r>
        <w:rPr>
          <w:spacing w:val="-3"/>
        </w:rPr>
        <w:t>на стан </w:t>
      </w:r>
      <w:r>
        <w:rPr>
          <w:spacing w:val="-4"/>
        </w:rPr>
        <w:t>серцевого </w:t>
      </w:r>
      <w:r>
        <w:rPr>
          <w:spacing w:val="-3"/>
        </w:rPr>
        <w:t>м’яза </w:t>
      </w:r>
      <w:r>
        <w:rPr>
          <w:spacing w:val="-4"/>
        </w:rPr>
        <w:t>пов’язана </w:t>
      </w:r>
      <w:r>
        <w:rPr/>
        <w:t>з </w:t>
      </w:r>
      <w:r>
        <w:rPr>
          <w:spacing w:val="-4"/>
        </w:rPr>
        <w:t>активацією процесів перекисного </w:t>
      </w:r>
      <w:r>
        <w:rPr>
          <w:spacing w:val="-5"/>
        </w:rPr>
        <w:t>окиснення </w:t>
      </w:r>
      <w:r>
        <w:rPr>
          <w:spacing w:val="-4"/>
        </w:rPr>
        <w:t>ліпідів (ПОЛ), підвищенням концентрації іонів кальцію та пригнченням захисних сил організму. Антиоксиданти знижують шкідливий </w:t>
      </w:r>
      <w:r>
        <w:rPr>
          <w:spacing w:val="-3"/>
        </w:rPr>
        <w:t>ефект стресу на </w:t>
      </w:r>
      <w:r>
        <w:rPr>
          <w:spacing w:val="-4"/>
        </w:rPr>
        <w:t>клітини</w:t>
      </w:r>
      <w:r>
        <w:rPr>
          <w:spacing w:val="-12"/>
        </w:rPr>
        <w:t> </w:t>
      </w:r>
      <w:r>
        <w:rPr>
          <w:spacing w:val="-4"/>
        </w:rPr>
        <w:t>[9-15].</w:t>
      </w:r>
      <w:r>
        <w:rPr>
          <w:spacing w:val="-9"/>
        </w:rPr>
        <w:t> </w:t>
      </w:r>
      <w:r>
        <w:rPr>
          <w:spacing w:val="-3"/>
        </w:rPr>
        <w:t>Наші</w:t>
      </w:r>
      <w:r>
        <w:rPr>
          <w:spacing w:val="-17"/>
        </w:rPr>
        <w:t> </w:t>
      </w:r>
      <w:r>
        <w:rPr/>
        <w:t>дані</w:t>
      </w:r>
      <w:r>
        <w:rPr>
          <w:spacing w:val="-17"/>
        </w:rPr>
        <w:t> </w:t>
      </w:r>
      <w:r>
        <w:rPr>
          <w:spacing w:val="-4"/>
        </w:rPr>
        <w:t>досліджень</w:t>
      </w:r>
      <w:r>
        <w:rPr>
          <w:spacing w:val="-14"/>
        </w:rPr>
        <w:t> </w:t>
      </w:r>
      <w:r>
        <w:rPr>
          <w:spacing w:val="-4"/>
        </w:rPr>
        <w:t>співпадають</w:t>
      </w:r>
      <w:r>
        <w:rPr>
          <w:spacing w:val="-13"/>
        </w:rPr>
        <w:t> </w:t>
      </w:r>
      <w:r>
        <w:rPr/>
        <w:t>з</w:t>
      </w:r>
      <w:r>
        <w:rPr>
          <w:spacing w:val="-11"/>
        </w:rPr>
        <w:t> </w:t>
      </w:r>
      <w:r>
        <w:rPr>
          <w:spacing w:val="-4"/>
        </w:rPr>
        <w:t>авторами</w:t>
      </w:r>
      <w:r>
        <w:rPr>
          <w:spacing w:val="-11"/>
        </w:rPr>
        <w:t> </w:t>
      </w:r>
      <w:r>
        <w:rPr>
          <w:spacing w:val="-4"/>
        </w:rPr>
        <w:t>[6-10].</w:t>
      </w:r>
      <w:r>
        <w:rPr>
          <w:spacing w:val="-10"/>
        </w:rPr>
        <w:t> </w:t>
      </w:r>
      <w:r>
        <w:rPr>
          <w:spacing w:val="-4"/>
        </w:rPr>
        <w:t>Використання Гуміліду запобігає негативним </w:t>
      </w:r>
      <w:r>
        <w:rPr>
          <w:spacing w:val="-5"/>
        </w:rPr>
        <w:t>змінам </w:t>
      </w:r>
      <w:r>
        <w:rPr>
          <w:spacing w:val="-4"/>
        </w:rPr>
        <w:t>умісту гемоглобіну, кількості еритроцитів, гематокритного </w:t>
      </w:r>
      <w:r>
        <w:rPr>
          <w:spacing w:val="-5"/>
        </w:rPr>
        <w:t>числа </w:t>
      </w:r>
      <w:r>
        <w:rPr>
          <w:spacing w:val="-4"/>
        </w:rPr>
        <w:t>та еритроцитарних індексів (середній </w:t>
      </w:r>
      <w:r>
        <w:rPr>
          <w:spacing w:val="-3"/>
        </w:rPr>
        <w:t>об’єм </w:t>
      </w:r>
      <w:r>
        <w:rPr>
          <w:spacing w:val="-4"/>
        </w:rPr>
        <w:t>еритроцитів,</w:t>
      </w:r>
      <w:r>
        <w:rPr>
          <w:spacing w:val="62"/>
        </w:rPr>
        <w:t> </w:t>
      </w:r>
      <w:r>
        <w:rPr>
          <w:spacing w:val="-4"/>
        </w:rPr>
        <w:t>середній корпускулярний об’єм, середній </w:t>
      </w:r>
      <w:r>
        <w:rPr>
          <w:spacing w:val="-3"/>
        </w:rPr>
        <w:t>уміст гемоглобіну </w:t>
      </w:r>
      <w:r>
        <w:rPr/>
        <w:t>в </w:t>
      </w:r>
      <w:r>
        <w:rPr>
          <w:spacing w:val="-4"/>
        </w:rPr>
        <w:t>еритроциті) </w:t>
      </w:r>
      <w:r>
        <w:rPr/>
        <w:t>у щурів </w:t>
      </w:r>
      <w:r>
        <w:rPr>
          <w:spacing w:val="-3"/>
        </w:rPr>
        <w:t>за </w:t>
      </w:r>
      <w:r>
        <w:rPr>
          <w:spacing w:val="-4"/>
        </w:rPr>
        <w:t>впливу  водно-іммобілізаційного</w:t>
      </w:r>
      <w:r>
        <w:rPr>
          <w:spacing w:val="62"/>
        </w:rPr>
        <w:t> </w:t>
      </w:r>
      <w:r>
        <w:rPr>
          <w:spacing w:val="-4"/>
        </w:rPr>
        <w:t>комбінованого</w:t>
      </w:r>
      <w:r>
        <w:rPr>
          <w:spacing w:val="62"/>
        </w:rPr>
        <w:t> </w:t>
      </w:r>
      <w:r>
        <w:rPr>
          <w:spacing w:val="-4"/>
        </w:rPr>
        <w:t>стресу. Зниження рівня продуктів перекисного окиснення ліпідів </w:t>
      </w:r>
      <w:r>
        <w:rPr/>
        <w:t>і </w:t>
      </w:r>
      <w:r>
        <w:rPr>
          <w:spacing w:val="-3"/>
        </w:rPr>
        <w:t>активності </w:t>
      </w:r>
      <w:r>
        <w:rPr>
          <w:spacing w:val="-4"/>
        </w:rPr>
        <w:t>ензимів </w:t>
      </w:r>
      <w:r>
        <w:rPr>
          <w:spacing w:val="-3"/>
        </w:rPr>
        <w:t>антиоксидантної </w:t>
      </w:r>
      <w:r>
        <w:rPr>
          <w:spacing w:val="-4"/>
        </w:rPr>
        <w:t>системи </w:t>
      </w:r>
      <w:r>
        <w:rPr/>
        <w:t>в </w:t>
      </w:r>
      <w:r>
        <w:rPr>
          <w:spacing w:val="-4"/>
        </w:rPr>
        <w:t>еритроцитах проявляється зростанням активності глутатіонпероксидази, лутатіонредуктазисупероксидисмутази,</w:t>
      </w:r>
      <w:r>
        <w:rPr>
          <w:spacing w:val="-15"/>
        </w:rPr>
        <w:t> </w:t>
      </w:r>
      <w:r>
        <w:rPr/>
        <w:t>а</w:t>
      </w:r>
      <w:r>
        <w:rPr>
          <w:spacing w:val="-24"/>
        </w:rPr>
        <w:t> </w:t>
      </w:r>
      <w:r>
        <w:rPr>
          <w:spacing w:val="-4"/>
        </w:rPr>
        <w:t>також</w:t>
      </w:r>
      <w:r>
        <w:rPr>
          <w:spacing w:val="-20"/>
        </w:rPr>
        <w:t> </w:t>
      </w:r>
      <w:r>
        <w:rPr>
          <w:spacing w:val="-4"/>
        </w:rPr>
        <w:t>каталази</w:t>
      </w:r>
      <w:r>
        <w:rPr>
          <w:spacing w:val="-20"/>
        </w:rPr>
        <w:t> </w:t>
      </w:r>
      <w:r>
        <w:rPr/>
        <w:t>у</w:t>
      </w:r>
      <w:r>
        <w:rPr>
          <w:spacing w:val="-24"/>
        </w:rPr>
        <w:t> </w:t>
      </w:r>
      <w:r>
        <w:rPr>
          <w:spacing w:val="-4"/>
        </w:rPr>
        <w:t>плазмі</w:t>
      </w:r>
      <w:r>
        <w:rPr>
          <w:spacing w:val="-21"/>
        </w:rPr>
        <w:t> </w:t>
      </w:r>
      <w:r>
        <w:rPr>
          <w:spacing w:val="-3"/>
        </w:rPr>
        <w:t>крові</w:t>
      </w:r>
      <w:r>
        <w:rPr>
          <w:spacing w:val="-25"/>
        </w:rPr>
        <w:t> </w:t>
      </w:r>
      <w:r>
        <w:rPr>
          <w:spacing w:val="-4"/>
        </w:rPr>
        <w:t>та</w:t>
      </w:r>
      <w:r>
        <w:rPr>
          <w:spacing w:val="-15"/>
        </w:rPr>
        <w:t> </w:t>
      </w:r>
      <w:r>
        <w:rPr/>
        <w:t>у</w:t>
      </w:r>
      <w:r>
        <w:rPr>
          <w:spacing w:val="-24"/>
        </w:rPr>
        <w:t> </w:t>
      </w:r>
      <w:r>
        <w:rPr>
          <w:spacing w:val="-3"/>
        </w:rPr>
        <w:t>фракції </w:t>
      </w:r>
      <w:r>
        <w:rPr>
          <w:spacing w:val="-4"/>
        </w:rPr>
        <w:t>розчинних </w:t>
      </w:r>
      <w:r>
        <w:rPr>
          <w:spacing w:val="-3"/>
        </w:rPr>
        <w:t>білків </w:t>
      </w:r>
      <w:r>
        <w:rPr>
          <w:spacing w:val="-4"/>
        </w:rPr>
        <w:t>серцевого </w:t>
      </w:r>
      <w:r>
        <w:rPr>
          <w:spacing w:val="-3"/>
        </w:rPr>
        <w:t>м’язу.На </w:t>
      </w:r>
      <w:r>
        <w:rPr/>
        <w:t>теперішній час проблема, яка повязана </w:t>
      </w:r>
      <w:r>
        <w:rPr>
          <w:spacing w:val="2"/>
        </w:rPr>
        <w:t>зі </w:t>
      </w:r>
      <w:r>
        <w:rPr/>
        <w:t>стресами людини та тварини є актуальною. Регулючи та корегуючи утримання і годівлю тварини та застосовуючи різні адаптагени, можно </w:t>
      </w:r>
      <w:r>
        <w:rPr>
          <w:spacing w:val="2"/>
        </w:rPr>
        <w:t>стреси </w:t>
      </w:r>
      <w:r>
        <w:rPr/>
        <w:t>профілактувати. До таких адаптогенів і відносяться фітодобавки «Кардіофіл»</w:t>
      </w:r>
      <w:r>
        <w:rPr>
          <w:spacing w:val="-28"/>
        </w:rPr>
        <w:t> </w:t>
      </w:r>
      <w:r>
        <w:rPr/>
        <w:t>та</w:t>
      </w:r>
    </w:p>
    <w:p>
      <w:pPr>
        <w:pStyle w:val="BodyText"/>
        <w:spacing w:before="2"/>
        <w:ind w:right="626"/>
      </w:pPr>
      <w:r>
        <w:rPr/>
        <w:t>«Фітохол». Це кормові добавки до складу яких входять лікарські рослини а також ряд біологічно активних речовин макро- і мікроелементів та вітамінів.</w:t>
      </w:r>
    </w:p>
    <w:p>
      <w:pPr>
        <w:pStyle w:val="BodyText"/>
        <w:ind w:right="619" w:firstLine="710"/>
      </w:pPr>
      <w:r>
        <w:rPr>
          <w:b/>
        </w:rPr>
        <w:t>Мета роботи </w:t>
      </w:r>
      <w:r>
        <w:rPr>
          <w:i/>
        </w:rPr>
        <w:t>– </w:t>
      </w:r>
      <w:r>
        <w:rPr/>
        <w:t>вивчити вплив фітодобавок «кардіофіл» і «фітохол» на біохімічні показники крові котів за умов ізоляційного стресу.</w:t>
      </w:r>
    </w:p>
    <w:p>
      <w:pPr>
        <w:spacing w:line="321" w:lineRule="exact" w:before="0"/>
        <w:ind w:left="903" w:right="0" w:firstLine="0"/>
        <w:jc w:val="both"/>
        <w:rPr>
          <w:sz w:val="28"/>
        </w:rPr>
      </w:pPr>
      <w:r>
        <w:rPr>
          <w:b/>
          <w:sz w:val="28"/>
        </w:rPr>
        <w:t>Матеріал і методика досліджень. </w:t>
      </w:r>
      <w:r>
        <w:rPr>
          <w:sz w:val="28"/>
        </w:rPr>
        <w:t>Експерименти проводили відповідно</w:t>
      </w:r>
      <w:r>
        <w:rPr>
          <w:spacing w:val="38"/>
          <w:sz w:val="28"/>
        </w:rPr>
        <w:t> </w:t>
      </w:r>
      <w:r>
        <w:rPr>
          <w:sz w:val="28"/>
        </w:rPr>
        <w:t>з</w:t>
      </w:r>
    </w:p>
    <w:p>
      <w:pPr>
        <w:pStyle w:val="BodyText"/>
        <w:ind w:right="610"/>
      </w:pPr>
      <w:r>
        <w:rPr/>
        <w:t>«Загальними принципами роботи на тваринах», схваленими V Національним конгресом з біоетики (Київ, 2013) та схваленими з положеннями «Європейської конвенції про захист хребетних тварин, що використовуються в експерименті та інших наукових статей» (Страсбург, 1986).Дослідження препаратів проводили в умовах ветеринарної клініки «Чотири Лапи» м.Покровська Донецької області.Дію препарату «Кардіофіл», вивчали за умовах ізоляційного стресу, для чого проводили експеримент на котах і визначали загальний стан тварин та функціональні показники серцево – судинної системи. Застосовували варіант іммобілізації, що обмежував можливість рухової активності тварин, але не перешкоджав рухам голови, хвоста, дозволяв переступати лапами, тільки виключав свободу переміщення. Перед початком експерименту тварин витримували</w:t>
      </w:r>
      <w:r>
        <w:rPr>
          <w:spacing w:val="-12"/>
        </w:rPr>
        <w:t> </w:t>
      </w:r>
      <w:r>
        <w:rPr/>
        <w:t>на</w:t>
      </w:r>
      <w:r>
        <w:rPr>
          <w:spacing w:val="-16"/>
        </w:rPr>
        <w:t> </w:t>
      </w:r>
      <w:r>
        <w:rPr/>
        <w:t>карантині;</w:t>
      </w:r>
      <w:r>
        <w:rPr>
          <w:spacing w:val="-12"/>
        </w:rPr>
        <w:t> </w:t>
      </w:r>
      <w:r>
        <w:rPr/>
        <w:t>в</w:t>
      </w:r>
      <w:r>
        <w:rPr>
          <w:spacing w:val="-18"/>
        </w:rPr>
        <w:t> </w:t>
      </w:r>
      <w:r>
        <w:rPr/>
        <w:t>дослід</w:t>
      </w:r>
      <w:r>
        <w:rPr>
          <w:spacing w:val="-15"/>
        </w:rPr>
        <w:t> </w:t>
      </w:r>
      <w:r>
        <w:rPr/>
        <w:t>брали</w:t>
      </w:r>
      <w:r>
        <w:rPr>
          <w:spacing w:val="-16"/>
        </w:rPr>
        <w:t> </w:t>
      </w:r>
      <w:r>
        <w:rPr/>
        <w:t>здорових</w:t>
      </w:r>
      <w:r>
        <w:rPr>
          <w:spacing w:val="-17"/>
        </w:rPr>
        <w:t> </w:t>
      </w:r>
      <w:r>
        <w:rPr/>
        <w:t>котів,</w:t>
      </w:r>
      <w:r>
        <w:rPr>
          <w:spacing w:val="-14"/>
        </w:rPr>
        <w:t> </w:t>
      </w:r>
      <w:r>
        <w:rPr/>
        <w:t>які</w:t>
      </w:r>
      <w:r>
        <w:rPr>
          <w:spacing w:val="-21"/>
        </w:rPr>
        <w:t> </w:t>
      </w:r>
      <w:r>
        <w:rPr/>
        <w:t>добре</w:t>
      </w:r>
      <w:r>
        <w:rPr>
          <w:spacing w:val="-16"/>
        </w:rPr>
        <w:t> </w:t>
      </w:r>
      <w:r>
        <w:rPr/>
        <w:t>поїдали</w:t>
      </w:r>
      <w:r>
        <w:rPr>
          <w:spacing w:val="-11"/>
        </w:rPr>
        <w:t> </w:t>
      </w:r>
      <w:r>
        <w:rPr/>
        <w:t>корм і мали нормальну рухливу активність. Тварин з середньою масою </w:t>
      </w:r>
      <w:r>
        <w:rPr>
          <w:spacing w:val="3"/>
        </w:rPr>
        <w:t>2-3 </w:t>
      </w:r>
      <w:r>
        <w:rPr/>
        <w:t>кг, віком від 2 до 5 років було розділено на дві групи: дослідну і контрольну по п’ять тварин  у кожній.  Котам  дослідної групи  індивідуально,  внутрішньо</w:t>
      </w:r>
      <w:r>
        <w:rPr>
          <w:spacing w:val="23"/>
        </w:rPr>
        <w:t> </w:t>
      </w:r>
      <w:r>
        <w:rPr/>
        <w:t>задавали</w:t>
      </w:r>
    </w:p>
    <w:p>
      <w:pPr>
        <w:spacing w:after="0"/>
        <w:sectPr>
          <w:pgSz w:w="11910" w:h="16840"/>
          <w:pgMar w:header="713" w:footer="778" w:top="1140" w:bottom="960" w:left="940" w:right="520"/>
        </w:sectPr>
      </w:pPr>
    </w:p>
    <w:p>
      <w:pPr>
        <w:pStyle w:val="BodyText"/>
        <w:spacing w:before="92"/>
        <w:ind w:right="608"/>
      </w:pPr>
      <w:r>
        <w:rPr/>
        <w:t>«Кардіофіл» по сім крапель з невеликою кількістю води, за 30 хвилин до дачі корму, а через годину – за такоюж схемою фітодобавку «Фітохол», а котам контрольної групи внутрішньо задавали індивідуально за такою ж схемою по 7 крапель чистої кип’яченої охолодженої води до температури 37</w:t>
      </w:r>
      <w:r>
        <w:rPr>
          <w:color w:val="535353"/>
        </w:rPr>
        <w:t>°</w:t>
      </w:r>
      <w:r>
        <w:rPr/>
        <w:t>C протягом 30 діб. Тварини знаходились в однакових умовах годівлі та утримання. Тривалість спостереження 1 місяць. Для оцінки функціонування систем організму проводили забір крові на наступні біохімічні показники: рівень сечовини, креатиніну, вміст глюкози, загального білка, активність ферментів АЛаТ, АСаТ, загального білірубіну, лужної фосфатази, лактатдегідрогенази, креатинфосфокінази, рівню тригліцеридів, калію, натрію, кальцію.Аналіз крові на біохімічні показники проводили за допомогою напівавтоматичного біохімічного аналізатора Stat Fax 1904+. Відбір проб крові у кішок проводили натщесерце, з поверхневої вени передпліччя, з усіма правилами асептики і антисептики, у вакумні пробірки Vacummed з активатором згортання, в об'ємі 6 мл. Кров центрифугували для отримання сироватки за допомогою лабораторної центрифуги MICROmed CM – 3. Для визначення показників використовували набори реагентів СпайнЛаб м.Харків, (Україна). Усі набори протестовані на контрольному матеріалі Randox HUM ASY Control 2.3 (Великобританія) згідно системи контролю якості ТОВ СПАЙНЛАБ. Відповідає ТУ У 24.4 – 36035842 – 001:2009. Рівень лактатдегідрогенази, креатинфосфокінази, тригліцеридів, калію, натрію визначали в умовах лабораторії ветеринарної медицини.</w:t>
      </w:r>
    </w:p>
    <w:p>
      <w:pPr>
        <w:pStyle w:val="BodyText"/>
        <w:spacing w:before="3"/>
        <w:ind w:right="607" w:firstLine="710"/>
      </w:pPr>
      <w:r>
        <w:rPr>
          <w:b/>
        </w:rPr>
        <w:t>Результати й обговорення. </w:t>
      </w:r>
      <w:r>
        <w:rPr/>
        <w:t>Визначено, що протягом усього періоду спостережень</w:t>
      </w:r>
      <w:r>
        <w:rPr>
          <w:spacing w:val="-7"/>
        </w:rPr>
        <w:t> </w:t>
      </w:r>
      <w:r>
        <w:rPr/>
        <w:t>у</w:t>
      </w:r>
      <w:r>
        <w:rPr>
          <w:spacing w:val="-8"/>
        </w:rPr>
        <w:t> </w:t>
      </w:r>
      <w:r>
        <w:rPr/>
        <w:t>тварин</w:t>
      </w:r>
      <w:r>
        <w:rPr>
          <w:spacing w:val="-5"/>
        </w:rPr>
        <w:t> </w:t>
      </w:r>
      <w:r>
        <w:rPr/>
        <w:t>контрольної</w:t>
      </w:r>
      <w:r>
        <w:rPr>
          <w:spacing w:val="-5"/>
        </w:rPr>
        <w:t> </w:t>
      </w:r>
      <w:r>
        <w:rPr/>
        <w:t>і</w:t>
      </w:r>
      <w:r>
        <w:rPr>
          <w:spacing w:val="-9"/>
        </w:rPr>
        <w:t> </w:t>
      </w:r>
      <w:r>
        <w:rPr/>
        <w:t>дослідної</w:t>
      </w:r>
      <w:r>
        <w:rPr>
          <w:spacing w:val="-9"/>
        </w:rPr>
        <w:t> </w:t>
      </w:r>
      <w:r>
        <w:rPr/>
        <w:t>груп</w:t>
      </w:r>
      <w:r>
        <w:rPr>
          <w:spacing w:val="-5"/>
        </w:rPr>
        <w:t> </w:t>
      </w:r>
      <w:r>
        <w:rPr/>
        <w:t>не</w:t>
      </w:r>
      <w:r>
        <w:rPr>
          <w:spacing w:val="-3"/>
        </w:rPr>
        <w:t> </w:t>
      </w:r>
      <w:r>
        <w:rPr/>
        <w:t>було</w:t>
      </w:r>
      <w:r>
        <w:rPr>
          <w:spacing w:val="-4"/>
        </w:rPr>
        <w:t> </w:t>
      </w:r>
      <w:r>
        <w:rPr/>
        <w:t>виявлено</w:t>
      </w:r>
      <w:r>
        <w:rPr>
          <w:spacing w:val="-5"/>
        </w:rPr>
        <w:t> </w:t>
      </w:r>
      <w:r>
        <w:rPr>
          <w:spacing w:val="2"/>
        </w:rPr>
        <w:t>будь-яких </w:t>
      </w:r>
      <w:r>
        <w:rPr/>
        <w:t>відхилень від норми в стані і поведінці; коти адекватно реагували на зовнішні подразники, повністю поїдали корм, шерстяний покрив залишався чистим та сухим. Загибелі тварин не було. Отримані дані наведено у таблиці</w:t>
      </w:r>
      <w:r>
        <w:rPr>
          <w:spacing w:val="-9"/>
        </w:rPr>
        <w:t> </w:t>
      </w:r>
      <w:r>
        <w:rPr/>
        <w:t>1.</w:t>
      </w:r>
    </w:p>
    <w:p>
      <w:pPr>
        <w:pStyle w:val="BodyText"/>
        <w:ind w:right="609" w:firstLine="710"/>
      </w:pPr>
      <w:r>
        <w:rPr/>
        <w:t>Аналіз</w:t>
      </w:r>
      <w:r>
        <w:rPr>
          <w:spacing w:val="-19"/>
        </w:rPr>
        <w:t> </w:t>
      </w:r>
      <w:r>
        <w:rPr/>
        <w:t>результатів</w:t>
      </w:r>
      <w:r>
        <w:rPr>
          <w:spacing w:val="-20"/>
        </w:rPr>
        <w:t> </w:t>
      </w:r>
      <w:r>
        <w:rPr/>
        <w:t>досліджень</w:t>
      </w:r>
      <w:r>
        <w:rPr>
          <w:spacing w:val="-20"/>
        </w:rPr>
        <w:t> </w:t>
      </w:r>
      <w:r>
        <w:rPr/>
        <w:t>показує,</w:t>
      </w:r>
      <w:r>
        <w:rPr>
          <w:spacing w:val="-16"/>
        </w:rPr>
        <w:t> </w:t>
      </w:r>
      <w:r>
        <w:rPr/>
        <w:t>що</w:t>
      </w:r>
      <w:r>
        <w:rPr>
          <w:spacing w:val="-18"/>
        </w:rPr>
        <w:t> </w:t>
      </w:r>
      <w:r>
        <w:rPr/>
        <w:t>у</w:t>
      </w:r>
      <w:r>
        <w:rPr>
          <w:spacing w:val="-23"/>
        </w:rPr>
        <w:t> </w:t>
      </w:r>
      <w:r>
        <w:rPr/>
        <w:t>тварин</w:t>
      </w:r>
      <w:r>
        <w:rPr>
          <w:spacing w:val="-19"/>
        </w:rPr>
        <w:t> </w:t>
      </w:r>
      <w:r>
        <w:rPr/>
        <w:t>дослідної</w:t>
      </w:r>
      <w:r>
        <w:rPr>
          <w:spacing w:val="-23"/>
        </w:rPr>
        <w:t> </w:t>
      </w:r>
      <w:r>
        <w:rPr/>
        <w:t>групи</w:t>
      </w:r>
      <w:r>
        <w:rPr>
          <w:spacing w:val="-18"/>
        </w:rPr>
        <w:t> </w:t>
      </w:r>
      <w:r>
        <w:rPr/>
        <w:t>є</w:t>
      </w:r>
      <w:r>
        <w:rPr>
          <w:spacing w:val="-18"/>
        </w:rPr>
        <w:t> </w:t>
      </w:r>
      <w:r>
        <w:rPr/>
        <w:t>деякі коливання біохімічних показників крові, але всі вони знаходились в межах фізіологічних значень, за винятком зниження тригліцеридів та креатінфосфокінази на 9% порівняно з контрольною групою (при Р &lt;0,05)., а також</w:t>
      </w:r>
      <w:r>
        <w:rPr>
          <w:spacing w:val="-13"/>
        </w:rPr>
        <w:t> </w:t>
      </w:r>
      <w:r>
        <w:rPr/>
        <w:t>зниження</w:t>
      </w:r>
      <w:r>
        <w:rPr>
          <w:spacing w:val="-12"/>
        </w:rPr>
        <w:t> </w:t>
      </w:r>
      <w:r>
        <w:rPr/>
        <w:t>ферментів</w:t>
      </w:r>
      <w:r>
        <w:rPr>
          <w:spacing w:val="-15"/>
        </w:rPr>
        <w:t> </w:t>
      </w:r>
      <w:r>
        <w:rPr/>
        <w:t>АлАТ</w:t>
      </w:r>
      <w:r>
        <w:rPr>
          <w:spacing w:val="-10"/>
        </w:rPr>
        <w:t> </w:t>
      </w:r>
      <w:r>
        <w:rPr/>
        <w:t>і</w:t>
      </w:r>
      <w:r>
        <w:rPr>
          <w:spacing w:val="-17"/>
        </w:rPr>
        <w:t> </w:t>
      </w:r>
      <w:r>
        <w:rPr/>
        <w:t>АсАТ,</w:t>
      </w:r>
      <w:r>
        <w:rPr>
          <w:spacing w:val="-11"/>
        </w:rPr>
        <w:t> </w:t>
      </w:r>
      <w:r>
        <w:rPr/>
        <w:t>лужної</w:t>
      </w:r>
      <w:r>
        <w:rPr>
          <w:spacing w:val="-17"/>
        </w:rPr>
        <w:t> </w:t>
      </w:r>
      <w:r>
        <w:rPr/>
        <w:t>фосфатази.</w:t>
      </w:r>
      <w:r>
        <w:rPr>
          <w:spacing w:val="-11"/>
        </w:rPr>
        <w:t> </w:t>
      </w:r>
      <w:r>
        <w:rPr/>
        <w:t>Ці</w:t>
      </w:r>
      <w:r>
        <w:rPr>
          <w:spacing w:val="-17"/>
        </w:rPr>
        <w:t> </w:t>
      </w:r>
      <w:r>
        <w:rPr/>
        <w:t>дані</w:t>
      </w:r>
      <w:r>
        <w:rPr>
          <w:spacing w:val="-18"/>
        </w:rPr>
        <w:t> </w:t>
      </w:r>
      <w:r>
        <w:rPr/>
        <w:t>вказують</w:t>
      </w:r>
      <w:r>
        <w:rPr>
          <w:spacing w:val="-15"/>
        </w:rPr>
        <w:t> </w:t>
      </w:r>
      <w:r>
        <w:rPr/>
        <w:t>на те, що фітодобавки сприяють покращенню ліпомобілізуючої </w:t>
      </w:r>
      <w:r>
        <w:rPr>
          <w:spacing w:val="4"/>
        </w:rPr>
        <w:t>дії </w:t>
      </w:r>
      <w:r>
        <w:rPr/>
        <w:t>печінки, а це призводить до зниження стрес реакції, тобто фітодобавки проявляють адаптогенну дію на організм</w:t>
      </w:r>
      <w:r>
        <w:rPr>
          <w:spacing w:val="-1"/>
        </w:rPr>
        <w:t> </w:t>
      </w:r>
      <w:r>
        <w:rPr/>
        <w:t>тварин.</w:t>
      </w:r>
    </w:p>
    <w:p>
      <w:pPr>
        <w:pStyle w:val="BodyText"/>
        <w:spacing w:before="1"/>
        <w:ind w:right="615" w:firstLine="710"/>
      </w:pPr>
      <w:r>
        <w:rPr/>
        <w:t>Отже за впливу стресових реакцій у тварин порушилось серцебиття, що призвело до збільшення кровообігу до м'язів та зменшення до травного тракту. Вдночас</w:t>
      </w:r>
      <w:r>
        <w:rPr>
          <w:spacing w:val="-10"/>
        </w:rPr>
        <w:t> </w:t>
      </w:r>
      <w:r>
        <w:rPr/>
        <w:t>наднирники</w:t>
      </w:r>
      <w:r>
        <w:rPr>
          <w:spacing w:val="-10"/>
        </w:rPr>
        <w:t> </w:t>
      </w:r>
      <w:r>
        <w:rPr/>
        <w:t>виділяють</w:t>
      </w:r>
      <w:r>
        <w:rPr>
          <w:spacing w:val="-13"/>
        </w:rPr>
        <w:t> </w:t>
      </w:r>
      <w:r>
        <w:rPr/>
        <w:t>адреналін,</w:t>
      </w:r>
      <w:r>
        <w:rPr>
          <w:spacing w:val="-9"/>
        </w:rPr>
        <w:t> </w:t>
      </w:r>
      <w:r>
        <w:rPr/>
        <w:t>який</w:t>
      </w:r>
      <w:r>
        <w:rPr>
          <w:spacing w:val="-11"/>
        </w:rPr>
        <w:t> </w:t>
      </w:r>
      <w:r>
        <w:rPr/>
        <w:t>стимулює</w:t>
      </w:r>
      <w:r>
        <w:rPr>
          <w:spacing w:val="-10"/>
        </w:rPr>
        <w:t> </w:t>
      </w:r>
      <w:r>
        <w:rPr/>
        <w:t>викид</w:t>
      </w:r>
      <w:r>
        <w:rPr>
          <w:spacing w:val="-8"/>
        </w:rPr>
        <w:t> </w:t>
      </w:r>
      <w:r>
        <w:rPr/>
        <w:t>глюкози</w:t>
      </w:r>
      <w:r>
        <w:rPr>
          <w:spacing w:val="-10"/>
        </w:rPr>
        <w:t> </w:t>
      </w:r>
      <w:r>
        <w:rPr/>
        <w:t>в</w:t>
      </w:r>
      <w:r>
        <w:rPr>
          <w:spacing w:val="-12"/>
        </w:rPr>
        <w:t> </w:t>
      </w:r>
      <w:r>
        <w:rPr/>
        <w:t>кров </w:t>
      </w:r>
      <w:r>
        <w:rPr>
          <w:spacing w:val="-3"/>
        </w:rPr>
        <w:t>із </w:t>
      </w:r>
      <w:r>
        <w:rPr/>
        <w:t>запасів глікогену в м'язах і печінці. Глюкоза інтенсивно розщеплюється в м'язових клітинах з утворенням великої кількості енергії. Після завершення стресової ситуації запаси енергії в організмі значно зменшуються, рівень глюкози в крові знижується, тому організм починає відчувати почуття енергетичного</w:t>
      </w:r>
      <w:r>
        <w:rPr>
          <w:spacing w:val="-21"/>
        </w:rPr>
        <w:t> </w:t>
      </w:r>
      <w:r>
        <w:rPr/>
        <w:t>голоду,</w:t>
      </w:r>
      <w:r>
        <w:rPr>
          <w:spacing w:val="-19"/>
        </w:rPr>
        <w:t> </w:t>
      </w:r>
      <w:r>
        <w:rPr/>
        <w:t>в</w:t>
      </w:r>
      <w:r>
        <w:rPr>
          <w:spacing w:val="-23"/>
        </w:rPr>
        <w:t> </w:t>
      </w:r>
      <w:r>
        <w:rPr/>
        <w:t>зв’язку</w:t>
      </w:r>
      <w:r>
        <w:rPr>
          <w:spacing w:val="-25"/>
        </w:rPr>
        <w:t> </w:t>
      </w:r>
      <w:r>
        <w:rPr/>
        <w:t>з</w:t>
      </w:r>
      <w:r>
        <w:rPr>
          <w:spacing w:val="-21"/>
        </w:rPr>
        <w:t> </w:t>
      </w:r>
      <w:r>
        <w:rPr/>
        <w:t>чим</w:t>
      </w:r>
      <w:r>
        <w:rPr>
          <w:spacing w:val="-20"/>
        </w:rPr>
        <w:t> </w:t>
      </w:r>
      <w:r>
        <w:rPr/>
        <w:t>відбувається</w:t>
      </w:r>
      <w:r>
        <w:rPr>
          <w:spacing w:val="-19"/>
        </w:rPr>
        <w:t> </w:t>
      </w:r>
      <w:r>
        <w:rPr/>
        <w:t>збудження</w:t>
      </w:r>
      <w:r>
        <w:rPr>
          <w:spacing w:val="-20"/>
        </w:rPr>
        <w:t> </w:t>
      </w:r>
      <w:r>
        <w:rPr/>
        <w:t>парасимпатичного відділу вегетативної нервової системи, завданням якого є відновлення</w:t>
      </w:r>
      <w:r>
        <w:rPr>
          <w:spacing w:val="22"/>
        </w:rPr>
        <w:t> </w:t>
      </w:r>
      <w:r>
        <w:rPr/>
        <w:t>та</w:t>
      </w:r>
    </w:p>
    <w:p>
      <w:pPr>
        <w:spacing w:after="0"/>
        <w:sectPr>
          <w:pgSz w:w="11910" w:h="16840"/>
          <w:pgMar w:header="713" w:footer="778" w:top="1140" w:bottom="960" w:left="940" w:right="520"/>
        </w:sectPr>
      </w:pPr>
    </w:p>
    <w:p>
      <w:pPr>
        <w:pStyle w:val="BodyText"/>
        <w:spacing w:before="92"/>
        <w:ind w:right="799"/>
        <w:jc w:val="left"/>
      </w:pPr>
      <w:r>
        <w:rPr/>
        <w:t>збереження енергетичних ресурсів. Його активація відбувається під час їжі, відпочинку і сну.</w:t>
      </w:r>
    </w:p>
    <w:p>
      <w:pPr>
        <w:pStyle w:val="BodyText"/>
        <w:spacing w:after="5"/>
        <w:ind w:right="620" w:firstLine="710"/>
      </w:pPr>
      <w:r>
        <w:rPr/>
        <w:t>Таблиця</w:t>
      </w:r>
      <w:r>
        <w:rPr>
          <w:spacing w:val="-13"/>
        </w:rPr>
        <w:t> </w:t>
      </w:r>
      <w:r>
        <w:rPr/>
        <w:t>1.</w:t>
      </w:r>
      <w:r>
        <w:rPr>
          <w:spacing w:val="-12"/>
        </w:rPr>
        <w:t> </w:t>
      </w:r>
      <w:r>
        <w:rPr/>
        <w:t>Біохімічні</w:t>
      </w:r>
      <w:r>
        <w:rPr>
          <w:spacing w:val="-18"/>
        </w:rPr>
        <w:t> </w:t>
      </w:r>
      <w:r>
        <w:rPr/>
        <w:t>показники</w:t>
      </w:r>
      <w:r>
        <w:rPr>
          <w:spacing w:val="-13"/>
        </w:rPr>
        <w:t> </w:t>
      </w:r>
      <w:r>
        <w:rPr/>
        <w:t>крові</w:t>
      </w:r>
      <w:r>
        <w:rPr>
          <w:spacing w:val="-18"/>
        </w:rPr>
        <w:t> </w:t>
      </w:r>
      <w:r>
        <w:rPr/>
        <w:t>кішок</w:t>
      </w:r>
      <w:r>
        <w:rPr>
          <w:spacing w:val="-15"/>
        </w:rPr>
        <w:t> </w:t>
      </w:r>
      <w:r>
        <w:rPr/>
        <w:t>контрольної</w:t>
      </w:r>
      <w:r>
        <w:rPr>
          <w:spacing w:val="-18"/>
        </w:rPr>
        <w:t> </w:t>
      </w:r>
      <w:r>
        <w:rPr/>
        <w:t>та</w:t>
      </w:r>
      <w:r>
        <w:rPr>
          <w:spacing w:val="-12"/>
        </w:rPr>
        <w:t> </w:t>
      </w:r>
      <w:r>
        <w:rPr/>
        <w:t>дослідної</w:t>
      </w:r>
      <w:r>
        <w:rPr>
          <w:spacing w:val="-18"/>
        </w:rPr>
        <w:t> </w:t>
      </w:r>
      <w:r>
        <w:rPr/>
        <w:t>груп на 30 день дослідження, (М±m,</w:t>
      </w:r>
      <w:r>
        <w:rPr>
          <w:spacing w:val="13"/>
        </w:rPr>
        <w:t> </w:t>
      </w:r>
      <w:r>
        <w:rPr/>
        <w:t>n=5)</w:t>
      </w:r>
    </w:p>
    <w:tbl>
      <w:tblPr>
        <w:tblW w:w="0" w:type="auto"/>
        <w:jc w:val="left"/>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5"/>
        <w:gridCol w:w="2127"/>
        <w:gridCol w:w="1987"/>
        <w:gridCol w:w="1700"/>
        <w:gridCol w:w="1306"/>
      </w:tblGrid>
      <w:tr>
        <w:trPr>
          <w:trHeight w:val="557" w:hRule="atLeast"/>
        </w:trPr>
        <w:tc>
          <w:tcPr>
            <w:tcW w:w="2665" w:type="dxa"/>
          </w:tcPr>
          <w:p>
            <w:pPr>
              <w:pStyle w:val="TableParagraph"/>
              <w:spacing w:before="131"/>
              <w:ind w:left="777"/>
              <w:rPr>
                <w:sz w:val="24"/>
              </w:rPr>
            </w:pPr>
            <w:r>
              <w:rPr>
                <w:sz w:val="24"/>
              </w:rPr>
              <w:t>Показники</w:t>
            </w:r>
          </w:p>
        </w:tc>
        <w:tc>
          <w:tcPr>
            <w:tcW w:w="2127" w:type="dxa"/>
          </w:tcPr>
          <w:p>
            <w:pPr>
              <w:pStyle w:val="TableParagraph"/>
              <w:spacing w:line="274" w:lineRule="exact" w:before="2"/>
              <w:ind w:left="527" w:right="452" w:hanging="39"/>
              <w:rPr>
                <w:sz w:val="24"/>
              </w:rPr>
            </w:pPr>
            <w:r>
              <w:rPr>
                <w:sz w:val="24"/>
              </w:rPr>
              <w:t>Референтні показники</w:t>
            </w:r>
          </w:p>
        </w:tc>
        <w:tc>
          <w:tcPr>
            <w:tcW w:w="1987" w:type="dxa"/>
          </w:tcPr>
          <w:p>
            <w:pPr>
              <w:pStyle w:val="TableParagraph"/>
              <w:spacing w:line="274" w:lineRule="exact" w:before="2"/>
              <w:ind w:left="710" w:right="356" w:hanging="327"/>
              <w:rPr>
                <w:sz w:val="24"/>
              </w:rPr>
            </w:pPr>
            <w:r>
              <w:rPr>
                <w:sz w:val="24"/>
              </w:rPr>
              <w:t>Контрольна група</w:t>
            </w:r>
          </w:p>
        </w:tc>
        <w:tc>
          <w:tcPr>
            <w:tcW w:w="1700" w:type="dxa"/>
          </w:tcPr>
          <w:p>
            <w:pPr>
              <w:pStyle w:val="TableParagraph"/>
              <w:spacing w:line="274" w:lineRule="exact" w:before="2"/>
              <w:ind w:left="562" w:right="357" w:hanging="183"/>
              <w:rPr>
                <w:sz w:val="24"/>
              </w:rPr>
            </w:pPr>
            <w:r>
              <w:rPr>
                <w:sz w:val="24"/>
              </w:rPr>
              <w:t>Дослідна група</w:t>
            </w:r>
          </w:p>
        </w:tc>
        <w:tc>
          <w:tcPr>
            <w:tcW w:w="1306" w:type="dxa"/>
          </w:tcPr>
          <w:p>
            <w:pPr>
              <w:pStyle w:val="TableParagraph"/>
              <w:spacing w:line="274" w:lineRule="exact" w:before="2"/>
              <w:ind w:left="303" w:right="184" w:hanging="87"/>
              <w:rPr>
                <w:sz w:val="24"/>
              </w:rPr>
            </w:pPr>
            <w:r>
              <w:rPr>
                <w:sz w:val="24"/>
              </w:rPr>
              <w:t>Одиниці виміру</w:t>
            </w:r>
          </w:p>
        </w:tc>
      </w:tr>
      <w:tr>
        <w:trPr>
          <w:trHeight w:val="273" w:hRule="atLeast"/>
        </w:trPr>
        <w:tc>
          <w:tcPr>
            <w:tcW w:w="2665" w:type="dxa"/>
          </w:tcPr>
          <w:p>
            <w:pPr>
              <w:pStyle w:val="TableParagraph"/>
              <w:spacing w:line="253" w:lineRule="exact"/>
              <w:ind w:left="110"/>
              <w:rPr>
                <w:sz w:val="24"/>
              </w:rPr>
            </w:pPr>
            <w:r>
              <w:rPr>
                <w:sz w:val="24"/>
              </w:rPr>
              <w:t>АСаТ</w:t>
            </w:r>
          </w:p>
        </w:tc>
        <w:tc>
          <w:tcPr>
            <w:tcW w:w="2127" w:type="dxa"/>
          </w:tcPr>
          <w:p>
            <w:pPr>
              <w:pStyle w:val="TableParagraph"/>
              <w:spacing w:line="253" w:lineRule="exact"/>
              <w:ind w:left="604"/>
              <w:rPr>
                <w:sz w:val="24"/>
              </w:rPr>
            </w:pPr>
            <w:r>
              <w:rPr>
                <w:sz w:val="24"/>
              </w:rPr>
              <w:t>12,0-45,0</w:t>
            </w:r>
          </w:p>
        </w:tc>
        <w:tc>
          <w:tcPr>
            <w:tcW w:w="1987" w:type="dxa"/>
          </w:tcPr>
          <w:p>
            <w:pPr>
              <w:pStyle w:val="TableParagraph"/>
              <w:spacing w:line="253" w:lineRule="exact"/>
              <w:ind w:left="312" w:right="293"/>
              <w:jc w:val="center"/>
              <w:rPr>
                <w:sz w:val="24"/>
              </w:rPr>
            </w:pPr>
            <w:r>
              <w:rPr>
                <w:sz w:val="24"/>
              </w:rPr>
              <w:t>35,88±2,76</w:t>
            </w:r>
          </w:p>
        </w:tc>
        <w:tc>
          <w:tcPr>
            <w:tcW w:w="1700" w:type="dxa"/>
          </w:tcPr>
          <w:p>
            <w:pPr>
              <w:pStyle w:val="TableParagraph"/>
              <w:spacing w:line="253" w:lineRule="exact"/>
              <w:ind w:left="76" w:right="65"/>
              <w:jc w:val="center"/>
              <w:rPr>
                <w:sz w:val="24"/>
              </w:rPr>
            </w:pPr>
            <w:r>
              <w:rPr>
                <w:sz w:val="24"/>
              </w:rPr>
              <w:t>27,32±3,68</w:t>
            </w:r>
          </w:p>
        </w:tc>
        <w:tc>
          <w:tcPr>
            <w:tcW w:w="1306" w:type="dxa"/>
          </w:tcPr>
          <w:p>
            <w:pPr>
              <w:pStyle w:val="TableParagraph"/>
              <w:spacing w:line="253" w:lineRule="exact"/>
              <w:ind w:left="154" w:right="144"/>
              <w:jc w:val="center"/>
              <w:rPr>
                <w:sz w:val="24"/>
              </w:rPr>
            </w:pPr>
            <w:r>
              <w:rPr>
                <w:sz w:val="24"/>
              </w:rPr>
              <w:t>Од/л</w:t>
            </w:r>
          </w:p>
        </w:tc>
      </w:tr>
      <w:tr>
        <w:trPr>
          <w:trHeight w:val="278" w:hRule="atLeast"/>
        </w:trPr>
        <w:tc>
          <w:tcPr>
            <w:tcW w:w="2665" w:type="dxa"/>
          </w:tcPr>
          <w:p>
            <w:pPr>
              <w:pStyle w:val="TableParagraph"/>
              <w:spacing w:line="258" w:lineRule="exact"/>
              <w:ind w:left="110"/>
              <w:rPr>
                <w:sz w:val="24"/>
              </w:rPr>
            </w:pPr>
            <w:r>
              <w:rPr>
                <w:sz w:val="24"/>
              </w:rPr>
              <w:t>АЛаТ</w:t>
            </w:r>
          </w:p>
        </w:tc>
        <w:tc>
          <w:tcPr>
            <w:tcW w:w="2127" w:type="dxa"/>
          </w:tcPr>
          <w:p>
            <w:pPr>
              <w:pStyle w:val="TableParagraph"/>
              <w:spacing w:line="258" w:lineRule="exact"/>
              <w:ind w:left="604"/>
              <w:rPr>
                <w:sz w:val="24"/>
              </w:rPr>
            </w:pPr>
            <w:r>
              <w:rPr>
                <w:sz w:val="24"/>
              </w:rPr>
              <w:t>18,0-60,0</w:t>
            </w:r>
          </w:p>
        </w:tc>
        <w:tc>
          <w:tcPr>
            <w:tcW w:w="1987" w:type="dxa"/>
          </w:tcPr>
          <w:p>
            <w:pPr>
              <w:pStyle w:val="TableParagraph"/>
              <w:spacing w:line="258" w:lineRule="exact"/>
              <w:ind w:left="312" w:right="293"/>
              <w:jc w:val="center"/>
              <w:rPr>
                <w:sz w:val="24"/>
              </w:rPr>
            </w:pPr>
            <w:r>
              <w:rPr>
                <w:sz w:val="24"/>
              </w:rPr>
              <w:t>38,74±4,96</w:t>
            </w:r>
          </w:p>
        </w:tc>
        <w:tc>
          <w:tcPr>
            <w:tcW w:w="1700" w:type="dxa"/>
          </w:tcPr>
          <w:p>
            <w:pPr>
              <w:pStyle w:val="TableParagraph"/>
              <w:spacing w:line="258" w:lineRule="exact"/>
              <w:ind w:left="76" w:right="65"/>
              <w:jc w:val="center"/>
              <w:rPr>
                <w:sz w:val="24"/>
              </w:rPr>
            </w:pPr>
            <w:r>
              <w:rPr>
                <w:sz w:val="24"/>
              </w:rPr>
              <w:t>36,54±3,81</w:t>
            </w:r>
          </w:p>
        </w:tc>
        <w:tc>
          <w:tcPr>
            <w:tcW w:w="1306" w:type="dxa"/>
          </w:tcPr>
          <w:p>
            <w:pPr>
              <w:pStyle w:val="TableParagraph"/>
              <w:spacing w:line="258" w:lineRule="exact"/>
              <w:ind w:left="154" w:right="144"/>
              <w:jc w:val="center"/>
              <w:rPr>
                <w:sz w:val="24"/>
              </w:rPr>
            </w:pPr>
            <w:r>
              <w:rPr>
                <w:sz w:val="24"/>
              </w:rPr>
              <w:t>Од/л</w:t>
            </w:r>
          </w:p>
        </w:tc>
      </w:tr>
      <w:tr>
        <w:trPr>
          <w:trHeight w:val="273" w:hRule="atLeast"/>
        </w:trPr>
        <w:tc>
          <w:tcPr>
            <w:tcW w:w="2665" w:type="dxa"/>
          </w:tcPr>
          <w:p>
            <w:pPr>
              <w:pStyle w:val="TableParagraph"/>
              <w:spacing w:line="253" w:lineRule="exact"/>
              <w:ind w:left="110"/>
              <w:rPr>
                <w:sz w:val="24"/>
              </w:rPr>
            </w:pPr>
            <w:r>
              <w:rPr>
                <w:sz w:val="24"/>
              </w:rPr>
              <w:t>Сечовина</w:t>
            </w:r>
          </w:p>
        </w:tc>
        <w:tc>
          <w:tcPr>
            <w:tcW w:w="2127" w:type="dxa"/>
          </w:tcPr>
          <w:p>
            <w:pPr>
              <w:pStyle w:val="TableParagraph"/>
              <w:spacing w:line="253" w:lineRule="exact"/>
              <w:ind w:left="662"/>
              <w:rPr>
                <w:sz w:val="24"/>
              </w:rPr>
            </w:pPr>
            <w:r>
              <w:rPr>
                <w:sz w:val="24"/>
              </w:rPr>
              <w:t>5,4-12,1</w:t>
            </w:r>
          </w:p>
        </w:tc>
        <w:tc>
          <w:tcPr>
            <w:tcW w:w="1987" w:type="dxa"/>
          </w:tcPr>
          <w:p>
            <w:pPr>
              <w:pStyle w:val="TableParagraph"/>
              <w:spacing w:line="253" w:lineRule="exact"/>
              <w:ind w:left="307" w:right="293"/>
              <w:jc w:val="center"/>
              <w:rPr>
                <w:sz w:val="24"/>
              </w:rPr>
            </w:pPr>
            <w:r>
              <w:rPr>
                <w:sz w:val="24"/>
              </w:rPr>
              <w:t>5,96±0,74</w:t>
            </w:r>
          </w:p>
        </w:tc>
        <w:tc>
          <w:tcPr>
            <w:tcW w:w="1700" w:type="dxa"/>
          </w:tcPr>
          <w:p>
            <w:pPr>
              <w:pStyle w:val="TableParagraph"/>
              <w:spacing w:line="253" w:lineRule="exact"/>
              <w:ind w:left="76" w:right="70"/>
              <w:jc w:val="center"/>
              <w:rPr>
                <w:sz w:val="24"/>
              </w:rPr>
            </w:pPr>
            <w:r>
              <w:rPr>
                <w:sz w:val="24"/>
              </w:rPr>
              <w:t>6,08±0,42</w:t>
            </w:r>
          </w:p>
        </w:tc>
        <w:tc>
          <w:tcPr>
            <w:tcW w:w="1306" w:type="dxa"/>
          </w:tcPr>
          <w:p>
            <w:pPr>
              <w:pStyle w:val="TableParagraph"/>
              <w:spacing w:line="253" w:lineRule="exact"/>
              <w:ind w:left="154" w:right="140"/>
              <w:jc w:val="center"/>
              <w:rPr>
                <w:sz w:val="24"/>
              </w:rPr>
            </w:pPr>
            <w:r>
              <w:rPr>
                <w:sz w:val="24"/>
              </w:rPr>
              <w:t>Ммоль/л</w:t>
            </w:r>
          </w:p>
        </w:tc>
      </w:tr>
      <w:tr>
        <w:trPr>
          <w:trHeight w:val="277" w:hRule="atLeast"/>
        </w:trPr>
        <w:tc>
          <w:tcPr>
            <w:tcW w:w="2665" w:type="dxa"/>
          </w:tcPr>
          <w:p>
            <w:pPr>
              <w:pStyle w:val="TableParagraph"/>
              <w:spacing w:line="258" w:lineRule="exact"/>
              <w:ind w:left="110"/>
              <w:rPr>
                <w:sz w:val="24"/>
              </w:rPr>
            </w:pPr>
            <w:r>
              <w:rPr>
                <w:sz w:val="24"/>
              </w:rPr>
              <w:t>Креатинін</w:t>
            </w:r>
          </w:p>
        </w:tc>
        <w:tc>
          <w:tcPr>
            <w:tcW w:w="2127" w:type="dxa"/>
          </w:tcPr>
          <w:p>
            <w:pPr>
              <w:pStyle w:val="TableParagraph"/>
              <w:spacing w:line="258" w:lineRule="exact"/>
              <w:ind w:left="542"/>
              <w:rPr>
                <w:sz w:val="24"/>
              </w:rPr>
            </w:pPr>
            <w:r>
              <w:rPr>
                <w:sz w:val="24"/>
              </w:rPr>
              <w:t>70,0-165,0</w:t>
            </w:r>
          </w:p>
        </w:tc>
        <w:tc>
          <w:tcPr>
            <w:tcW w:w="1987" w:type="dxa"/>
          </w:tcPr>
          <w:p>
            <w:pPr>
              <w:pStyle w:val="TableParagraph"/>
              <w:spacing w:line="258" w:lineRule="exact"/>
              <w:ind w:left="312" w:right="293"/>
              <w:jc w:val="center"/>
              <w:rPr>
                <w:sz w:val="24"/>
              </w:rPr>
            </w:pPr>
            <w:r>
              <w:rPr>
                <w:sz w:val="24"/>
              </w:rPr>
              <w:t>78,65±2,79</w:t>
            </w:r>
          </w:p>
        </w:tc>
        <w:tc>
          <w:tcPr>
            <w:tcW w:w="1700" w:type="dxa"/>
          </w:tcPr>
          <w:p>
            <w:pPr>
              <w:pStyle w:val="TableParagraph"/>
              <w:spacing w:line="258" w:lineRule="exact"/>
              <w:ind w:left="76" w:right="65"/>
              <w:jc w:val="center"/>
              <w:rPr>
                <w:sz w:val="24"/>
              </w:rPr>
            </w:pPr>
            <w:r>
              <w:rPr>
                <w:sz w:val="24"/>
              </w:rPr>
              <w:t>80,18±2,30</w:t>
            </w:r>
          </w:p>
        </w:tc>
        <w:tc>
          <w:tcPr>
            <w:tcW w:w="1306" w:type="dxa"/>
          </w:tcPr>
          <w:p>
            <w:pPr>
              <w:pStyle w:val="TableParagraph"/>
              <w:spacing w:line="258" w:lineRule="exact"/>
              <w:ind w:left="154" w:right="145"/>
              <w:jc w:val="center"/>
              <w:rPr>
                <w:sz w:val="24"/>
              </w:rPr>
            </w:pPr>
            <w:r>
              <w:rPr>
                <w:sz w:val="24"/>
              </w:rPr>
              <w:t>мкмоль/л</w:t>
            </w:r>
          </w:p>
        </w:tc>
      </w:tr>
      <w:tr>
        <w:trPr>
          <w:trHeight w:val="273" w:hRule="atLeast"/>
        </w:trPr>
        <w:tc>
          <w:tcPr>
            <w:tcW w:w="2665" w:type="dxa"/>
          </w:tcPr>
          <w:p>
            <w:pPr>
              <w:pStyle w:val="TableParagraph"/>
              <w:spacing w:line="254" w:lineRule="exact"/>
              <w:ind w:left="110"/>
              <w:rPr>
                <w:sz w:val="24"/>
              </w:rPr>
            </w:pPr>
            <w:r>
              <w:rPr>
                <w:sz w:val="24"/>
              </w:rPr>
              <w:t>Загальний білок</w:t>
            </w:r>
          </w:p>
        </w:tc>
        <w:tc>
          <w:tcPr>
            <w:tcW w:w="2127" w:type="dxa"/>
          </w:tcPr>
          <w:p>
            <w:pPr>
              <w:pStyle w:val="TableParagraph"/>
              <w:spacing w:line="254" w:lineRule="exact"/>
              <w:ind w:left="604"/>
              <w:rPr>
                <w:sz w:val="24"/>
              </w:rPr>
            </w:pPr>
            <w:r>
              <w:rPr>
                <w:sz w:val="24"/>
              </w:rPr>
              <w:t>57,0-78,0</w:t>
            </w:r>
          </w:p>
        </w:tc>
        <w:tc>
          <w:tcPr>
            <w:tcW w:w="1987" w:type="dxa"/>
          </w:tcPr>
          <w:p>
            <w:pPr>
              <w:pStyle w:val="TableParagraph"/>
              <w:spacing w:line="254" w:lineRule="exact"/>
              <w:ind w:left="312" w:right="293"/>
              <w:jc w:val="center"/>
              <w:rPr>
                <w:sz w:val="24"/>
              </w:rPr>
            </w:pPr>
            <w:r>
              <w:rPr>
                <w:sz w:val="24"/>
              </w:rPr>
              <w:t>70,42±2,03</w:t>
            </w:r>
          </w:p>
        </w:tc>
        <w:tc>
          <w:tcPr>
            <w:tcW w:w="1700" w:type="dxa"/>
          </w:tcPr>
          <w:p>
            <w:pPr>
              <w:pStyle w:val="TableParagraph"/>
              <w:spacing w:line="254" w:lineRule="exact"/>
              <w:ind w:left="76" w:right="65"/>
              <w:jc w:val="center"/>
              <w:rPr>
                <w:sz w:val="24"/>
              </w:rPr>
            </w:pPr>
            <w:r>
              <w:rPr>
                <w:sz w:val="24"/>
              </w:rPr>
              <w:t>74,20±1,28</w:t>
            </w:r>
          </w:p>
        </w:tc>
        <w:tc>
          <w:tcPr>
            <w:tcW w:w="1306" w:type="dxa"/>
          </w:tcPr>
          <w:p>
            <w:pPr>
              <w:pStyle w:val="TableParagraph"/>
              <w:spacing w:line="254" w:lineRule="exact"/>
              <w:ind w:left="154" w:right="144"/>
              <w:jc w:val="center"/>
              <w:rPr>
                <w:sz w:val="24"/>
              </w:rPr>
            </w:pPr>
            <w:r>
              <w:rPr>
                <w:sz w:val="24"/>
              </w:rPr>
              <w:t>г/л</w:t>
            </w:r>
          </w:p>
        </w:tc>
      </w:tr>
      <w:tr>
        <w:trPr>
          <w:trHeight w:val="277" w:hRule="atLeast"/>
        </w:trPr>
        <w:tc>
          <w:tcPr>
            <w:tcW w:w="2665" w:type="dxa"/>
          </w:tcPr>
          <w:p>
            <w:pPr>
              <w:pStyle w:val="TableParagraph"/>
              <w:spacing w:line="258" w:lineRule="exact"/>
              <w:ind w:left="110"/>
              <w:rPr>
                <w:sz w:val="24"/>
              </w:rPr>
            </w:pPr>
            <w:r>
              <w:rPr>
                <w:sz w:val="24"/>
              </w:rPr>
              <w:t>Лужна фосфотаза</w:t>
            </w:r>
          </w:p>
        </w:tc>
        <w:tc>
          <w:tcPr>
            <w:tcW w:w="2127" w:type="dxa"/>
          </w:tcPr>
          <w:p>
            <w:pPr>
              <w:pStyle w:val="TableParagraph"/>
              <w:spacing w:line="258" w:lineRule="exact"/>
              <w:ind w:left="681"/>
              <w:rPr>
                <w:sz w:val="24"/>
              </w:rPr>
            </w:pPr>
            <w:r>
              <w:rPr>
                <w:sz w:val="24"/>
              </w:rPr>
              <w:t>До 55,0</w:t>
            </w:r>
          </w:p>
        </w:tc>
        <w:tc>
          <w:tcPr>
            <w:tcW w:w="1987" w:type="dxa"/>
          </w:tcPr>
          <w:p>
            <w:pPr>
              <w:pStyle w:val="TableParagraph"/>
              <w:spacing w:line="258" w:lineRule="exact"/>
              <w:ind w:left="312" w:right="293"/>
              <w:jc w:val="center"/>
              <w:rPr>
                <w:sz w:val="24"/>
              </w:rPr>
            </w:pPr>
            <w:r>
              <w:rPr>
                <w:sz w:val="24"/>
              </w:rPr>
              <w:t>38,66±2,98</w:t>
            </w:r>
          </w:p>
        </w:tc>
        <w:tc>
          <w:tcPr>
            <w:tcW w:w="1700" w:type="dxa"/>
          </w:tcPr>
          <w:p>
            <w:pPr>
              <w:pStyle w:val="TableParagraph"/>
              <w:spacing w:line="258" w:lineRule="exact"/>
              <w:ind w:left="76" w:right="65"/>
              <w:jc w:val="center"/>
              <w:rPr>
                <w:sz w:val="24"/>
              </w:rPr>
            </w:pPr>
            <w:r>
              <w:rPr>
                <w:sz w:val="24"/>
              </w:rPr>
              <w:t>35,44±0,68</w:t>
            </w:r>
          </w:p>
        </w:tc>
        <w:tc>
          <w:tcPr>
            <w:tcW w:w="1306" w:type="dxa"/>
          </w:tcPr>
          <w:p>
            <w:pPr>
              <w:pStyle w:val="TableParagraph"/>
              <w:spacing w:line="258" w:lineRule="exact"/>
              <w:ind w:left="154" w:right="144"/>
              <w:jc w:val="center"/>
              <w:rPr>
                <w:sz w:val="24"/>
              </w:rPr>
            </w:pPr>
            <w:r>
              <w:rPr>
                <w:sz w:val="24"/>
              </w:rPr>
              <w:t>Од/л</w:t>
            </w:r>
          </w:p>
        </w:tc>
      </w:tr>
      <w:tr>
        <w:trPr>
          <w:trHeight w:val="278" w:hRule="atLeast"/>
        </w:trPr>
        <w:tc>
          <w:tcPr>
            <w:tcW w:w="2665" w:type="dxa"/>
          </w:tcPr>
          <w:p>
            <w:pPr>
              <w:pStyle w:val="TableParagraph"/>
              <w:spacing w:line="258" w:lineRule="exact"/>
              <w:ind w:left="110"/>
              <w:rPr>
                <w:sz w:val="24"/>
              </w:rPr>
            </w:pPr>
            <w:r>
              <w:rPr>
                <w:sz w:val="24"/>
              </w:rPr>
              <w:t>Глюкоза</w:t>
            </w:r>
          </w:p>
        </w:tc>
        <w:tc>
          <w:tcPr>
            <w:tcW w:w="2127" w:type="dxa"/>
          </w:tcPr>
          <w:p>
            <w:pPr>
              <w:pStyle w:val="TableParagraph"/>
              <w:spacing w:line="258" w:lineRule="exact"/>
              <w:ind w:left="708" w:right="689"/>
              <w:jc w:val="center"/>
              <w:rPr>
                <w:sz w:val="24"/>
              </w:rPr>
            </w:pPr>
            <w:r>
              <w:rPr>
                <w:sz w:val="24"/>
              </w:rPr>
              <w:t>3,3-6,8</w:t>
            </w:r>
          </w:p>
        </w:tc>
        <w:tc>
          <w:tcPr>
            <w:tcW w:w="1987" w:type="dxa"/>
          </w:tcPr>
          <w:p>
            <w:pPr>
              <w:pStyle w:val="TableParagraph"/>
              <w:spacing w:line="258" w:lineRule="exact"/>
              <w:ind w:left="307" w:right="293"/>
              <w:jc w:val="center"/>
              <w:rPr>
                <w:sz w:val="24"/>
              </w:rPr>
            </w:pPr>
            <w:r>
              <w:rPr>
                <w:sz w:val="24"/>
              </w:rPr>
              <w:t>3,02±0,27</w:t>
            </w:r>
          </w:p>
        </w:tc>
        <w:tc>
          <w:tcPr>
            <w:tcW w:w="1700" w:type="dxa"/>
          </w:tcPr>
          <w:p>
            <w:pPr>
              <w:pStyle w:val="TableParagraph"/>
              <w:spacing w:line="258" w:lineRule="exact"/>
              <w:ind w:left="76" w:right="70"/>
              <w:jc w:val="center"/>
              <w:rPr>
                <w:sz w:val="24"/>
              </w:rPr>
            </w:pPr>
            <w:r>
              <w:rPr>
                <w:sz w:val="24"/>
              </w:rPr>
              <w:t>3,48±0,19</w:t>
            </w:r>
          </w:p>
        </w:tc>
        <w:tc>
          <w:tcPr>
            <w:tcW w:w="1306" w:type="dxa"/>
          </w:tcPr>
          <w:p>
            <w:pPr>
              <w:pStyle w:val="TableParagraph"/>
              <w:spacing w:line="258" w:lineRule="exact"/>
              <w:ind w:left="154" w:right="140"/>
              <w:jc w:val="center"/>
              <w:rPr>
                <w:sz w:val="24"/>
              </w:rPr>
            </w:pPr>
            <w:r>
              <w:rPr>
                <w:sz w:val="24"/>
              </w:rPr>
              <w:t>Ммоль/л</w:t>
            </w:r>
          </w:p>
        </w:tc>
      </w:tr>
      <w:tr>
        <w:trPr>
          <w:trHeight w:val="273" w:hRule="atLeast"/>
        </w:trPr>
        <w:tc>
          <w:tcPr>
            <w:tcW w:w="2665" w:type="dxa"/>
          </w:tcPr>
          <w:p>
            <w:pPr>
              <w:pStyle w:val="TableParagraph"/>
              <w:spacing w:line="253" w:lineRule="exact"/>
              <w:ind w:left="110"/>
              <w:rPr>
                <w:sz w:val="24"/>
              </w:rPr>
            </w:pPr>
            <w:r>
              <w:rPr>
                <w:sz w:val="24"/>
              </w:rPr>
              <w:t>Лактатдегідрогеназа</w:t>
            </w:r>
          </w:p>
        </w:tc>
        <w:tc>
          <w:tcPr>
            <w:tcW w:w="2127" w:type="dxa"/>
          </w:tcPr>
          <w:p>
            <w:pPr>
              <w:pStyle w:val="TableParagraph"/>
              <w:spacing w:line="253" w:lineRule="exact"/>
              <w:ind w:left="542"/>
              <w:rPr>
                <w:sz w:val="24"/>
              </w:rPr>
            </w:pPr>
            <w:r>
              <w:rPr>
                <w:sz w:val="24"/>
              </w:rPr>
              <w:t>35,0-500,0</w:t>
            </w:r>
          </w:p>
        </w:tc>
        <w:tc>
          <w:tcPr>
            <w:tcW w:w="1987" w:type="dxa"/>
          </w:tcPr>
          <w:p>
            <w:pPr>
              <w:pStyle w:val="TableParagraph"/>
              <w:spacing w:line="253" w:lineRule="exact"/>
              <w:ind w:left="307" w:right="293"/>
              <w:jc w:val="center"/>
              <w:rPr>
                <w:sz w:val="24"/>
              </w:rPr>
            </w:pPr>
            <w:r>
              <w:rPr>
                <w:sz w:val="24"/>
              </w:rPr>
              <w:t>128,20±6,34</w:t>
            </w:r>
          </w:p>
        </w:tc>
        <w:tc>
          <w:tcPr>
            <w:tcW w:w="1700" w:type="dxa"/>
          </w:tcPr>
          <w:p>
            <w:pPr>
              <w:pStyle w:val="TableParagraph"/>
              <w:spacing w:line="253" w:lineRule="exact"/>
              <w:ind w:left="76" w:right="71"/>
              <w:jc w:val="center"/>
              <w:rPr>
                <w:sz w:val="24"/>
              </w:rPr>
            </w:pPr>
            <w:r>
              <w:rPr>
                <w:sz w:val="24"/>
              </w:rPr>
              <w:t>148,20±8,64</w:t>
            </w:r>
          </w:p>
        </w:tc>
        <w:tc>
          <w:tcPr>
            <w:tcW w:w="1306" w:type="dxa"/>
          </w:tcPr>
          <w:p>
            <w:pPr>
              <w:pStyle w:val="TableParagraph"/>
              <w:spacing w:line="253" w:lineRule="exact"/>
              <w:ind w:left="154" w:right="144"/>
              <w:jc w:val="center"/>
              <w:rPr>
                <w:sz w:val="24"/>
              </w:rPr>
            </w:pPr>
            <w:r>
              <w:rPr>
                <w:sz w:val="24"/>
              </w:rPr>
              <w:t>Од/л</w:t>
            </w:r>
          </w:p>
        </w:tc>
      </w:tr>
      <w:tr>
        <w:trPr>
          <w:trHeight w:val="277" w:hRule="atLeast"/>
        </w:trPr>
        <w:tc>
          <w:tcPr>
            <w:tcW w:w="2665" w:type="dxa"/>
          </w:tcPr>
          <w:p>
            <w:pPr>
              <w:pStyle w:val="TableParagraph"/>
              <w:spacing w:line="258" w:lineRule="exact"/>
              <w:ind w:left="110"/>
              <w:rPr>
                <w:sz w:val="24"/>
              </w:rPr>
            </w:pPr>
            <w:r>
              <w:rPr>
                <w:sz w:val="24"/>
              </w:rPr>
              <w:t>Креатинфосфокіназа</w:t>
            </w:r>
          </w:p>
        </w:tc>
        <w:tc>
          <w:tcPr>
            <w:tcW w:w="2127" w:type="dxa"/>
          </w:tcPr>
          <w:p>
            <w:pPr>
              <w:pStyle w:val="TableParagraph"/>
              <w:spacing w:line="258" w:lineRule="exact"/>
              <w:ind w:left="484"/>
              <w:rPr>
                <w:sz w:val="24"/>
              </w:rPr>
            </w:pPr>
            <w:r>
              <w:rPr>
                <w:sz w:val="24"/>
              </w:rPr>
              <w:t>150,0-798,0</w:t>
            </w:r>
          </w:p>
        </w:tc>
        <w:tc>
          <w:tcPr>
            <w:tcW w:w="1987" w:type="dxa"/>
          </w:tcPr>
          <w:p>
            <w:pPr>
              <w:pStyle w:val="TableParagraph"/>
              <w:spacing w:line="258" w:lineRule="exact"/>
              <w:ind w:left="312" w:right="293"/>
              <w:jc w:val="center"/>
              <w:rPr>
                <w:sz w:val="24"/>
              </w:rPr>
            </w:pPr>
            <w:r>
              <w:rPr>
                <w:sz w:val="24"/>
              </w:rPr>
              <w:t>383,40±55,38</w:t>
            </w:r>
          </w:p>
        </w:tc>
        <w:tc>
          <w:tcPr>
            <w:tcW w:w="1700" w:type="dxa"/>
          </w:tcPr>
          <w:p>
            <w:pPr>
              <w:pStyle w:val="TableParagraph"/>
              <w:spacing w:line="258" w:lineRule="exact"/>
              <w:ind w:left="76" w:right="71"/>
              <w:jc w:val="center"/>
              <w:rPr>
                <w:sz w:val="24"/>
              </w:rPr>
            </w:pPr>
            <w:r>
              <w:rPr>
                <w:sz w:val="24"/>
              </w:rPr>
              <w:t>327,60±30,61*</w:t>
            </w:r>
          </w:p>
        </w:tc>
        <w:tc>
          <w:tcPr>
            <w:tcW w:w="1306" w:type="dxa"/>
          </w:tcPr>
          <w:p>
            <w:pPr>
              <w:pStyle w:val="TableParagraph"/>
              <w:spacing w:line="258" w:lineRule="exact"/>
              <w:ind w:left="154" w:right="144"/>
              <w:jc w:val="center"/>
              <w:rPr>
                <w:sz w:val="24"/>
              </w:rPr>
            </w:pPr>
            <w:r>
              <w:rPr>
                <w:sz w:val="24"/>
              </w:rPr>
              <w:t>Од/л</w:t>
            </w:r>
          </w:p>
        </w:tc>
      </w:tr>
      <w:tr>
        <w:trPr>
          <w:trHeight w:val="273" w:hRule="atLeast"/>
        </w:trPr>
        <w:tc>
          <w:tcPr>
            <w:tcW w:w="2665" w:type="dxa"/>
          </w:tcPr>
          <w:p>
            <w:pPr>
              <w:pStyle w:val="TableParagraph"/>
              <w:spacing w:line="253" w:lineRule="exact"/>
              <w:ind w:left="110"/>
              <w:rPr>
                <w:sz w:val="24"/>
              </w:rPr>
            </w:pPr>
            <w:r>
              <w:rPr>
                <w:sz w:val="24"/>
              </w:rPr>
              <w:t>Тригліцериди</w:t>
            </w:r>
          </w:p>
        </w:tc>
        <w:tc>
          <w:tcPr>
            <w:tcW w:w="2127" w:type="dxa"/>
          </w:tcPr>
          <w:p>
            <w:pPr>
              <w:pStyle w:val="TableParagraph"/>
              <w:spacing w:line="253" w:lineRule="exact"/>
              <w:ind w:left="662"/>
              <w:rPr>
                <w:sz w:val="24"/>
              </w:rPr>
            </w:pPr>
            <w:r>
              <w:rPr>
                <w:sz w:val="24"/>
              </w:rPr>
              <w:t>0,38-1,1</w:t>
            </w:r>
          </w:p>
        </w:tc>
        <w:tc>
          <w:tcPr>
            <w:tcW w:w="1987" w:type="dxa"/>
          </w:tcPr>
          <w:p>
            <w:pPr>
              <w:pStyle w:val="TableParagraph"/>
              <w:spacing w:line="253" w:lineRule="exact"/>
              <w:ind w:left="308" w:right="293"/>
              <w:jc w:val="center"/>
              <w:rPr>
                <w:sz w:val="24"/>
              </w:rPr>
            </w:pPr>
            <w:r>
              <w:rPr>
                <w:sz w:val="24"/>
              </w:rPr>
              <w:t>0,60±0,06</w:t>
            </w:r>
          </w:p>
        </w:tc>
        <w:tc>
          <w:tcPr>
            <w:tcW w:w="1700" w:type="dxa"/>
          </w:tcPr>
          <w:p>
            <w:pPr>
              <w:pStyle w:val="TableParagraph"/>
              <w:spacing w:line="253" w:lineRule="exact"/>
              <w:ind w:left="76" w:right="65"/>
              <w:jc w:val="center"/>
              <w:rPr>
                <w:sz w:val="24"/>
              </w:rPr>
            </w:pPr>
            <w:r>
              <w:rPr>
                <w:sz w:val="24"/>
              </w:rPr>
              <w:t>0,43±0,02*</w:t>
            </w:r>
          </w:p>
        </w:tc>
        <w:tc>
          <w:tcPr>
            <w:tcW w:w="1306" w:type="dxa"/>
          </w:tcPr>
          <w:p>
            <w:pPr>
              <w:pStyle w:val="TableParagraph"/>
              <w:spacing w:line="253" w:lineRule="exact"/>
              <w:ind w:left="154" w:right="140"/>
              <w:jc w:val="center"/>
              <w:rPr>
                <w:sz w:val="24"/>
              </w:rPr>
            </w:pPr>
            <w:r>
              <w:rPr>
                <w:sz w:val="24"/>
              </w:rPr>
              <w:t>Ммоль/л</w:t>
            </w:r>
          </w:p>
        </w:tc>
      </w:tr>
      <w:tr>
        <w:trPr>
          <w:trHeight w:val="278" w:hRule="atLeast"/>
        </w:trPr>
        <w:tc>
          <w:tcPr>
            <w:tcW w:w="2665" w:type="dxa"/>
          </w:tcPr>
          <w:p>
            <w:pPr>
              <w:pStyle w:val="TableParagraph"/>
              <w:spacing w:line="259" w:lineRule="exact"/>
              <w:ind w:left="110"/>
              <w:rPr>
                <w:sz w:val="24"/>
              </w:rPr>
            </w:pPr>
            <w:r>
              <w:rPr>
                <w:sz w:val="24"/>
              </w:rPr>
              <w:t>Калій</w:t>
            </w:r>
          </w:p>
        </w:tc>
        <w:tc>
          <w:tcPr>
            <w:tcW w:w="2127" w:type="dxa"/>
          </w:tcPr>
          <w:p>
            <w:pPr>
              <w:pStyle w:val="TableParagraph"/>
              <w:spacing w:line="259" w:lineRule="exact"/>
              <w:ind w:left="708" w:right="689"/>
              <w:jc w:val="center"/>
              <w:rPr>
                <w:sz w:val="24"/>
              </w:rPr>
            </w:pPr>
            <w:r>
              <w:rPr>
                <w:sz w:val="24"/>
              </w:rPr>
              <w:t>4,1-5,4</w:t>
            </w:r>
          </w:p>
        </w:tc>
        <w:tc>
          <w:tcPr>
            <w:tcW w:w="1987" w:type="dxa"/>
          </w:tcPr>
          <w:p>
            <w:pPr>
              <w:pStyle w:val="TableParagraph"/>
              <w:spacing w:line="259" w:lineRule="exact"/>
              <w:ind w:left="308" w:right="293"/>
              <w:jc w:val="center"/>
              <w:rPr>
                <w:sz w:val="24"/>
              </w:rPr>
            </w:pPr>
            <w:r>
              <w:rPr>
                <w:sz w:val="24"/>
              </w:rPr>
              <w:t>4,96±0,17</w:t>
            </w:r>
          </w:p>
        </w:tc>
        <w:tc>
          <w:tcPr>
            <w:tcW w:w="1700" w:type="dxa"/>
          </w:tcPr>
          <w:p>
            <w:pPr>
              <w:pStyle w:val="TableParagraph"/>
              <w:spacing w:line="259" w:lineRule="exact"/>
              <w:ind w:left="76" w:right="70"/>
              <w:jc w:val="center"/>
              <w:rPr>
                <w:sz w:val="24"/>
              </w:rPr>
            </w:pPr>
            <w:r>
              <w:rPr>
                <w:sz w:val="24"/>
              </w:rPr>
              <w:t>4,72±0,14</w:t>
            </w:r>
          </w:p>
        </w:tc>
        <w:tc>
          <w:tcPr>
            <w:tcW w:w="1306" w:type="dxa"/>
          </w:tcPr>
          <w:p>
            <w:pPr>
              <w:pStyle w:val="TableParagraph"/>
              <w:spacing w:line="259" w:lineRule="exact"/>
              <w:ind w:left="154" w:right="140"/>
              <w:jc w:val="center"/>
              <w:rPr>
                <w:sz w:val="24"/>
              </w:rPr>
            </w:pPr>
            <w:r>
              <w:rPr>
                <w:sz w:val="24"/>
              </w:rPr>
              <w:t>Ммоль/л</w:t>
            </w:r>
          </w:p>
        </w:tc>
      </w:tr>
      <w:tr>
        <w:trPr>
          <w:trHeight w:val="273" w:hRule="atLeast"/>
        </w:trPr>
        <w:tc>
          <w:tcPr>
            <w:tcW w:w="2665" w:type="dxa"/>
          </w:tcPr>
          <w:p>
            <w:pPr>
              <w:pStyle w:val="TableParagraph"/>
              <w:spacing w:line="253" w:lineRule="exact"/>
              <w:ind w:left="110"/>
              <w:rPr>
                <w:sz w:val="24"/>
              </w:rPr>
            </w:pPr>
            <w:r>
              <w:rPr>
                <w:sz w:val="24"/>
              </w:rPr>
              <w:t>Натрій</w:t>
            </w:r>
          </w:p>
        </w:tc>
        <w:tc>
          <w:tcPr>
            <w:tcW w:w="2127" w:type="dxa"/>
          </w:tcPr>
          <w:p>
            <w:pPr>
              <w:pStyle w:val="TableParagraph"/>
              <w:spacing w:line="253" w:lineRule="exact"/>
              <w:ind w:left="484"/>
              <w:rPr>
                <w:sz w:val="24"/>
              </w:rPr>
            </w:pPr>
            <w:r>
              <w:rPr>
                <w:sz w:val="24"/>
              </w:rPr>
              <w:t>143,0-165,0</w:t>
            </w:r>
          </w:p>
        </w:tc>
        <w:tc>
          <w:tcPr>
            <w:tcW w:w="1987" w:type="dxa"/>
          </w:tcPr>
          <w:p>
            <w:pPr>
              <w:pStyle w:val="TableParagraph"/>
              <w:spacing w:line="253" w:lineRule="exact"/>
              <w:ind w:left="308" w:right="293"/>
              <w:jc w:val="center"/>
              <w:rPr>
                <w:sz w:val="24"/>
              </w:rPr>
            </w:pPr>
            <w:r>
              <w:rPr>
                <w:sz w:val="24"/>
              </w:rPr>
              <w:t>153,00±3,74</w:t>
            </w:r>
          </w:p>
        </w:tc>
        <w:tc>
          <w:tcPr>
            <w:tcW w:w="1700" w:type="dxa"/>
          </w:tcPr>
          <w:p>
            <w:pPr>
              <w:pStyle w:val="TableParagraph"/>
              <w:spacing w:line="253" w:lineRule="exact"/>
              <w:ind w:left="76" w:right="71"/>
              <w:jc w:val="center"/>
              <w:rPr>
                <w:sz w:val="24"/>
              </w:rPr>
            </w:pPr>
            <w:r>
              <w:rPr>
                <w:sz w:val="24"/>
              </w:rPr>
              <w:t>145,80±1,93</w:t>
            </w:r>
          </w:p>
        </w:tc>
        <w:tc>
          <w:tcPr>
            <w:tcW w:w="1306" w:type="dxa"/>
          </w:tcPr>
          <w:p>
            <w:pPr>
              <w:pStyle w:val="TableParagraph"/>
              <w:spacing w:line="253" w:lineRule="exact"/>
              <w:ind w:left="154" w:right="140"/>
              <w:jc w:val="center"/>
              <w:rPr>
                <w:sz w:val="24"/>
              </w:rPr>
            </w:pPr>
            <w:r>
              <w:rPr>
                <w:sz w:val="24"/>
              </w:rPr>
              <w:t>Ммоль/л</w:t>
            </w:r>
          </w:p>
        </w:tc>
      </w:tr>
      <w:tr>
        <w:trPr>
          <w:trHeight w:val="278" w:hRule="atLeast"/>
        </w:trPr>
        <w:tc>
          <w:tcPr>
            <w:tcW w:w="2665" w:type="dxa"/>
          </w:tcPr>
          <w:p>
            <w:pPr>
              <w:pStyle w:val="TableParagraph"/>
              <w:spacing w:line="258" w:lineRule="exact"/>
              <w:ind w:left="110"/>
              <w:rPr>
                <w:sz w:val="24"/>
              </w:rPr>
            </w:pPr>
            <w:r>
              <w:rPr>
                <w:sz w:val="24"/>
              </w:rPr>
              <w:t>Кальцій</w:t>
            </w:r>
          </w:p>
        </w:tc>
        <w:tc>
          <w:tcPr>
            <w:tcW w:w="2127" w:type="dxa"/>
          </w:tcPr>
          <w:p>
            <w:pPr>
              <w:pStyle w:val="TableParagraph"/>
              <w:spacing w:line="258" w:lineRule="exact"/>
              <w:ind w:left="708" w:right="689"/>
              <w:jc w:val="center"/>
              <w:rPr>
                <w:sz w:val="24"/>
              </w:rPr>
            </w:pPr>
            <w:r>
              <w:rPr>
                <w:sz w:val="24"/>
              </w:rPr>
              <w:t>2,0-2,7</w:t>
            </w:r>
          </w:p>
        </w:tc>
        <w:tc>
          <w:tcPr>
            <w:tcW w:w="1987" w:type="dxa"/>
          </w:tcPr>
          <w:p>
            <w:pPr>
              <w:pStyle w:val="TableParagraph"/>
              <w:spacing w:line="258" w:lineRule="exact"/>
              <w:ind w:left="308" w:right="293"/>
              <w:jc w:val="center"/>
              <w:rPr>
                <w:sz w:val="24"/>
              </w:rPr>
            </w:pPr>
            <w:r>
              <w:rPr>
                <w:sz w:val="24"/>
              </w:rPr>
              <w:t>2,39±0,05</w:t>
            </w:r>
          </w:p>
        </w:tc>
        <w:tc>
          <w:tcPr>
            <w:tcW w:w="1700" w:type="dxa"/>
          </w:tcPr>
          <w:p>
            <w:pPr>
              <w:pStyle w:val="TableParagraph"/>
              <w:spacing w:line="258" w:lineRule="exact"/>
              <w:ind w:left="76" w:right="70"/>
              <w:jc w:val="center"/>
              <w:rPr>
                <w:sz w:val="24"/>
              </w:rPr>
            </w:pPr>
            <w:r>
              <w:rPr>
                <w:sz w:val="24"/>
              </w:rPr>
              <w:t>2,40±0,11</w:t>
            </w:r>
          </w:p>
        </w:tc>
        <w:tc>
          <w:tcPr>
            <w:tcW w:w="1306" w:type="dxa"/>
          </w:tcPr>
          <w:p>
            <w:pPr>
              <w:pStyle w:val="TableParagraph"/>
              <w:spacing w:line="258" w:lineRule="exact"/>
              <w:ind w:left="154" w:right="140"/>
              <w:jc w:val="center"/>
              <w:rPr>
                <w:sz w:val="24"/>
              </w:rPr>
            </w:pPr>
            <w:r>
              <w:rPr>
                <w:sz w:val="24"/>
              </w:rPr>
              <w:t>Ммоль/л</w:t>
            </w:r>
          </w:p>
        </w:tc>
      </w:tr>
    </w:tbl>
    <w:p>
      <w:pPr>
        <w:pStyle w:val="BodyText"/>
        <w:ind w:left="903"/>
        <w:jc w:val="left"/>
      </w:pPr>
      <w:r>
        <w:rPr/>
        <w:t>Примітка: *- p&lt;0,05 порівняно з контролем</w:t>
      </w:r>
    </w:p>
    <w:p>
      <w:pPr>
        <w:pStyle w:val="BodyText"/>
        <w:spacing w:before="10"/>
        <w:ind w:left="0"/>
        <w:jc w:val="left"/>
        <w:rPr>
          <w:sz w:val="27"/>
        </w:rPr>
      </w:pPr>
    </w:p>
    <w:p>
      <w:pPr>
        <w:pStyle w:val="BodyText"/>
        <w:ind w:right="602" w:firstLine="710"/>
      </w:pPr>
      <w:r>
        <w:rPr/>
        <w:t>Гіпофіз виробляє більшу кількість гормонів, що стимулюють роботу щитоподібної залози та надниркових залоз. У свою </w:t>
      </w:r>
      <w:r>
        <w:rPr>
          <w:spacing w:val="-3"/>
        </w:rPr>
        <w:t>чергу, </w:t>
      </w:r>
      <w:r>
        <w:rPr/>
        <w:t>щитоподібна залоза виробляє значну кількість гормону тироксину, а наднирники – більшу кількість гормону кортизолу. Кортизол (гормон стресу), також як і адреналін, сприяє збільшенню рівня глюкози в </w:t>
      </w:r>
      <w:r>
        <w:rPr>
          <w:spacing w:val="-3"/>
        </w:rPr>
        <w:t>крові. </w:t>
      </w:r>
      <w:r>
        <w:rPr/>
        <w:t>При такому стані гормон тироксин сприяє активізації обмінних </w:t>
      </w:r>
      <w:r>
        <w:rPr>
          <w:spacing w:val="-3"/>
        </w:rPr>
        <w:t>процесів </w:t>
      </w:r>
      <w:r>
        <w:rPr/>
        <w:t>в клітинах організму, а кортизол паралельно активує </w:t>
      </w:r>
      <w:r>
        <w:rPr>
          <w:spacing w:val="-3"/>
        </w:rPr>
        <w:t>процес </w:t>
      </w:r>
      <w:r>
        <w:rPr/>
        <w:t>розщеплення білків на амінокислоти для подальшого синтезу глюкози. Отже, підвищення рівня глюкози є безперервним </w:t>
      </w:r>
      <w:r>
        <w:rPr>
          <w:spacing w:val="-3"/>
        </w:rPr>
        <w:t>прогресивним </w:t>
      </w:r>
      <w:r>
        <w:rPr/>
        <w:t>фактором ризику розвитку серцево – судинних захворювань. </w:t>
      </w:r>
      <w:r>
        <w:rPr>
          <w:spacing w:val="-3"/>
        </w:rPr>
        <w:t>Після </w:t>
      </w:r>
      <w:r>
        <w:rPr/>
        <w:t>розвитку </w:t>
      </w:r>
      <w:r>
        <w:rPr>
          <w:spacing w:val="-3"/>
        </w:rPr>
        <w:t>гіперглікемії, </w:t>
      </w:r>
      <w:r>
        <w:rPr/>
        <w:t>а в подальшому зниження рівня глюкози в тканинах – виникає гіпоглікемія,</w:t>
      </w:r>
      <w:r>
        <w:rPr>
          <w:spacing w:val="-10"/>
        </w:rPr>
        <w:t> </w:t>
      </w:r>
      <w:r>
        <w:rPr/>
        <w:t>яка</w:t>
      </w:r>
      <w:r>
        <w:rPr>
          <w:spacing w:val="-8"/>
        </w:rPr>
        <w:t> </w:t>
      </w:r>
      <w:r>
        <w:rPr/>
        <w:t>викликає</w:t>
      </w:r>
      <w:r>
        <w:rPr>
          <w:spacing w:val="-11"/>
        </w:rPr>
        <w:t> </w:t>
      </w:r>
      <w:r>
        <w:rPr/>
        <w:t>каскад</w:t>
      </w:r>
      <w:r>
        <w:rPr>
          <w:spacing w:val="-10"/>
        </w:rPr>
        <w:t> </w:t>
      </w:r>
      <w:r>
        <w:rPr/>
        <w:t>фізіологічних</w:t>
      </w:r>
      <w:r>
        <w:rPr>
          <w:spacing w:val="-9"/>
        </w:rPr>
        <w:t> </w:t>
      </w:r>
      <w:r>
        <w:rPr/>
        <w:t>ефектів,</w:t>
      </w:r>
      <w:r>
        <w:rPr>
          <w:spacing w:val="-10"/>
        </w:rPr>
        <w:t> </w:t>
      </w:r>
      <w:r>
        <w:rPr/>
        <w:t>що,</w:t>
      </w:r>
      <w:r>
        <w:rPr>
          <w:spacing w:val="-6"/>
        </w:rPr>
        <w:t> </w:t>
      </w:r>
      <w:r>
        <w:rPr/>
        <w:t>в</w:t>
      </w:r>
      <w:r>
        <w:rPr>
          <w:spacing w:val="-14"/>
        </w:rPr>
        <w:t> </w:t>
      </w:r>
      <w:r>
        <w:rPr/>
        <w:t>свою</w:t>
      </w:r>
      <w:r>
        <w:rPr>
          <w:spacing w:val="-10"/>
        </w:rPr>
        <w:t> </w:t>
      </w:r>
      <w:r>
        <w:rPr>
          <w:spacing w:val="-3"/>
        </w:rPr>
        <w:t>чергу,</w:t>
      </w:r>
      <w:r>
        <w:rPr>
          <w:spacing w:val="1"/>
        </w:rPr>
        <w:t> </w:t>
      </w:r>
      <w:r>
        <w:rPr/>
        <w:t>здатні викликати окислювальний стрес і </w:t>
      </w:r>
      <w:r>
        <w:rPr>
          <w:spacing w:val="-3"/>
        </w:rPr>
        <w:t>порушення </w:t>
      </w:r>
      <w:r>
        <w:rPr/>
        <w:t>ритму </w:t>
      </w:r>
      <w:r>
        <w:rPr>
          <w:spacing w:val="-3"/>
        </w:rPr>
        <w:t>серця, </w:t>
      </w:r>
      <w:r>
        <w:rPr/>
        <w:t>а також призвести до раптової </w:t>
      </w:r>
      <w:r>
        <w:rPr>
          <w:spacing w:val="-3"/>
        </w:rPr>
        <w:t>загибелі. </w:t>
      </w:r>
      <w:r>
        <w:rPr/>
        <w:t>Крім </w:t>
      </w:r>
      <w:r>
        <w:rPr>
          <w:spacing w:val="-3"/>
        </w:rPr>
        <w:t>того, гіпоглікемія </w:t>
      </w:r>
      <w:r>
        <w:rPr/>
        <w:t>є причиною ішемічного ушкодження головного мозку, що за гострого та хронічного епізодів гіпоглікемії може збільшити ризик розвитку серцево – судинної </w:t>
      </w:r>
      <w:r>
        <w:rPr>
          <w:spacing w:val="-3"/>
        </w:rPr>
        <w:t>системи. Навпаки, </w:t>
      </w:r>
      <w:r>
        <w:rPr/>
        <w:t>постійно підвищений рівень цукру в крові призводить до ураження судин різних </w:t>
      </w:r>
      <w:r>
        <w:rPr>
          <w:spacing w:val="-3"/>
        </w:rPr>
        <w:t>органів. </w:t>
      </w:r>
      <w:r>
        <w:rPr/>
        <w:t>Було </w:t>
      </w:r>
      <w:r>
        <w:rPr>
          <w:spacing w:val="-3"/>
        </w:rPr>
        <w:t>визначено, </w:t>
      </w:r>
      <w:r>
        <w:rPr/>
        <w:t>що рівень глюкози в </w:t>
      </w:r>
      <w:r>
        <w:rPr>
          <w:spacing w:val="-3"/>
        </w:rPr>
        <w:t>дослідній </w:t>
      </w:r>
      <w:r>
        <w:rPr/>
        <w:t>групі в 1,15 </w:t>
      </w:r>
      <w:r>
        <w:rPr>
          <w:spacing w:val="-3"/>
        </w:rPr>
        <w:t>разів вищій </w:t>
      </w:r>
      <w:r>
        <w:rPr/>
        <w:t>а </w:t>
      </w:r>
      <w:r>
        <w:rPr>
          <w:spacing w:val="-3"/>
        </w:rPr>
        <w:t>ніж </w:t>
      </w:r>
      <w:r>
        <w:rPr/>
        <w:t>у тварин контрольної</w:t>
      </w:r>
      <w:r>
        <w:rPr>
          <w:spacing w:val="-14"/>
        </w:rPr>
        <w:t> </w:t>
      </w:r>
      <w:r>
        <w:rPr/>
        <w:t>групи.</w:t>
      </w:r>
    </w:p>
    <w:p>
      <w:pPr>
        <w:pStyle w:val="BodyText"/>
        <w:spacing w:before="5"/>
        <w:ind w:right="605" w:firstLine="710"/>
      </w:pPr>
      <w:r>
        <w:rPr>
          <w:spacing w:val="-3"/>
        </w:rPr>
        <w:t>На </w:t>
      </w:r>
      <w:r>
        <w:rPr/>
        <w:t>даний час в ветеринарній медицині знайшло </w:t>
      </w:r>
      <w:r>
        <w:rPr>
          <w:spacing w:val="-3"/>
        </w:rPr>
        <w:t>практичне </w:t>
      </w:r>
      <w:r>
        <w:rPr/>
        <w:t>застосування визначення активності двох ферментів трансамінування – аланінамінотрансферази і </w:t>
      </w:r>
      <w:r>
        <w:rPr>
          <w:spacing w:val="-3"/>
        </w:rPr>
        <w:t>аспартатамінотрансферази. </w:t>
      </w:r>
      <w:r>
        <w:rPr/>
        <w:t>Хоча активність обох ферментів </w:t>
      </w:r>
      <w:r>
        <w:rPr>
          <w:spacing w:val="-3"/>
        </w:rPr>
        <w:t>значно </w:t>
      </w:r>
      <w:r>
        <w:rPr/>
        <w:t>зростає при захворюваннях серцевого м’яза і </w:t>
      </w:r>
      <w:r>
        <w:rPr>
          <w:spacing w:val="-3"/>
        </w:rPr>
        <w:t>печінки, </w:t>
      </w:r>
      <w:r>
        <w:rPr/>
        <w:t>при ураженні</w:t>
      </w:r>
      <w:r>
        <w:rPr>
          <w:spacing w:val="-17"/>
        </w:rPr>
        <w:t> </w:t>
      </w:r>
      <w:r>
        <w:rPr>
          <w:spacing w:val="-3"/>
        </w:rPr>
        <w:t>клітин</w:t>
      </w:r>
      <w:r>
        <w:rPr>
          <w:spacing w:val="-17"/>
        </w:rPr>
        <w:t> </w:t>
      </w:r>
      <w:r>
        <w:rPr/>
        <w:t>міокарда</w:t>
      </w:r>
      <w:r>
        <w:rPr>
          <w:spacing w:val="-17"/>
        </w:rPr>
        <w:t> </w:t>
      </w:r>
      <w:r>
        <w:rPr/>
        <w:t>найбільша</w:t>
      </w:r>
      <w:r>
        <w:rPr>
          <w:spacing w:val="-16"/>
        </w:rPr>
        <w:t> </w:t>
      </w:r>
      <w:r>
        <w:rPr>
          <w:spacing w:val="-3"/>
        </w:rPr>
        <w:t>активність</w:t>
      </w:r>
      <w:r>
        <w:rPr>
          <w:spacing w:val="-15"/>
        </w:rPr>
        <w:t> </w:t>
      </w:r>
      <w:r>
        <w:rPr/>
        <w:t>в</w:t>
      </w:r>
      <w:r>
        <w:rPr>
          <w:spacing w:val="-19"/>
        </w:rPr>
        <w:t> </w:t>
      </w:r>
      <w:r>
        <w:rPr/>
        <w:t>сироватці</w:t>
      </w:r>
      <w:r>
        <w:rPr>
          <w:spacing w:val="-22"/>
        </w:rPr>
        <w:t> </w:t>
      </w:r>
      <w:r>
        <w:rPr/>
        <w:t>крові</w:t>
      </w:r>
      <w:r>
        <w:rPr>
          <w:spacing w:val="-17"/>
        </w:rPr>
        <w:t> </w:t>
      </w:r>
      <w:r>
        <w:rPr>
          <w:spacing w:val="-3"/>
        </w:rPr>
        <w:t>виявляється</w:t>
      </w:r>
      <w:r>
        <w:rPr>
          <w:spacing w:val="-20"/>
        </w:rPr>
        <w:t> </w:t>
      </w:r>
      <w:r>
        <w:rPr/>
        <w:t>для АСаТ, при порушенні </w:t>
      </w:r>
      <w:r>
        <w:rPr>
          <w:spacing w:val="-3"/>
        </w:rPr>
        <w:t>печінки (гепатити </w:t>
      </w:r>
      <w:r>
        <w:rPr/>
        <w:t>різного генезу і т.д.) – для </w:t>
      </w:r>
      <w:r>
        <w:rPr>
          <w:spacing w:val="-3"/>
        </w:rPr>
        <w:t>АлАТ. </w:t>
      </w:r>
      <w:r>
        <w:rPr/>
        <w:t>В результаті метаболізму </w:t>
      </w:r>
      <w:r>
        <w:rPr>
          <w:spacing w:val="-3"/>
        </w:rPr>
        <w:t>АсАТ утворюються </w:t>
      </w:r>
      <w:r>
        <w:rPr/>
        <w:t>речовини, що</w:t>
      </w:r>
      <w:r>
        <w:rPr>
          <w:spacing w:val="28"/>
        </w:rPr>
        <w:t> </w:t>
      </w:r>
      <w:r>
        <w:rPr/>
        <w:t>забезпечують</w:t>
      </w:r>
    </w:p>
    <w:p>
      <w:pPr>
        <w:spacing w:after="0"/>
        <w:sectPr>
          <w:pgSz w:w="11910" w:h="16840"/>
          <w:pgMar w:header="713" w:footer="778" w:top="1140" w:bottom="960" w:left="940" w:right="520"/>
        </w:sectPr>
      </w:pPr>
    </w:p>
    <w:p>
      <w:pPr>
        <w:pStyle w:val="BodyText"/>
        <w:spacing w:before="92"/>
        <w:ind w:right="605"/>
      </w:pPr>
      <w:r>
        <w:rPr/>
        <w:t>глюконеогенез (процес синтезу глюкози </w:t>
      </w:r>
      <w:r>
        <w:rPr>
          <w:spacing w:val="-3"/>
        </w:rPr>
        <w:t>не </w:t>
      </w:r>
      <w:r>
        <w:rPr/>
        <w:t>з вуглеводів). Цей механізм сприяє підтримці</w:t>
      </w:r>
      <w:r>
        <w:rPr>
          <w:spacing w:val="-30"/>
        </w:rPr>
        <w:t> </w:t>
      </w:r>
      <w:r>
        <w:rPr/>
        <w:t>організму</w:t>
      </w:r>
      <w:r>
        <w:rPr>
          <w:spacing w:val="-30"/>
        </w:rPr>
        <w:t> </w:t>
      </w:r>
      <w:r>
        <w:rPr/>
        <w:t>в</w:t>
      </w:r>
      <w:r>
        <w:rPr>
          <w:spacing w:val="-28"/>
        </w:rPr>
        <w:t> </w:t>
      </w:r>
      <w:r>
        <w:rPr>
          <w:spacing w:val="-3"/>
        </w:rPr>
        <w:t>працездатному</w:t>
      </w:r>
      <w:r>
        <w:rPr>
          <w:spacing w:val="-30"/>
        </w:rPr>
        <w:t> </w:t>
      </w:r>
      <w:r>
        <w:rPr/>
        <w:t>стані</w:t>
      </w:r>
      <w:r>
        <w:rPr>
          <w:spacing w:val="-29"/>
        </w:rPr>
        <w:t> </w:t>
      </w:r>
      <w:r>
        <w:rPr/>
        <w:t>в</w:t>
      </w:r>
      <w:r>
        <w:rPr>
          <w:spacing w:val="-28"/>
        </w:rPr>
        <w:t> </w:t>
      </w:r>
      <w:r>
        <w:rPr/>
        <w:t>періоди</w:t>
      </w:r>
      <w:r>
        <w:rPr>
          <w:spacing w:val="-30"/>
        </w:rPr>
        <w:t> </w:t>
      </w:r>
      <w:r>
        <w:rPr/>
        <w:t>голодування</w:t>
      </w:r>
      <w:r>
        <w:rPr>
          <w:spacing w:val="-29"/>
        </w:rPr>
        <w:t> </w:t>
      </w:r>
      <w:r>
        <w:rPr/>
        <w:t>або</w:t>
      </w:r>
      <w:r>
        <w:rPr>
          <w:spacing w:val="-30"/>
        </w:rPr>
        <w:t> </w:t>
      </w:r>
      <w:r>
        <w:rPr/>
        <w:t>підвищених фізичних </w:t>
      </w:r>
      <w:r>
        <w:rPr>
          <w:spacing w:val="-2"/>
        </w:rPr>
        <w:t>навантажень, </w:t>
      </w:r>
      <w:r>
        <w:rPr/>
        <w:t>забезпечуючи </w:t>
      </w:r>
      <w:r>
        <w:rPr>
          <w:spacing w:val="-3"/>
        </w:rPr>
        <w:t>постачання </w:t>
      </w:r>
      <w:r>
        <w:rPr/>
        <w:t>до клітин </w:t>
      </w:r>
      <w:r>
        <w:rPr>
          <w:spacing w:val="-3"/>
        </w:rPr>
        <w:t>енергії. </w:t>
      </w:r>
      <w:r>
        <w:rPr/>
        <w:t>Таким чином АСаТ</w:t>
      </w:r>
      <w:r>
        <w:rPr>
          <w:spacing w:val="-26"/>
        </w:rPr>
        <w:t> </w:t>
      </w:r>
      <w:r>
        <w:rPr/>
        <w:t>бере</w:t>
      </w:r>
      <w:r>
        <w:rPr>
          <w:spacing w:val="-23"/>
        </w:rPr>
        <w:t> </w:t>
      </w:r>
      <w:r>
        <w:rPr/>
        <w:t>участь</w:t>
      </w:r>
      <w:r>
        <w:rPr>
          <w:spacing w:val="-26"/>
        </w:rPr>
        <w:t> </w:t>
      </w:r>
      <w:r>
        <w:rPr/>
        <w:t>в</w:t>
      </w:r>
      <w:r>
        <w:rPr>
          <w:spacing w:val="-28"/>
        </w:rPr>
        <w:t> </w:t>
      </w:r>
      <w:r>
        <w:rPr/>
        <w:t>енергообміну.</w:t>
      </w:r>
      <w:r>
        <w:rPr>
          <w:spacing w:val="-23"/>
        </w:rPr>
        <w:t> </w:t>
      </w:r>
      <w:r>
        <w:rPr>
          <w:spacing w:val="-3"/>
        </w:rPr>
        <w:t>Встановлено,</w:t>
      </w:r>
      <w:r>
        <w:rPr>
          <w:spacing w:val="-25"/>
        </w:rPr>
        <w:t> </w:t>
      </w:r>
      <w:r>
        <w:rPr/>
        <w:t>що</w:t>
      </w:r>
      <w:r>
        <w:rPr>
          <w:spacing w:val="-28"/>
        </w:rPr>
        <w:t> </w:t>
      </w:r>
      <w:r>
        <w:rPr/>
        <w:t>рівень</w:t>
      </w:r>
      <w:r>
        <w:rPr>
          <w:spacing w:val="-26"/>
        </w:rPr>
        <w:t> </w:t>
      </w:r>
      <w:r>
        <w:rPr>
          <w:spacing w:val="-3"/>
        </w:rPr>
        <w:t>АСаТ</w:t>
      </w:r>
      <w:r>
        <w:rPr>
          <w:spacing w:val="-25"/>
        </w:rPr>
        <w:t> </w:t>
      </w:r>
      <w:r>
        <w:rPr/>
        <w:t>контрольної</w:t>
      </w:r>
      <w:r>
        <w:rPr>
          <w:spacing w:val="-26"/>
        </w:rPr>
        <w:t> </w:t>
      </w:r>
      <w:r>
        <w:rPr/>
        <w:t>груп в 1,42 </w:t>
      </w:r>
      <w:r>
        <w:rPr>
          <w:spacing w:val="-3"/>
        </w:rPr>
        <w:t>рази </w:t>
      </w:r>
      <w:r>
        <w:rPr/>
        <w:t>більший </w:t>
      </w:r>
      <w:r>
        <w:rPr>
          <w:spacing w:val="-3"/>
        </w:rPr>
        <w:t>ніж </w:t>
      </w:r>
      <w:r>
        <w:rPr/>
        <w:t>дослідної</w:t>
      </w:r>
      <w:r>
        <w:rPr>
          <w:spacing w:val="-16"/>
        </w:rPr>
        <w:t> </w:t>
      </w:r>
      <w:r>
        <w:rPr>
          <w:spacing w:val="-2"/>
        </w:rPr>
        <w:t>групи.</w:t>
      </w:r>
    </w:p>
    <w:p>
      <w:pPr>
        <w:pStyle w:val="BodyText"/>
        <w:spacing w:before="3"/>
        <w:ind w:right="604" w:firstLine="710"/>
      </w:pPr>
      <w:r>
        <w:rPr/>
        <w:t>Аланінамінотрансфераза – </w:t>
      </w:r>
      <w:r>
        <w:rPr>
          <w:spacing w:val="-3"/>
        </w:rPr>
        <w:t>це </w:t>
      </w:r>
      <w:r>
        <w:rPr/>
        <w:t>фермент, який </w:t>
      </w:r>
      <w:r>
        <w:rPr>
          <w:spacing w:val="-3"/>
        </w:rPr>
        <w:t>присутній </w:t>
      </w:r>
      <w:r>
        <w:rPr/>
        <w:t>головним </w:t>
      </w:r>
      <w:r>
        <w:rPr>
          <w:spacing w:val="-3"/>
        </w:rPr>
        <w:t>чином </w:t>
      </w:r>
      <w:r>
        <w:rPr/>
        <w:t>в клітинах</w:t>
      </w:r>
      <w:r>
        <w:rPr>
          <w:spacing w:val="-4"/>
        </w:rPr>
        <w:t> </w:t>
      </w:r>
      <w:r>
        <w:rPr>
          <w:spacing w:val="-3"/>
        </w:rPr>
        <w:t>печінки</w:t>
      </w:r>
      <w:r>
        <w:rPr>
          <w:spacing w:val="1"/>
        </w:rPr>
        <w:t> </w:t>
      </w:r>
      <w:r>
        <w:rPr/>
        <w:t>і</w:t>
      </w:r>
      <w:r>
        <w:rPr>
          <w:spacing w:val="-8"/>
        </w:rPr>
        <w:t> </w:t>
      </w:r>
      <w:r>
        <w:rPr/>
        <w:t>нирок</w:t>
      </w:r>
      <w:r>
        <w:rPr>
          <w:spacing w:val="-4"/>
        </w:rPr>
        <w:t> </w:t>
      </w:r>
      <w:r>
        <w:rPr/>
        <w:t>і</w:t>
      </w:r>
      <w:r>
        <w:rPr>
          <w:spacing w:val="-8"/>
        </w:rPr>
        <w:t> </w:t>
      </w:r>
      <w:r>
        <w:rPr/>
        <w:t>в</w:t>
      </w:r>
      <w:r>
        <w:rPr>
          <w:spacing w:val="-5"/>
        </w:rPr>
        <w:t> </w:t>
      </w:r>
      <w:r>
        <w:rPr/>
        <w:t>помітно</w:t>
      </w:r>
      <w:r>
        <w:rPr>
          <w:spacing w:val="-4"/>
        </w:rPr>
        <w:t> </w:t>
      </w:r>
      <w:r>
        <w:rPr/>
        <w:t>менших</w:t>
      </w:r>
      <w:r>
        <w:rPr>
          <w:spacing w:val="-3"/>
        </w:rPr>
        <w:t> </w:t>
      </w:r>
      <w:r>
        <w:rPr/>
        <w:t>кількостях</w:t>
      </w:r>
      <w:r>
        <w:rPr>
          <w:spacing w:val="-4"/>
        </w:rPr>
        <w:t> </w:t>
      </w:r>
      <w:r>
        <w:rPr/>
        <w:t>в</w:t>
      </w:r>
      <w:r>
        <w:rPr>
          <w:spacing w:val="-5"/>
        </w:rPr>
        <w:t> </w:t>
      </w:r>
      <w:r>
        <w:rPr/>
        <w:t>клітинах</w:t>
      </w:r>
      <w:r>
        <w:rPr>
          <w:spacing w:val="-8"/>
        </w:rPr>
        <w:t> </w:t>
      </w:r>
      <w:r>
        <w:rPr/>
        <w:t>серця</w:t>
      </w:r>
      <w:r>
        <w:rPr>
          <w:spacing w:val="-2"/>
        </w:rPr>
        <w:t> </w:t>
      </w:r>
      <w:r>
        <w:rPr/>
        <w:t>і</w:t>
      </w:r>
      <w:r>
        <w:rPr>
          <w:spacing w:val="-4"/>
        </w:rPr>
        <w:t> </w:t>
      </w:r>
      <w:r>
        <w:rPr/>
        <w:t>мязів. При</w:t>
      </w:r>
      <w:r>
        <w:rPr>
          <w:spacing w:val="-26"/>
        </w:rPr>
        <w:t> </w:t>
      </w:r>
      <w:r>
        <w:rPr/>
        <w:t>ураженні</w:t>
      </w:r>
      <w:r>
        <w:rPr>
          <w:spacing w:val="-30"/>
        </w:rPr>
        <w:t> </w:t>
      </w:r>
      <w:r>
        <w:rPr/>
        <w:t>клітин</w:t>
      </w:r>
      <w:r>
        <w:rPr>
          <w:spacing w:val="-25"/>
        </w:rPr>
        <w:t> </w:t>
      </w:r>
      <w:r>
        <w:rPr/>
        <w:t>тканини</w:t>
      </w:r>
      <w:r>
        <w:rPr>
          <w:spacing w:val="-30"/>
        </w:rPr>
        <w:t> </w:t>
      </w:r>
      <w:r>
        <w:rPr>
          <w:spacing w:val="-3"/>
        </w:rPr>
        <w:t>печінки</w:t>
      </w:r>
      <w:r>
        <w:rPr>
          <w:spacing w:val="-26"/>
        </w:rPr>
        <w:t> </w:t>
      </w:r>
      <w:r>
        <w:rPr/>
        <w:t>АЛаТ</w:t>
      </w:r>
      <w:r>
        <w:rPr>
          <w:spacing w:val="-27"/>
        </w:rPr>
        <w:t> </w:t>
      </w:r>
      <w:r>
        <w:rPr/>
        <w:t>вивільняється</w:t>
      </w:r>
      <w:r>
        <w:rPr>
          <w:spacing w:val="-28"/>
        </w:rPr>
        <w:t> </w:t>
      </w:r>
      <w:r>
        <w:rPr/>
        <w:t>в</w:t>
      </w:r>
      <w:r>
        <w:rPr>
          <w:spacing w:val="-31"/>
        </w:rPr>
        <w:t> </w:t>
      </w:r>
      <w:r>
        <w:rPr/>
        <w:t>кровоток</w:t>
      </w:r>
      <w:r>
        <w:rPr>
          <w:spacing w:val="-30"/>
        </w:rPr>
        <w:t> </w:t>
      </w:r>
      <w:r>
        <w:rPr/>
        <w:t>зазвичай</w:t>
      </w:r>
      <w:r>
        <w:rPr>
          <w:spacing w:val="-33"/>
        </w:rPr>
        <w:t> </w:t>
      </w:r>
      <w:r>
        <w:rPr/>
        <w:t>ще до</w:t>
      </w:r>
      <w:r>
        <w:rPr>
          <w:spacing w:val="-5"/>
        </w:rPr>
        <w:t> </w:t>
      </w:r>
      <w:r>
        <w:rPr/>
        <w:t>появи</w:t>
      </w:r>
      <w:r>
        <w:rPr>
          <w:spacing w:val="-4"/>
        </w:rPr>
        <w:t> </w:t>
      </w:r>
      <w:r>
        <w:rPr/>
        <w:t>таких</w:t>
      </w:r>
      <w:r>
        <w:rPr>
          <w:spacing w:val="-5"/>
        </w:rPr>
        <w:t> </w:t>
      </w:r>
      <w:r>
        <w:rPr/>
        <w:t>характерних</w:t>
      </w:r>
      <w:r>
        <w:rPr>
          <w:spacing w:val="-9"/>
        </w:rPr>
        <w:t> </w:t>
      </w:r>
      <w:r>
        <w:rPr/>
        <w:t>симптомів</w:t>
      </w:r>
      <w:r>
        <w:rPr>
          <w:spacing w:val="-6"/>
        </w:rPr>
        <w:t> </w:t>
      </w:r>
      <w:r>
        <w:rPr/>
        <w:t>як</w:t>
      </w:r>
      <w:r>
        <w:rPr>
          <w:spacing w:val="-1"/>
        </w:rPr>
        <w:t> </w:t>
      </w:r>
      <w:r>
        <w:rPr>
          <w:spacing w:val="-3"/>
        </w:rPr>
        <w:t>жовтяниця. </w:t>
      </w:r>
      <w:r>
        <w:rPr/>
        <w:t>У</w:t>
      </w:r>
      <w:r>
        <w:rPr>
          <w:spacing w:val="-8"/>
        </w:rPr>
        <w:t> </w:t>
      </w:r>
      <w:r>
        <w:rPr/>
        <w:t>зв’язку</w:t>
      </w:r>
      <w:r>
        <w:rPr>
          <w:spacing w:val="-5"/>
        </w:rPr>
        <w:t> </w:t>
      </w:r>
      <w:r>
        <w:rPr/>
        <w:t>з</w:t>
      </w:r>
      <w:r>
        <w:rPr>
          <w:spacing w:val="-8"/>
        </w:rPr>
        <w:t> </w:t>
      </w:r>
      <w:r>
        <w:rPr/>
        <w:t>цим</w:t>
      </w:r>
      <w:r>
        <w:rPr>
          <w:spacing w:val="-8"/>
        </w:rPr>
        <w:t> </w:t>
      </w:r>
      <w:r>
        <w:rPr/>
        <w:t>активність даного ферменту використовується в якості показника ушкоджень </w:t>
      </w:r>
      <w:r>
        <w:rPr>
          <w:spacing w:val="-3"/>
        </w:rPr>
        <w:t>печінки. </w:t>
      </w:r>
      <w:r>
        <w:rPr/>
        <w:t>Доведено, що активність ферменту </w:t>
      </w:r>
      <w:r>
        <w:rPr>
          <w:spacing w:val="-3"/>
        </w:rPr>
        <w:t>АЛаТ </w:t>
      </w:r>
      <w:r>
        <w:rPr/>
        <w:t>у котів контрольної групи в 1,06 разів більше </w:t>
      </w:r>
      <w:r>
        <w:rPr>
          <w:spacing w:val="-3"/>
        </w:rPr>
        <w:t>ніж </w:t>
      </w:r>
      <w:r>
        <w:rPr/>
        <w:t>дослідної</w:t>
      </w:r>
      <w:r>
        <w:rPr>
          <w:spacing w:val="-9"/>
        </w:rPr>
        <w:t> </w:t>
      </w:r>
      <w:r>
        <w:rPr/>
        <w:t>групи.</w:t>
      </w:r>
    </w:p>
    <w:p>
      <w:pPr>
        <w:pStyle w:val="BodyText"/>
        <w:ind w:right="605" w:firstLine="710"/>
      </w:pPr>
      <w:r>
        <w:rPr/>
        <w:t>Відомо,</w:t>
      </w:r>
      <w:r>
        <w:rPr>
          <w:spacing w:val="-30"/>
        </w:rPr>
        <w:t> </w:t>
      </w:r>
      <w:r>
        <w:rPr/>
        <w:t>що</w:t>
      </w:r>
      <w:r>
        <w:rPr>
          <w:spacing w:val="-28"/>
        </w:rPr>
        <w:t> </w:t>
      </w:r>
      <w:r>
        <w:rPr/>
        <w:t>сечовина</w:t>
      </w:r>
      <w:r>
        <w:rPr>
          <w:spacing w:val="-26"/>
        </w:rPr>
        <w:t> </w:t>
      </w:r>
      <w:r>
        <w:rPr/>
        <w:t>–</w:t>
      </w:r>
      <w:r>
        <w:rPr>
          <w:spacing w:val="-27"/>
        </w:rPr>
        <w:t> </w:t>
      </w:r>
      <w:r>
        <w:rPr/>
        <w:t>один</w:t>
      </w:r>
      <w:r>
        <w:rPr>
          <w:spacing w:val="-29"/>
        </w:rPr>
        <w:t> </w:t>
      </w:r>
      <w:r>
        <w:rPr/>
        <w:t>з</w:t>
      </w:r>
      <w:r>
        <w:rPr>
          <w:spacing w:val="-27"/>
        </w:rPr>
        <w:t> </w:t>
      </w:r>
      <w:r>
        <w:rPr/>
        <w:t>кінцевих</w:t>
      </w:r>
      <w:r>
        <w:rPr>
          <w:spacing w:val="-28"/>
        </w:rPr>
        <w:t> </w:t>
      </w:r>
      <w:r>
        <w:rPr>
          <w:spacing w:val="-3"/>
        </w:rPr>
        <w:t>продуктів</w:t>
      </w:r>
      <w:r>
        <w:rPr>
          <w:spacing w:val="-26"/>
        </w:rPr>
        <w:t> </w:t>
      </w:r>
      <w:r>
        <w:rPr/>
        <w:t>білкового</w:t>
      </w:r>
      <w:r>
        <w:rPr>
          <w:spacing w:val="-28"/>
        </w:rPr>
        <w:t> </w:t>
      </w:r>
      <w:r>
        <w:rPr/>
        <w:t>метаболізму,</w:t>
      </w:r>
      <w:r>
        <w:rPr>
          <w:spacing w:val="-26"/>
        </w:rPr>
        <w:t> </w:t>
      </w:r>
      <w:r>
        <w:rPr/>
        <w:t>що містить азот. Вона </w:t>
      </w:r>
      <w:r>
        <w:rPr>
          <w:spacing w:val="-3"/>
        </w:rPr>
        <w:t>продукується </w:t>
      </w:r>
      <w:r>
        <w:rPr/>
        <w:t>в </w:t>
      </w:r>
      <w:r>
        <w:rPr>
          <w:spacing w:val="-3"/>
        </w:rPr>
        <w:t>печінці, </w:t>
      </w:r>
      <w:r>
        <w:rPr/>
        <w:t>переноситься кров’ю в нирки, </w:t>
      </w:r>
      <w:r>
        <w:rPr>
          <w:spacing w:val="-3"/>
        </w:rPr>
        <w:t>там </w:t>
      </w:r>
      <w:r>
        <w:rPr/>
        <w:t>фільтрується через судинний клубочок, а потім виділяється з </w:t>
      </w:r>
      <w:r>
        <w:rPr>
          <w:spacing w:val="-3"/>
        </w:rPr>
        <w:t>сечею. </w:t>
      </w:r>
      <w:r>
        <w:rPr/>
        <w:t>Результат тесту на сечовину в крові є показником клубочкової </w:t>
      </w:r>
      <w:r>
        <w:rPr>
          <w:spacing w:val="-3"/>
        </w:rPr>
        <w:t>продукції </w:t>
      </w:r>
      <w:r>
        <w:rPr/>
        <w:t>і екскреції сечі. Рівень сечовини в крові залежить не </w:t>
      </w:r>
      <w:r>
        <w:rPr>
          <w:spacing w:val="-3"/>
        </w:rPr>
        <w:t>тільки від </w:t>
      </w:r>
      <w:r>
        <w:rPr/>
        <w:t>патологічних </w:t>
      </w:r>
      <w:r>
        <w:rPr>
          <w:spacing w:val="-3"/>
        </w:rPr>
        <w:t>чинників, </w:t>
      </w:r>
      <w:r>
        <w:rPr/>
        <w:t>але і </w:t>
      </w:r>
      <w:r>
        <w:rPr>
          <w:spacing w:val="-3"/>
        </w:rPr>
        <w:t>від </w:t>
      </w:r>
      <w:r>
        <w:rPr/>
        <w:t>фізіологічних (фізичного </w:t>
      </w:r>
      <w:r>
        <w:rPr>
          <w:spacing w:val="-3"/>
        </w:rPr>
        <w:t>навантаження, </w:t>
      </w:r>
      <w:r>
        <w:rPr/>
        <w:t>характеру харчування, стресів і </w:t>
      </w:r>
      <w:r>
        <w:rPr>
          <w:spacing w:val="-3"/>
        </w:rPr>
        <w:t>т.д.). </w:t>
      </w:r>
      <w:r>
        <w:rPr/>
        <w:t>Дослідженнями </w:t>
      </w:r>
      <w:r>
        <w:rPr>
          <w:spacing w:val="-3"/>
        </w:rPr>
        <w:t>встановлено, </w:t>
      </w:r>
      <w:r>
        <w:rPr/>
        <w:t>що рівень сечовини дослідної групи в 1,02 рази більше </w:t>
      </w:r>
      <w:r>
        <w:rPr>
          <w:spacing w:val="-3"/>
        </w:rPr>
        <w:t>ніж </w:t>
      </w:r>
      <w:r>
        <w:rPr/>
        <w:t>контрольної</w:t>
      </w:r>
      <w:r>
        <w:rPr>
          <w:spacing w:val="-4"/>
        </w:rPr>
        <w:t> </w:t>
      </w:r>
      <w:r>
        <w:rPr>
          <w:spacing w:val="-2"/>
        </w:rPr>
        <w:t>групи.</w:t>
      </w:r>
    </w:p>
    <w:p>
      <w:pPr>
        <w:pStyle w:val="BodyText"/>
        <w:ind w:right="602" w:firstLine="710"/>
      </w:pPr>
      <w:r>
        <w:rPr/>
        <w:t>Креатинін є </w:t>
      </w:r>
      <w:r>
        <w:rPr>
          <w:spacing w:val="-3"/>
        </w:rPr>
        <w:t>кінцевим </w:t>
      </w:r>
      <w:r>
        <w:rPr/>
        <w:t>продуктом </w:t>
      </w:r>
      <w:r>
        <w:rPr>
          <w:spacing w:val="-3"/>
        </w:rPr>
        <w:t>обміну </w:t>
      </w:r>
      <w:r>
        <w:rPr/>
        <w:t>білків, що бере участь в процесі отримання</w:t>
      </w:r>
      <w:r>
        <w:rPr>
          <w:spacing w:val="-13"/>
        </w:rPr>
        <w:t> </w:t>
      </w:r>
      <w:r>
        <w:rPr/>
        <w:t>енергії</w:t>
      </w:r>
      <w:r>
        <w:rPr>
          <w:spacing w:val="-9"/>
        </w:rPr>
        <w:t> </w:t>
      </w:r>
      <w:r>
        <w:rPr>
          <w:spacing w:val="-3"/>
        </w:rPr>
        <w:t>під</w:t>
      </w:r>
      <w:r>
        <w:rPr>
          <w:spacing w:val="-8"/>
        </w:rPr>
        <w:t> </w:t>
      </w:r>
      <w:r>
        <w:rPr/>
        <w:t>час</w:t>
      </w:r>
      <w:r>
        <w:rPr>
          <w:spacing w:val="-12"/>
        </w:rPr>
        <w:t> </w:t>
      </w:r>
      <w:r>
        <w:rPr/>
        <w:t>м’язових</w:t>
      </w:r>
      <w:r>
        <w:rPr>
          <w:spacing w:val="-17"/>
        </w:rPr>
        <w:t> </w:t>
      </w:r>
      <w:r>
        <w:rPr/>
        <w:t>скорочень.</w:t>
      </w:r>
      <w:r>
        <w:rPr>
          <w:spacing w:val="-7"/>
        </w:rPr>
        <w:t> </w:t>
      </w:r>
      <w:r>
        <w:rPr>
          <w:spacing w:val="-4"/>
        </w:rPr>
        <w:t>Він</w:t>
      </w:r>
      <w:r>
        <w:rPr>
          <w:spacing w:val="-10"/>
        </w:rPr>
        <w:t> </w:t>
      </w:r>
      <w:r>
        <w:rPr/>
        <w:t>утворюється</w:t>
      </w:r>
      <w:r>
        <w:rPr>
          <w:spacing w:val="-8"/>
        </w:rPr>
        <w:t> </w:t>
      </w:r>
      <w:r>
        <w:rPr/>
        <w:t>в</w:t>
      </w:r>
      <w:r>
        <w:rPr>
          <w:spacing w:val="-12"/>
        </w:rPr>
        <w:t> </w:t>
      </w:r>
      <w:r>
        <w:rPr>
          <w:spacing w:val="-3"/>
        </w:rPr>
        <w:t>печінці,</w:t>
      </w:r>
      <w:r>
        <w:rPr>
          <w:spacing w:val="-11"/>
        </w:rPr>
        <w:t> </w:t>
      </w:r>
      <w:r>
        <w:rPr/>
        <w:t>а</w:t>
      </w:r>
      <w:r>
        <w:rPr>
          <w:spacing w:val="-9"/>
        </w:rPr>
        <w:t> </w:t>
      </w:r>
      <w:r>
        <w:rPr/>
        <w:t>потім виділяється</w:t>
      </w:r>
      <w:r>
        <w:rPr>
          <w:spacing w:val="-24"/>
        </w:rPr>
        <w:t> </w:t>
      </w:r>
      <w:r>
        <w:rPr/>
        <w:t>в</w:t>
      </w:r>
      <w:r>
        <w:rPr>
          <w:spacing w:val="-22"/>
        </w:rPr>
        <w:t> </w:t>
      </w:r>
      <w:r>
        <w:rPr/>
        <w:t>кров.</w:t>
      </w:r>
      <w:r>
        <w:rPr>
          <w:spacing w:val="-23"/>
        </w:rPr>
        <w:t> </w:t>
      </w:r>
      <w:r>
        <w:rPr/>
        <w:t>В</w:t>
      </w:r>
      <w:r>
        <w:rPr>
          <w:spacing w:val="-24"/>
        </w:rPr>
        <w:t> </w:t>
      </w:r>
      <w:r>
        <w:rPr/>
        <w:t>здоровому</w:t>
      </w:r>
      <w:r>
        <w:rPr>
          <w:spacing w:val="-22"/>
        </w:rPr>
        <w:t> </w:t>
      </w:r>
      <w:r>
        <w:rPr>
          <w:spacing w:val="-3"/>
        </w:rPr>
        <w:t>організмі</w:t>
      </w:r>
      <w:r>
        <w:rPr>
          <w:spacing w:val="-25"/>
        </w:rPr>
        <w:t> </w:t>
      </w:r>
      <w:r>
        <w:rPr/>
        <w:t>цей</w:t>
      </w:r>
      <w:r>
        <w:rPr>
          <w:spacing w:val="-21"/>
        </w:rPr>
        <w:t> </w:t>
      </w:r>
      <w:r>
        <w:rPr/>
        <w:t>процес</w:t>
      </w:r>
      <w:r>
        <w:rPr>
          <w:spacing w:val="-24"/>
        </w:rPr>
        <w:t> </w:t>
      </w:r>
      <w:r>
        <w:rPr/>
        <w:t>відбувається</w:t>
      </w:r>
      <w:r>
        <w:rPr>
          <w:spacing w:val="-23"/>
        </w:rPr>
        <w:t> </w:t>
      </w:r>
      <w:r>
        <w:rPr/>
        <w:t>постійно,</w:t>
      </w:r>
      <w:r>
        <w:rPr>
          <w:spacing w:val="-23"/>
        </w:rPr>
        <w:t> </w:t>
      </w:r>
      <w:r>
        <w:rPr/>
        <w:t>тому рівень креатиніну в крові досить стабільний і </w:t>
      </w:r>
      <w:r>
        <w:rPr>
          <w:spacing w:val="-3"/>
        </w:rPr>
        <w:t>визначається, </w:t>
      </w:r>
      <w:r>
        <w:rPr/>
        <w:t>як правило, об’ємом м’язової маси. Креатинін входить в </w:t>
      </w:r>
      <w:r>
        <w:rPr>
          <w:spacing w:val="-3"/>
        </w:rPr>
        <w:t>цикл, </w:t>
      </w:r>
      <w:r>
        <w:rPr/>
        <w:t>що забезпечує організм </w:t>
      </w:r>
      <w:r>
        <w:rPr>
          <w:spacing w:val="-3"/>
        </w:rPr>
        <w:t>енергією </w:t>
      </w:r>
      <w:r>
        <w:rPr/>
        <w:t>для скорочення м’язів. </w:t>
      </w:r>
      <w:r>
        <w:rPr>
          <w:spacing w:val="-3"/>
        </w:rPr>
        <w:t>Визначено, </w:t>
      </w:r>
      <w:r>
        <w:rPr/>
        <w:t>що </w:t>
      </w:r>
      <w:r>
        <w:rPr>
          <w:spacing w:val="-3"/>
        </w:rPr>
        <w:t>рівень </w:t>
      </w:r>
      <w:r>
        <w:rPr/>
        <w:t>креатиніну у тварин дослідної групи в 1,01 рази більша </w:t>
      </w:r>
      <w:r>
        <w:rPr>
          <w:spacing w:val="-3"/>
        </w:rPr>
        <w:t>ніж </w:t>
      </w:r>
      <w:r>
        <w:rPr/>
        <w:t>контрольної</w:t>
      </w:r>
      <w:r>
        <w:rPr>
          <w:spacing w:val="-13"/>
        </w:rPr>
        <w:t> </w:t>
      </w:r>
      <w:r>
        <w:rPr/>
        <w:t>групи.</w:t>
      </w:r>
    </w:p>
    <w:p>
      <w:pPr>
        <w:pStyle w:val="BodyText"/>
        <w:ind w:right="603" w:firstLine="710"/>
      </w:pPr>
      <w:r>
        <w:rPr>
          <w:spacing w:val="-3"/>
        </w:rPr>
        <w:t>Функції </w:t>
      </w:r>
      <w:r>
        <w:rPr/>
        <w:t>білків в організмі різноманітні: вони є частиною імунної </w:t>
      </w:r>
      <w:r>
        <w:rPr>
          <w:spacing w:val="-3"/>
        </w:rPr>
        <w:t>системи, </w:t>
      </w:r>
      <w:r>
        <w:rPr/>
        <w:t>беруть участь в переміщенні необхідних для діяльності клітини речовин, беруть участь в </w:t>
      </w:r>
      <w:r>
        <w:rPr>
          <w:spacing w:val="-3"/>
        </w:rPr>
        <w:t>обміні </w:t>
      </w:r>
      <w:r>
        <w:rPr/>
        <w:t>речовин, регенерації тканин, виробництві гормонів і </w:t>
      </w:r>
      <w:r>
        <w:rPr>
          <w:spacing w:val="-3"/>
        </w:rPr>
        <w:t>інших </w:t>
      </w:r>
      <w:r>
        <w:rPr/>
        <w:t>процесах. </w:t>
      </w:r>
      <w:r>
        <w:rPr>
          <w:spacing w:val="-3"/>
        </w:rPr>
        <w:t>Функції </w:t>
      </w:r>
      <w:r>
        <w:rPr/>
        <w:t>цих білків </w:t>
      </w:r>
      <w:r>
        <w:rPr>
          <w:spacing w:val="-3"/>
        </w:rPr>
        <w:t>численні: </w:t>
      </w:r>
      <w:r>
        <w:rPr/>
        <w:t>вони відповідають </w:t>
      </w:r>
      <w:r>
        <w:rPr>
          <w:spacing w:val="-3"/>
        </w:rPr>
        <w:t>за </w:t>
      </w:r>
      <w:r>
        <w:rPr/>
        <w:t>згортання крові і підтримання </w:t>
      </w:r>
      <w:r>
        <w:rPr>
          <w:spacing w:val="-3"/>
        </w:rPr>
        <w:t>її </w:t>
      </w:r>
      <w:r>
        <w:rPr/>
        <w:t>нормального кислотно – лужного балансу, </w:t>
      </w:r>
      <w:r>
        <w:rPr>
          <w:spacing w:val="-3"/>
        </w:rPr>
        <w:t>за </w:t>
      </w:r>
      <w:r>
        <w:rPr/>
        <w:t>імунні реакції і транспортування</w:t>
      </w:r>
      <w:r>
        <w:rPr>
          <w:spacing w:val="-15"/>
        </w:rPr>
        <w:t> </w:t>
      </w:r>
      <w:r>
        <w:rPr/>
        <w:t>гормонів,</w:t>
      </w:r>
      <w:r>
        <w:rPr>
          <w:spacing w:val="-13"/>
        </w:rPr>
        <w:t> </w:t>
      </w:r>
      <w:r>
        <w:rPr/>
        <w:t>за</w:t>
      </w:r>
      <w:r>
        <w:rPr>
          <w:spacing w:val="-13"/>
        </w:rPr>
        <w:t> </w:t>
      </w:r>
      <w:r>
        <w:rPr>
          <w:spacing w:val="-3"/>
        </w:rPr>
        <w:t>консистенцію</w:t>
      </w:r>
      <w:r>
        <w:rPr>
          <w:spacing w:val="-12"/>
        </w:rPr>
        <w:t> </w:t>
      </w:r>
      <w:r>
        <w:rPr/>
        <w:t>крові</w:t>
      </w:r>
      <w:r>
        <w:rPr>
          <w:spacing w:val="-16"/>
        </w:rPr>
        <w:t> </w:t>
      </w:r>
      <w:r>
        <w:rPr>
          <w:spacing w:val="-3"/>
        </w:rPr>
        <w:t>і,</w:t>
      </w:r>
      <w:r>
        <w:rPr>
          <w:spacing w:val="-9"/>
        </w:rPr>
        <w:t> </w:t>
      </w:r>
      <w:r>
        <w:rPr/>
        <w:t>як</w:t>
      </w:r>
      <w:r>
        <w:rPr>
          <w:spacing w:val="-12"/>
        </w:rPr>
        <w:t> </w:t>
      </w:r>
      <w:r>
        <w:rPr>
          <w:spacing w:val="-3"/>
        </w:rPr>
        <w:t>наслідок,</w:t>
      </w:r>
      <w:r>
        <w:rPr>
          <w:spacing w:val="-8"/>
        </w:rPr>
        <w:t> </w:t>
      </w:r>
      <w:r>
        <w:rPr/>
        <w:t>за</w:t>
      </w:r>
      <w:r>
        <w:rPr>
          <w:spacing w:val="-15"/>
        </w:rPr>
        <w:t> </w:t>
      </w:r>
      <w:r>
        <w:rPr/>
        <w:t>роботу</w:t>
      </w:r>
      <w:r>
        <w:rPr>
          <w:spacing w:val="-15"/>
        </w:rPr>
        <w:t> </w:t>
      </w:r>
      <w:r>
        <w:rPr/>
        <w:t>судин</w:t>
      </w:r>
      <w:r>
        <w:rPr>
          <w:spacing w:val="-15"/>
        </w:rPr>
        <w:t> </w:t>
      </w:r>
      <w:r>
        <w:rPr/>
        <w:t>і серця.</w:t>
      </w:r>
      <w:r>
        <w:rPr>
          <w:spacing w:val="-18"/>
        </w:rPr>
        <w:t> </w:t>
      </w:r>
      <w:r>
        <w:rPr/>
        <w:t>При</w:t>
      </w:r>
      <w:r>
        <w:rPr>
          <w:spacing w:val="-22"/>
        </w:rPr>
        <w:t> </w:t>
      </w:r>
      <w:r>
        <w:rPr/>
        <w:t>визначенні,</w:t>
      </w:r>
      <w:r>
        <w:rPr>
          <w:spacing w:val="-22"/>
        </w:rPr>
        <w:t> </w:t>
      </w:r>
      <w:r>
        <w:rPr/>
        <w:t>рівень</w:t>
      </w:r>
      <w:r>
        <w:rPr>
          <w:spacing w:val="-21"/>
        </w:rPr>
        <w:t> </w:t>
      </w:r>
      <w:r>
        <w:rPr/>
        <w:t>загального</w:t>
      </w:r>
      <w:r>
        <w:rPr>
          <w:spacing w:val="-26"/>
        </w:rPr>
        <w:t> </w:t>
      </w:r>
      <w:r>
        <w:rPr/>
        <w:t>білка</w:t>
      </w:r>
      <w:r>
        <w:rPr>
          <w:spacing w:val="-19"/>
        </w:rPr>
        <w:t> </w:t>
      </w:r>
      <w:r>
        <w:rPr/>
        <w:t>у</w:t>
      </w:r>
      <w:r>
        <w:rPr>
          <w:spacing w:val="-23"/>
        </w:rPr>
        <w:t> </w:t>
      </w:r>
      <w:r>
        <w:rPr/>
        <w:t>тварин</w:t>
      </w:r>
      <w:r>
        <w:rPr>
          <w:spacing w:val="-22"/>
        </w:rPr>
        <w:t> </w:t>
      </w:r>
      <w:r>
        <w:rPr/>
        <w:t>дослідної</w:t>
      </w:r>
      <w:r>
        <w:rPr>
          <w:spacing w:val="-24"/>
        </w:rPr>
        <w:t> </w:t>
      </w:r>
      <w:r>
        <w:rPr/>
        <w:t>групи</w:t>
      </w:r>
      <w:r>
        <w:rPr>
          <w:spacing w:val="-22"/>
        </w:rPr>
        <w:t> </w:t>
      </w:r>
      <w:r>
        <w:rPr/>
        <w:t>становив в 1,05 більше, а </w:t>
      </w:r>
      <w:r>
        <w:rPr>
          <w:spacing w:val="-3"/>
        </w:rPr>
        <w:t>ніж </w:t>
      </w:r>
      <w:r>
        <w:rPr/>
        <w:t>в групі</w:t>
      </w:r>
      <w:r>
        <w:rPr>
          <w:spacing w:val="-26"/>
        </w:rPr>
        <w:t> </w:t>
      </w:r>
      <w:r>
        <w:rPr/>
        <w:t>контролю.</w:t>
      </w:r>
    </w:p>
    <w:p>
      <w:pPr>
        <w:pStyle w:val="BodyText"/>
        <w:spacing w:before="1"/>
        <w:ind w:right="603" w:firstLine="710"/>
      </w:pPr>
      <w:r>
        <w:rPr/>
        <w:t>В основному аналіз на лужну фосфатазу застосовують при діагностиці хвороб </w:t>
      </w:r>
      <w:r>
        <w:rPr>
          <w:spacing w:val="-3"/>
        </w:rPr>
        <w:t>печінки, </w:t>
      </w:r>
      <w:r>
        <w:rPr/>
        <w:t>ураженнях </w:t>
      </w:r>
      <w:r>
        <w:rPr>
          <w:spacing w:val="-3"/>
        </w:rPr>
        <w:t>кісток, </w:t>
      </w:r>
      <w:r>
        <w:rPr/>
        <w:t>захворюваннях серця, крові </w:t>
      </w:r>
      <w:r>
        <w:rPr>
          <w:spacing w:val="-4"/>
        </w:rPr>
        <w:t>та </w:t>
      </w:r>
      <w:r>
        <w:rPr/>
        <w:t>ендокринної системи. Цей показник може вказувати </w:t>
      </w:r>
      <w:r>
        <w:rPr>
          <w:spacing w:val="-3"/>
        </w:rPr>
        <w:t>на </w:t>
      </w:r>
      <w:r>
        <w:rPr/>
        <w:t>важкі форми анемії та призначатися в разі підозри на </w:t>
      </w:r>
      <w:r>
        <w:rPr>
          <w:spacing w:val="-3"/>
        </w:rPr>
        <w:t>ішемію </w:t>
      </w:r>
      <w:r>
        <w:rPr/>
        <w:t>та інфаркт міокарда. </w:t>
      </w:r>
      <w:r>
        <w:rPr>
          <w:spacing w:val="-3"/>
        </w:rPr>
        <w:t>Слід </w:t>
      </w:r>
      <w:r>
        <w:rPr/>
        <w:t>підкреслити, що лужна фосфатаза пов’язана з клітинною мембраною і </w:t>
      </w:r>
      <w:r>
        <w:rPr>
          <w:spacing w:val="-3"/>
        </w:rPr>
        <w:t>не </w:t>
      </w:r>
      <w:r>
        <w:rPr/>
        <w:t>вивільняється в зовнішнє середовище подібно ферментам первинних </w:t>
      </w:r>
      <w:r>
        <w:rPr>
          <w:spacing w:val="-3"/>
        </w:rPr>
        <w:t>гранул. </w:t>
      </w:r>
      <w:r>
        <w:rPr/>
        <w:t>До певного моменту зміни в лізосомах мають адаптивний характер і не призводять до </w:t>
      </w:r>
      <w:r>
        <w:rPr>
          <w:spacing w:val="-3"/>
        </w:rPr>
        <w:t>пошкодження клітини. </w:t>
      </w:r>
      <w:r>
        <w:rPr/>
        <w:t>Однак</w:t>
      </w:r>
      <w:r>
        <w:rPr>
          <w:spacing w:val="-28"/>
        </w:rPr>
        <w:t> </w:t>
      </w:r>
      <w:r>
        <w:rPr/>
        <w:t>зі</w:t>
      </w:r>
      <w:r>
        <w:rPr>
          <w:spacing w:val="-26"/>
        </w:rPr>
        <w:t> </w:t>
      </w:r>
      <w:r>
        <w:rPr/>
        <w:t>збільшенням</w:t>
      </w:r>
      <w:r>
        <w:rPr>
          <w:spacing w:val="-25"/>
        </w:rPr>
        <w:t> </w:t>
      </w:r>
      <w:r>
        <w:rPr/>
        <w:t>сили</w:t>
      </w:r>
      <w:r>
        <w:rPr>
          <w:spacing w:val="-26"/>
        </w:rPr>
        <w:t> </w:t>
      </w:r>
      <w:r>
        <w:rPr/>
        <w:t>або</w:t>
      </w:r>
      <w:r>
        <w:rPr>
          <w:spacing w:val="-26"/>
        </w:rPr>
        <w:t> </w:t>
      </w:r>
      <w:r>
        <w:rPr/>
        <w:t>тривалості</w:t>
      </w:r>
      <w:r>
        <w:rPr>
          <w:spacing w:val="-27"/>
        </w:rPr>
        <w:t> </w:t>
      </w:r>
      <w:r>
        <w:rPr/>
        <w:t>подразнення</w:t>
      </w:r>
      <w:r>
        <w:rPr>
          <w:spacing w:val="-21"/>
        </w:rPr>
        <w:t> </w:t>
      </w:r>
      <w:r>
        <w:rPr>
          <w:spacing w:val="-3"/>
        </w:rPr>
        <w:t>відзначаються</w:t>
      </w:r>
      <w:r>
        <w:rPr>
          <w:spacing w:val="-22"/>
        </w:rPr>
        <w:t> </w:t>
      </w:r>
      <w:r>
        <w:rPr/>
        <w:t>порушення цілісності</w:t>
      </w:r>
      <w:r>
        <w:rPr>
          <w:spacing w:val="-11"/>
        </w:rPr>
        <w:t> </w:t>
      </w:r>
      <w:r>
        <w:rPr/>
        <w:t>лізосомальних</w:t>
      </w:r>
      <w:r>
        <w:rPr>
          <w:spacing w:val="-14"/>
        </w:rPr>
        <w:t> </w:t>
      </w:r>
      <w:r>
        <w:rPr/>
        <w:t>мембран</w:t>
      </w:r>
      <w:r>
        <w:rPr>
          <w:spacing w:val="-6"/>
        </w:rPr>
        <w:t> </w:t>
      </w:r>
      <w:r>
        <w:rPr/>
        <w:t>і</w:t>
      </w:r>
      <w:r>
        <w:rPr>
          <w:spacing w:val="-14"/>
        </w:rPr>
        <w:t> </w:t>
      </w:r>
      <w:r>
        <w:rPr/>
        <w:t>вихід</w:t>
      </w:r>
      <w:r>
        <w:rPr>
          <w:spacing w:val="-5"/>
        </w:rPr>
        <w:t> </w:t>
      </w:r>
      <w:r>
        <w:rPr/>
        <w:t>ферментів</w:t>
      </w:r>
      <w:r>
        <w:rPr>
          <w:spacing w:val="-8"/>
        </w:rPr>
        <w:t> </w:t>
      </w:r>
      <w:r>
        <w:rPr/>
        <w:t>в</w:t>
      </w:r>
      <w:r>
        <w:rPr>
          <w:spacing w:val="-12"/>
        </w:rPr>
        <w:t> </w:t>
      </w:r>
      <w:r>
        <w:rPr/>
        <w:t>цитоплазму</w:t>
      </w:r>
      <w:r>
        <w:rPr>
          <w:spacing w:val="-10"/>
        </w:rPr>
        <w:t> </w:t>
      </w:r>
      <w:r>
        <w:rPr/>
        <w:t>і</w:t>
      </w:r>
      <w:r>
        <w:rPr>
          <w:spacing w:val="-10"/>
        </w:rPr>
        <w:t> </w:t>
      </w:r>
      <w:r>
        <w:rPr/>
        <w:t>циркулюючу</w:t>
      </w:r>
    </w:p>
    <w:p>
      <w:pPr>
        <w:spacing w:after="0"/>
        <w:sectPr>
          <w:pgSz w:w="11910" w:h="16840"/>
          <w:pgMar w:header="713" w:footer="778" w:top="1140" w:bottom="960" w:left="940" w:right="520"/>
        </w:sectPr>
      </w:pPr>
    </w:p>
    <w:p>
      <w:pPr>
        <w:pStyle w:val="BodyText"/>
        <w:spacing w:before="92"/>
        <w:ind w:right="605"/>
      </w:pPr>
      <w:r>
        <w:rPr/>
        <w:t>кров</w:t>
      </w:r>
      <w:r>
        <w:rPr>
          <w:spacing w:val="-36"/>
        </w:rPr>
        <w:t> </w:t>
      </w:r>
      <w:r>
        <w:rPr/>
        <w:t>з</w:t>
      </w:r>
      <w:r>
        <w:rPr>
          <w:spacing w:val="-36"/>
        </w:rPr>
        <w:t> </w:t>
      </w:r>
      <w:r>
        <w:rPr/>
        <w:t>подальшим</w:t>
      </w:r>
      <w:r>
        <w:rPr>
          <w:spacing w:val="-36"/>
        </w:rPr>
        <w:t> </w:t>
      </w:r>
      <w:r>
        <w:rPr/>
        <w:t>розвитком</w:t>
      </w:r>
      <w:r>
        <w:rPr>
          <w:spacing w:val="-35"/>
        </w:rPr>
        <w:t> </w:t>
      </w:r>
      <w:r>
        <w:rPr/>
        <w:t>ланцюгового</w:t>
      </w:r>
      <w:r>
        <w:rPr>
          <w:spacing w:val="-34"/>
        </w:rPr>
        <w:t> </w:t>
      </w:r>
      <w:r>
        <w:rPr/>
        <w:t>лізосомального</w:t>
      </w:r>
      <w:r>
        <w:rPr>
          <w:spacing w:val="-33"/>
        </w:rPr>
        <w:t> </w:t>
      </w:r>
      <w:r>
        <w:rPr/>
        <w:t>цитолітичного</w:t>
      </w:r>
      <w:r>
        <w:rPr>
          <w:spacing w:val="-34"/>
        </w:rPr>
        <w:t> </w:t>
      </w:r>
      <w:r>
        <w:rPr/>
        <w:t>процесу і пошкодженням </w:t>
      </w:r>
      <w:r>
        <w:rPr>
          <w:spacing w:val="-3"/>
        </w:rPr>
        <w:t>тканини. </w:t>
      </w:r>
      <w:r>
        <w:rPr/>
        <w:t>Основними факторами, що сприяють підвищенню проникності </w:t>
      </w:r>
      <w:r>
        <w:rPr>
          <w:spacing w:val="-3"/>
        </w:rPr>
        <w:t>мембран, </w:t>
      </w:r>
      <w:r>
        <w:rPr/>
        <w:t>а значить, і виділенню внутрішньоклітинних ферментів, є гіпоксія / ішемія, ендогенні продукти розпаду тканин або мікроорганізмів, посилений синтез глюкокортикоїдів, зниження вмісту </w:t>
      </w:r>
      <w:r>
        <w:rPr>
          <w:spacing w:val="-3"/>
        </w:rPr>
        <w:t>інсуліну. Визначено, </w:t>
      </w:r>
      <w:r>
        <w:rPr/>
        <w:t>що рівень лужної фосфатази у тварин контрольної групи в 1,09 рази більше </w:t>
      </w:r>
      <w:r>
        <w:rPr>
          <w:spacing w:val="-3"/>
        </w:rPr>
        <w:t>ніж </w:t>
      </w:r>
      <w:r>
        <w:rPr/>
        <w:t>в дослідній</w:t>
      </w:r>
      <w:r>
        <w:rPr>
          <w:spacing w:val="-4"/>
        </w:rPr>
        <w:t> </w:t>
      </w:r>
      <w:r>
        <w:rPr/>
        <w:t>групі.</w:t>
      </w:r>
    </w:p>
    <w:p>
      <w:pPr>
        <w:pStyle w:val="BodyText"/>
        <w:spacing w:before="2"/>
        <w:ind w:right="602" w:firstLine="710"/>
      </w:pPr>
      <w:r>
        <w:rPr/>
        <w:t>Лактатдегідрогеназа – внутрішньоклітинний гліколітичний фермент, який бере</w:t>
      </w:r>
      <w:r>
        <w:rPr>
          <w:spacing w:val="-11"/>
        </w:rPr>
        <w:t> </w:t>
      </w:r>
      <w:r>
        <w:rPr/>
        <w:t>участь</w:t>
      </w:r>
      <w:r>
        <w:rPr>
          <w:spacing w:val="-13"/>
        </w:rPr>
        <w:t> </w:t>
      </w:r>
      <w:r>
        <w:rPr/>
        <w:t>у</w:t>
      </w:r>
      <w:r>
        <w:rPr>
          <w:spacing w:val="-16"/>
        </w:rPr>
        <w:t> </w:t>
      </w:r>
      <w:r>
        <w:rPr/>
        <w:t>зворотньому</w:t>
      </w:r>
      <w:r>
        <w:rPr>
          <w:spacing w:val="-15"/>
        </w:rPr>
        <w:t> </w:t>
      </w:r>
      <w:r>
        <w:rPr/>
        <w:t>перетворенні</w:t>
      </w:r>
      <w:r>
        <w:rPr>
          <w:spacing w:val="-16"/>
        </w:rPr>
        <w:t> </w:t>
      </w:r>
      <w:r>
        <w:rPr/>
        <w:t>лактату</w:t>
      </w:r>
      <w:r>
        <w:rPr>
          <w:spacing w:val="-15"/>
        </w:rPr>
        <w:t> </w:t>
      </w:r>
      <w:r>
        <w:rPr/>
        <w:t>в</w:t>
      </w:r>
      <w:r>
        <w:rPr>
          <w:spacing w:val="-13"/>
        </w:rPr>
        <w:t> </w:t>
      </w:r>
      <w:r>
        <w:rPr/>
        <w:t>піруват</w:t>
      </w:r>
      <w:r>
        <w:rPr>
          <w:spacing w:val="-13"/>
        </w:rPr>
        <w:t> </w:t>
      </w:r>
      <w:r>
        <w:rPr/>
        <w:t>і</w:t>
      </w:r>
      <w:r>
        <w:rPr>
          <w:spacing w:val="-16"/>
        </w:rPr>
        <w:t> </w:t>
      </w:r>
      <w:r>
        <w:rPr/>
        <w:t>міститься</w:t>
      </w:r>
      <w:r>
        <w:rPr>
          <w:spacing w:val="-10"/>
        </w:rPr>
        <w:t> </w:t>
      </w:r>
      <w:r>
        <w:rPr/>
        <w:t>в</w:t>
      </w:r>
      <w:r>
        <w:rPr>
          <w:spacing w:val="-17"/>
        </w:rPr>
        <w:t> </w:t>
      </w:r>
      <w:r>
        <w:rPr/>
        <w:t>більшості тканин</w:t>
      </w:r>
      <w:r>
        <w:rPr>
          <w:spacing w:val="-37"/>
        </w:rPr>
        <w:t> </w:t>
      </w:r>
      <w:r>
        <w:rPr/>
        <w:t>організму.</w:t>
      </w:r>
      <w:r>
        <w:rPr>
          <w:spacing w:val="-35"/>
        </w:rPr>
        <w:t> </w:t>
      </w:r>
      <w:r>
        <w:rPr/>
        <w:t>Лактатдегідрогеназа</w:t>
      </w:r>
      <w:r>
        <w:rPr>
          <w:spacing w:val="-35"/>
        </w:rPr>
        <w:t> </w:t>
      </w:r>
      <w:r>
        <w:rPr>
          <w:spacing w:val="-3"/>
        </w:rPr>
        <w:t>найбільш</w:t>
      </w:r>
      <w:r>
        <w:rPr>
          <w:spacing w:val="-35"/>
        </w:rPr>
        <w:t> </w:t>
      </w:r>
      <w:r>
        <w:rPr/>
        <w:t>активна</w:t>
      </w:r>
      <w:r>
        <w:rPr>
          <w:spacing w:val="-36"/>
        </w:rPr>
        <w:t> </w:t>
      </w:r>
      <w:r>
        <w:rPr/>
        <w:t>в</w:t>
      </w:r>
      <w:r>
        <w:rPr>
          <w:spacing w:val="-37"/>
        </w:rPr>
        <w:t> </w:t>
      </w:r>
      <w:r>
        <w:rPr/>
        <w:t>скелетній</w:t>
      </w:r>
      <w:r>
        <w:rPr>
          <w:spacing w:val="-36"/>
        </w:rPr>
        <w:t> </w:t>
      </w:r>
      <w:r>
        <w:rPr/>
        <w:t>мускулатурі, особливо</w:t>
      </w:r>
      <w:r>
        <w:rPr>
          <w:spacing w:val="-14"/>
        </w:rPr>
        <w:t> </w:t>
      </w:r>
      <w:r>
        <w:rPr/>
        <w:t>у</w:t>
      </w:r>
      <w:r>
        <w:rPr>
          <w:spacing w:val="-20"/>
        </w:rPr>
        <w:t> </w:t>
      </w:r>
      <w:r>
        <w:rPr/>
        <w:t>серцевому</w:t>
      </w:r>
      <w:r>
        <w:rPr>
          <w:spacing w:val="-16"/>
        </w:rPr>
        <w:t> </w:t>
      </w:r>
      <w:r>
        <w:rPr/>
        <w:t>м’язі,</w:t>
      </w:r>
      <w:r>
        <w:rPr>
          <w:spacing w:val="-15"/>
        </w:rPr>
        <w:t> </w:t>
      </w:r>
      <w:r>
        <w:rPr>
          <w:spacing w:val="-3"/>
        </w:rPr>
        <w:t>нирках,</w:t>
      </w:r>
      <w:r>
        <w:rPr>
          <w:spacing w:val="-10"/>
        </w:rPr>
        <w:t> </w:t>
      </w:r>
      <w:r>
        <w:rPr/>
        <w:t>печінці</w:t>
      </w:r>
      <w:r>
        <w:rPr>
          <w:spacing w:val="-14"/>
        </w:rPr>
        <w:t> </w:t>
      </w:r>
      <w:r>
        <w:rPr/>
        <w:t>та</w:t>
      </w:r>
      <w:r>
        <w:rPr>
          <w:spacing w:val="-16"/>
        </w:rPr>
        <w:t> </w:t>
      </w:r>
      <w:r>
        <w:rPr/>
        <w:t>еритроцитах.</w:t>
      </w:r>
      <w:r>
        <w:rPr>
          <w:spacing w:val="-10"/>
        </w:rPr>
        <w:t> </w:t>
      </w:r>
      <w:r>
        <w:rPr/>
        <w:t>При</w:t>
      </w:r>
      <w:r>
        <w:rPr>
          <w:spacing w:val="-18"/>
        </w:rPr>
        <w:t> </w:t>
      </w:r>
      <w:r>
        <w:rPr/>
        <w:t>захворюваннях, що супроводжуються пошкодженням тканин і руйнуванням клітин, активність лактатдегідрогенази в крові підвищується. У зв’язку з </w:t>
      </w:r>
      <w:r>
        <w:rPr>
          <w:spacing w:val="-3"/>
        </w:rPr>
        <w:t>цим </w:t>
      </w:r>
      <w:r>
        <w:rPr/>
        <w:t>вона є важливим маркером тканинної </w:t>
      </w:r>
      <w:r>
        <w:rPr>
          <w:spacing w:val="-3"/>
        </w:rPr>
        <w:t>деструкції. </w:t>
      </w:r>
      <w:r>
        <w:rPr/>
        <w:t>Незважаючи на </w:t>
      </w:r>
      <w:r>
        <w:rPr>
          <w:spacing w:val="-4"/>
        </w:rPr>
        <w:t>те, </w:t>
      </w:r>
      <w:r>
        <w:rPr/>
        <w:t>що збільшення активності ферменту</w:t>
      </w:r>
      <w:r>
        <w:rPr>
          <w:spacing w:val="-25"/>
        </w:rPr>
        <w:t> </w:t>
      </w:r>
      <w:r>
        <w:rPr>
          <w:spacing w:val="-3"/>
        </w:rPr>
        <w:t>не</w:t>
      </w:r>
      <w:r>
        <w:rPr>
          <w:spacing w:val="-22"/>
        </w:rPr>
        <w:t> </w:t>
      </w:r>
      <w:r>
        <w:rPr>
          <w:spacing w:val="-2"/>
        </w:rPr>
        <w:t>вказує</w:t>
      </w:r>
      <w:r>
        <w:rPr>
          <w:spacing w:val="-19"/>
        </w:rPr>
        <w:t> </w:t>
      </w:r>
      <w:r>
        <w:rPr>
          <w:spacing w:val="-3"/>
        </w:rPr>
        <w:t>на</w:t>
      </w:r>
      <w:r>
        <w:rPr>
          <w:spacing w:val="-26"/>
        </w:rPr>
        <w:t> </w:t>
      </w:r>
      <w:r>
        <w:rPr/>
        <w:t>якусь</w:t>
      </w:r>
      <w:r>
        <w:rPr>
          <w:spacing w:val="-26"/>
        </w:rPr>
        <w:t> </w:t>
      </w:r>
      <w:r>
        <w:rPr/>
        <w:t>певну</w:t>
      </w:r>
      <w:r>
        <w:rPr>
          <w:spacing w:val="-24"/>
        </w:rPr>
        <w:t> </w:t>
      </w:r>
      <w:r>
        <w:rPr>
          <w:spacing w:val="-3"/>
        </w:rPr>
        <w:t>хворобу,</w:t>
      </w:r>
      <w:r>
        <w:rPr>
          <w:spacing w:val="-18"/>
        </w:rPr>
        <w:t> </w:t>
      </w:r>
      <w:r>
        <w:rPr/>
        <w:t>його</w:t>
      </w:r>
      <w:r>
        <w:rPr>
          <w:spacing w:val="-24"/>
        </w:rPr>
        <w:t> </w:t>
      </w:r>
      <w:r>
        <w:rPr>
          <w:spacing w:val="-3"/>
        </w:rPr>
        <w:t>визначення</w:t>
      </w:r>
      <w:r>
        <w:rPr>
          <w:spacing w:val="-23"/>
        </w:rPr>
        <w:t> </w:t>
      </w:r>
      <w:r>
        <w:rPr/>
        <w:t>в</w:t>
      </w:r>
      <w:r>
        <w:rPr>
          <w:spacing w:val="-26"/>
        </w:rPr>
        <w:t> </w:t>
      </w:r>
      <w:r>
        <w:rPr/>
        <w:t>комплексі</w:t>
      </w:r>
      <w:r>
        <w:rPr>
          <w:spacing w:val="-24"/>
        </w:rPr>
        <w:t> </w:t>
      </w:r>
      <w:r>
        <w:rPr/>
        <w:t>з</w:t>
      </w:r>
      <w:r>
        <w:rPr>
          <w:spacing w:val="-23"/>
        </w:rPr>
        <w:t> </w:t>
      </w:r>
      <w:r>
        <w:rPr>
          <w:spacing w:val="-2"/>
        </w:rPr>
        <w:t>іншими </w:t>
      </w:r>
      <w:r>
        <w:rPr/>
        <w:t>лабораторними аналізами допомагає в діагностиці інфаркту </w:t>
      </w:r>
      <w:r>
        <w:rPr>
          <w:spacing w:val="-3"/>
        </w:rPr>
        <w:t>легень, </w:t>
      </w:r>
      <w:r>
        <w:rPr/>
        <w:t>м’язової дистрофії та гемолітичної </w:t>
      </w:r>
      <w:r>
        <w:rPr>
          <w:spacing w:val="-3"/>
        </w:rPr>
        <w:t>анемії. </w:t>
      </w:r>
      <w:r>
        <w:rPr/>
        <w:t>При </w:t>
      </w:r>
      <w:r>
        <w:rPr>
          <w:spacing w:val="-3"/>
        </w:rPr>
        <w:t>диференційній </w:t>
      </w:r>
      <w:r>
        <w:rPr/>
        <w:t>діагностиці, особливо міопатій даний аналіз допомагає </w:t>
      </w:r>
      <w:r>
        <w:rPr>
          <w:spacing w:val="-3"/>
        </w:rPr>
        <w:t>уточнити </w:t>
      </w:r>
      <w:r>
        <w:rPr/>
        <w:t>патофізіологічний механізм захворювання. </w:t>
      </w:r>
      <w:r>
        <w:rPr>
          <w:spacing w:val="-4"/>
        </w:rPr>
        <w:t>Так, </w:t>
      </w:r>
      <w:r>
        <w:rPr/>
        <w:t>при порушенні м’язової </w:t>
      </w:r>
      <w:r>
        <w:rPr>
          <w:spacing w:val="-3"/>
        </w:rPr>
        <w:t>функції, </w:t>
      </w:r>
      <w:r>
        <w:rPr/>
        <w:t>пов’язаної з нейрогенними захворюваннями, лактатдегідрогеназа </w:t>
      </w:r>
      <w:r>
        <w:rPr>
          <w:spacing w:val="-3"/>
        </w:rPr>
        <w:t>не підвищується, </w:t>
      </w:r>
      <w:r>
        <w:rPr/>
        <w:t>але при </w:t>
      </w:r>
      <w:r>
        <w:rPr>
          <w:spacing w:val="-3"/>
        </w:rPr>
        <w:t>пошкодження </w:t>
      </w:r>
      <w:r>
        <w:rPr/>
        <w:t>м’язів </w:t>
      </w:r>
      <w:r>
        <w:rPr>
          <w:spacing w:val="-3"/>
        </w:rPr>
        <w:t>через </w:t>
      </w:r>
      <w:r>
        <w:rPr/>
        <w:t>ендокринні і метаболічні </w:t>
      </w:r>
      <w:r>
        <w:rPr>
          <w:spacing w:val="-3"/>
        </w:rPr>
        <w:t>патології </w:t>
      </w:r>
      <w:r>
        <w:rPr/>
        <w:t>активність лактатдегідрогенази збільшується.</w:t>
      </w:r>
      <w:r>
        <w:rPr>
          <w:spacing w:val="-22"/>
        </w:rPr>
        <w:t> </w:t>
      </w:r>
      <w:r>
        <w:rPr/>
        <w:t>Доведено,</w:t>
      </w:r>
      <w:r>
        <w:rPr>
          <w:spacing w:val="-17"/>
        </w:rPr>
        <w:t> </w:t>
      </w:r>
      <w:r>
        <w:rPr/>
        <w:t>що</w:t>
      </w:r>
      <w:r>
        <w:rPr>
          <w:spacing w:val="-19"/>
        </w:rPr>
        <w:t> </w:t>
      </w:r>
      <w:r>
        <w:rPr/>
        <w:t>рівень</w:t>
      </w:r>
      <w:r>
        <w:rPr>
          <w:spacing w:val="-25"/>
        </w:rPr>
        <w:t> </w:t>
      </w:r>
      <w:r>
        <w:rPr/>
        <w:t>лактатдегідрогенази</w:t>
      </w:r>
      <w:r>
        <w:rPr>
          <w:spacing w:val="-19"/>
        </w:rPr>
        <w:t> </w:t>
      </w:r>
      <w:r>
        <w:rPr/>
        <w:t>в</w:t>
      </w:r>
      <w:r>
        <w:rPr>
          <w:spacing w:val="-21"/>
        </w:rPr>
        <w:t> </w:t>
      </w:r>
      <w:r>
        <w:rPr/>
        <w:t>1,15</w:t>
      </w:r>
      <w:r>
        <w:rPr>
          <w:spacing w:val="-19"/>
        </w:rPr>
        <w:t> </w:t>
      </w:r>
      <w:r>
        <w:rPr/>
        <w:t>рази</w:t>
      </w:r>
      <w:r>
        <w:rPr>
          <w:spacing w:val="-22"/>
        </w:rPr>
        <w:t> </w:t>
      </w:r>
      <w:r>
        <w:rPr/>
        <w:t>більша</w:t>
      </w:r>
      <w:r>
        <w:rPr>
          <w:spacing w:val="-20"/>
        </w:rPr>
        <w:t> </w:t>
      </w:r>
      <w:r>
        <w:rPr/>
        <w:t>в</w:t>
      </w:r>
      <w:r>
        <w:rPr>
          <w:spacing w:val="-24"/>
        </w:rPr>
        <w:t> </w:t>
      </w:r>
      <w:r>
        <w:rPr/>
        <w:t>групі досліду, порівняно з контрольною</w:t>
      </w:r>
      <w:r>
        <w:rPr>
          <w:spacing w:val="-23"/>
        </w:rPr>
        <w:t> </w:t>
      </w:r>
      <w:r>
        <w:rPr/>
        <w:t>групою.</w:t>
      </w:r>
    </w:p>
    <w:p>
      <w:pPr>
        <w:pStyle w:val="BodyText"/>
        <w:spacing w:before="1"/>
        <w:ind w:right="605" w:firstLine="710"/>
      </w:pPr>
      <w:r>
        <w:rPr/>
        <w:t>Креатинкіназа – внутрішньоклітинний фермент, який є специфічним і чутливим індикатором пошкодження міокарда. В результаті пошкодження клітинної мембрани внаслідок гіпоксії чи інших причин ці внутрішньоклітинні ферменти потрапляють в системний кровоток і їх активність збільшується. Пошкодження міокарда може виникнути через вплив різноманітних факторів, наприклад травми, дегідратації, інфекційного захворювання, впливу тепла і холоду, хімічних речовин. Передбачається, що спочатку ремоделювання серця, при серцевій недостатності, креатинінфосфокіназа є адаптивним механізмом в процесі компенсаторної гіпертрофії. Можна також припустити, що зниження транспорту креатинфосфокінази при серцевій недостатності буде незначно роз’єднувати спряженість процесу збудження – скорочення з мітохондріальним утворенням енергії, і таким чином зберігати утворення АТФ для інших метаболічних процесів, необхідних для підтримки життєздатності критично пошкоджених кардіоміоцитів, але за рахунок скорочувальної активності. При дослідженні було виявлено збільшення креатинкінази в 1,17 рази в контрольній групі, ніж у дослідній.</w:t>
      </w:r>
    </w:p>
    <w:p>
      <w:pPr>
        <w:pStyle w:val="BodyText"/>
        <w:ind w:right="605" w:firstLine="710"/>
      </w:pPr>
      <w:r>
        <w:rPr/>
        <w:t>Тригліцериди</w:t>
      </w:r>
      <w:r>
        <w:rPr>
          <w:spacing w:val="-13"/>
        </w:rPr>
        <w:t> </w:t>
      </w:r>
      <w:r>
        <w:rPr/>
        <w:t>–</w:t>
      </w:r>
      <w:r>
        <w:rPr>
          <w:spacing w:val="-13"/>
        </w:rPr>
        <w:t> </w:t>
      </w:r>
      <w:r>
        <w:rPr/>
        <w:t>це</w:t>
      </w:r>
      <w:r>
        <w:rPr>
          <w:spacing w:val="-12"/>
        </w:rPr>
        <w:t> </w:t>
      </w:r>
      <w:r>
        <w:rPr>
          <w:spacing w:val="-2"/>
        </w:rPr>
        <w:t>поєднання</w:t>
      </w:r>
      <w:r>
        <w:rPr>
          <w:spacing w:val="-11"/>
        </w:rPr>
        <w:t> </w:t>
      </w:r>
      <w:r>
        <w:rPr/>
        <w:t>трьох</w:t>
      </w:r>
      <w:r>
        <w:rPr>
          <w:spacing w:val="-13"/>
        </w:rPr>
        <w:t> </w:t>
      </w:r>
      <w:r>
        <w:rPr/>
        <w:t>ефірів</w:t>
      </w:r>
      <w:r>
        <w:rPr>
          <w:spacing w:val="-12"/>
        </w:rPr>
        <w:t> </w:t>
      </w:r>
      <w:r>
        <w:rPr/>
        <w:t>жирних</w:t>
      </w:r>
      <w:r>
        <w:rPr>
          <w:spacing w:val="-14"/>
        </w:rPr>
        <w:t> </w:t>
      </w:r>
      <w:r>
        <w:rPr/>
        <w:t>кислот</w:t>
      </w:r>
      <w:r>
        <w:rPr>
          <w:spacing w:val="-14"/>
        </w:rPr>
        <w:t> </w:t>
      </w:r>
      <w:r>
        <w:rPr/>
        <w:t>і</w:t>
      </w:r>
      <w:r>
        <w:rPr>
          <w:spacing w:val="-14"/>
        </w:rPr>
        <w:t> </w:t>
      </w:r>
      <w:r>
        <w:rPr/>
        <w:t>гліцерину,</w:t>
      </w:r>
      <w:r>
        <w:rPr>
          <w:spacing w:val="-12"/>
        </w:rPr>
        <w:t> </w:t>
      </w:r>
      <w:r>
        <w:rPr/>
        <w:t>який є багатоатомним </w:t>
      </w:r>
      <w:r>
        <w:rPr>
          <w:spacing w:val="-3"/>
        </w:rPr>
        <w:t>спиртом. </w:t>
      </w:r>
      <w:r>
        <w:rPr/>
        <w:t>Екзогенні тригліцериди ре синтезуються в клітинах тонкої кишки з моногліцеридів і надходять у кров у вигляді хіломікронів. Ендогенні тригліцериди синтезуються головним чином у печінці з вільних жирних кислот, </w:t>
      </w:r>
      <w:r>
        <w:rPr>
          <w:spacing w:val="-2"/>
        </w:rPr>
        <w:t>звідки </w:t>
      </w:r>
      <w:r>
        <w:rPr/>
        <w:t>вони </w:t>
      </w:r>
      <w:r>
        <w:rPr>
          <w:spacing w:val="-3"/>
        </w:rPr>
        <w:t>транспортуються </w:t>
      </w:r>
      <w:r>
        <w:rPr/>
        <w:t>кров’ю </w:t>
      </w:r>
      <w:r>
        <w:rPr>
          <w:spacing w:val="-3"/>
        </w:rPr>
        <w:t>переважно </w:t>
      </w:r>
      <w:r>
        <w:rPr/>
        <w:t>в</w:t>
      </w:r>
      <w:r>
        <w:rPr>
          <w:spacing w:val="-13"/>
        </w:rPr>
        <w:t> </w:t>
      </w:r>
      <w:r>
        <w:rPr/>
        <w:t>складі</w:t>
      </w:r>
    </w:p>
    <w:p>
      <w:pPr>
        <w:spacing w:after="0"/>
        <w:sectPr>
          <w:pgSz w:w="11910" w:h="16840"/>
          <w:pgMar w:header="713" w:footer="778" w:top="1140" w:bottom="960" w:left="940" w:right="520"/>
        </w:sectPr>
      </w:pPr>
    </w:p>
    <w:p>
      <w:pPr>
        <w:pStyle w:val="BodyText"/>
        <w:spacing w:before="92"/>
        <w:ind w:right="603"/>
      </w:pPr>
      <w:r>
        <w:rPr/>
        <w:t>ліпопротеїдів дуже низкої </w:t>
      </w:r>
      <w:r>
        <w:rPr>
          <w:spacing w:val="-3"/>
        </w:rPr>
        <w:t>щільності. </w:t>
      </w:r>
      <w:r>
        <w:rPr/>
        <w:t>Тригліцериди являють собою </w:t>
      </w:r>
      <w:r>
        <w:rPr>
          <w:spacing w:val="-2"/>
        </w:rPr>
        <w:t>природній </w:t>
      </w:r>
      <w:r>
        <w:rPr/>
        <w:t>резерв жирних кислот, які беруть </w:t>
      </w:r>
      <w:r>
        <w:rPr>
          <w:spacing w:val="-3"/>
        </w:rPr>
        <w:t>участь </w:t>
      </w:r>
      <w:r>
        <w:rPr/>
        <w:t>у двох критично важливих процесах: катаболічному</w:t>
      </w:r>
      <w:r>
        <w:rPr>
          <w:spacing w:val="-12"/>
        </w:rPr>
        <w:t> </w:t>
      </w:r>
      <w:r>
        <w:rPr/>
        <w:t>–</w:t>
      </w:r>
      <w:r>
        <w:rPr>
          <w:spacing w:val="-11"/>
        </w:rPr>
        <w:t> </w:t>
      </w:r>
      <w:r>
        <w:rPr/>
        <w:t>в</w:t>
      </w:r>
      <w:r>
        <w:rPr>
          <w:spacing w:val="-14"/>
        </w:rPr>
        <w:t> </w:t>
      </w:r>
      <w:r>
        <w:rPr/>
        <w:t>якому</w:t>
      </w:r>
      <w:r>
        <w:rPr>
          <w:spacing w:val="-13"/>
        </w:rPr>
        <w:t> </w:t>
      </w:r>
      <w:r>
        <w:rPr/>
        <w:t>генерується</w:t>
      </w:r>
      <w:r>
        <w:rPr>
          <w:spacing w:val="-11"/>
        </w:rPr>
        <w:t> </w:t>
      </w:r>
      <w:r>
        <w:rPr>
          <w:spacing w:val="-3"/>
        </w:rPr>
        <w:t>енергія</w:t>
      </w:r>
      <w:r>
        <w:rPr>
          <w:spacing w:val="-7"/>
        </w:rPr>
        <w:t> </w:t>
      </w:r>
      <w:r>
        <w:rPr>
          <w:spacing w:val="-4"/>
        </w:rPr>
        <w:t>та</w:t>
      </w:r>
      <w:r>
        <w:rPr>
          <w:spacing w:val="-12"/>
        </w:rPr>
        <w:t> </w:t>
      </w:r>
      <w:r>
        <w:rPr/>
        <w:t>анаболічному,</w:t>
      </w:r>
      <w:r>
        <w:rPr>
          <w:spacing w:val="-11"/>
        </w:rPr>
        <w:t> </w:t>
      </w:r>
      <w:r>
        <w:rPr/>
        <w:t>результатом</w:t>
      </w:r>
      <w:r>
        <w:rPr>
          <w:spacing w:val="-11"/>
        </w:rPr>
        <w:t> </w:t>
      </w:r>
      <w:r>
        <w:rPr/>
        <w:t>якого є синтез важливих сполук: тригліцеридів, фосфоліпідів, гормонів, кетонових </w:t>
      </w:r>
      <w:r>
        <w:rPr>
          <w:spacing w:val="-3"/>
        </w:rPr>
        <w:t>тіл </w:t>
      </w:r>
      <w:r>
        <w:rPr/>
        <w:t>тощо.</w:t>
      </w:r>
      <w:r>
        <w:rPr>
          <w:spacing w:val="-5"/>
        </w:rPr>
        <w:t> </w:t>
      </w:r>
      <w:r>
        <w:rPr/>
        <w:t>Окрім</w:t>
      </w:r>
      <w:r>
        <w:rPr>
          <w:spacing w:val="-9"/>
        </w:rPr>
        <w:t> </w:t>
      </w:r>
      <w:r>
        <w:rPr/>
        <w:t>зазначених</w:t>
      </w:r>
      <w:r>
        <w:rPr>
          <w:spacing w:val="-12"/>
        </w:rPr>
        <w:t> </w:t>
      </w:r>
      <w:r>
        <w:rPr/>
        <w:t>процесів,</w:t>
      </w:r>
      <w:r>
        <w:rPr>
          <w:spacing w:val="-4"/>
        </w:rPr>
        <w:t> </w:t>
      </w:r>
      <w:r>
        <w:rPr/>
        <w:t>тригліцериди</w:t>
      </w:r>
      <w:r>
        <w:rPr>
          <w:spacing w:val="-8"/>
        </w:rPr>
        <w:t> </w:t>
      </w:r>
      <w:r>
        <w:rPr/>
        <w:t>постійно</w:t>
      </w:r>
      <w:r>
        <w:rPr>
          <w:spacing w:val="-7"/>
        </w:rPr>
        <w:t> </w:t>
      </w:r>
      <w:r>
        <w:rPr/>
        <w:t>знаходяться</w:t>
      </w:r>
      <w:r>
        <w:rPr>
          <w:spacing w:val="-6"/>
        </w:rPr>
        <w:t> </w:t>
      </w:r>
      <w:r>
        <w:rPr/>
        <w:t>в</w:t>
      </w:r>
      <w:r>
        <w:rPr>
          <w:spacing w:val="-8"/>
        </w:rPr>
        <w:t> </w:t>
      </w:r>
      <w:r>
        <w:rPr/>
        <w:t>крові,</w:t>
      </w:r>
      <w:r>
        <w:rPr>
          <w:spacing w:val="-9"/>
        </w:rPr>
        <w:t> </w:t>
      </w:r>
      <w:r>
        <w:rPr/>
        <w:t>де виконують</w:t>
      </w:r>
      <w:r>
        <w:rPr>
          <w:spacing w:val="-31"/>
        </w:rPr>
        <w:t> </w:t>
      </w:r>
      <w:r>
        <w:rPr/>
        <w:t>роль</w:t>
      </w:r>
      <w:r>
        <w:rPr>
          <w:spacing w:val="-35"/>
        </w:rPr>
        <w:t> </w:t>
      </w:r>
      <w:r>
        <w:rPr/>
        <w:t>транспортного</w:t>
      </w:r>
      <w:r>
        <w:rPr>
          <w:spacing w:val="-33"/>
        </w:rPr>
        <w:t> </w:t>
      </w:r>
      <w:r>
        <w:rPr/>
        <w:t>засобу,</w:t>
      </w:r>
      <w:r>
        <w:rPr>
          <w:spacing w:val="-34"/>
        </w:rPr>
        <w:t> </w:t>
      </w:r>
      <w:r>
        <w:rPr/>
        <w:t>який</w:t>
      </w:r>
      <w:r>
        <w:rPr>
          <w:spacing w:val="-30"/>
        </w:rPr>
        <w:t> </w:t>
      </w:r>
      <w:r>
        <w:rPr/>
        <w:t>переносить</w:t>
      </w:r>
      <w:r>
        <w:rPr>
          <w:spacing w:val="-34"/>
        </w:rPr>
        <w:t> </w:t>
      </w:r>
      <w:r>
        <w:rPr/>
        <w:t>жирні</w:t>
      </w:r>
      <w:r>
        <w:rPr>
          <w:spacing w:val="-34"/>
        </w:rPr>
        <w:t> </w:t>
      </w:r>
      <w:r>
        <w:rPr/>
        <w:t>кислоти</w:t>
      </w:r>
      <w:r>
        <w:rPr>
          <w:spacing w:val="-33"/>
        </w:rPr>
        <w:t> </w:t>
      </w:r>
      <w:r>
        <w:rPr/>
        <w:t>та</w:t>
      </w:r>
      <w:r>
        <w:rPr>
          <w:spacing w:val="-31"/>
        </w:rPr>
        <w:t> </w:t>
      </w:r>
      <w:r>
        <w:rPr/>
        <w:t>глюкозу між</w:t>
      </w:r>
      <w:r>
        <w:rPr>
          <w:spacing w:val="-27"/>
        </w:rPr>
        <w:t> </w:t>
      </w:r>
      <w:r>
        <w:rPr/>
        <w:t>печінкою</w:t>
      </w:r>
      <w:r>
        <w:rPr>
          <w:spacing w:val="-30"/>
        </w:rPr>
        <w:t> </w:t>
      </w:r>
      <w:r>
        <w:rPr/>
        <w:t>та</w:t>
      </w:r>
      <w:r>
        <w:rPr>
          <w:spacing w:val="-29"/>
        </w:rPr>
        <w:t> </w:t>
      </w:r>
      <w:r>
        <w:rPr/>
        <w:t>іншими</w:t>
      </w:r>
      <w:r>
        <w:rPr>
          <w:spacing w:val="-30"/>
        </w:rPr>
        <w:t> </w:t>
      </w:r>
      <w:r>
        <w:rPr>
          <w:spacing w:val="-3"/>
        </w:rPr>
        <w:t>органами.</w:t>
      </w:r>
      <w:r>
        <w:rPr>
          <w:spacing w:val="-24"/>
        </w:rPr>
        <w:t> </w:t>
      </w:r>
      <w:r>
        <w:rPr/>
        <w:t>Порівняно</w:t>
      </w:r>
      <w:r>
        <w:rPr>
          <w:spacing w:val="-30"/>
        </w:rPr>
        <w:t> </w:t>
      </w:r>
      <w:r>
        <w:rPr>
          <w:spacing w:val="-3"/>
        </w:rPr>
        <w:t>із</w:t>
      </w:r>
      <w:r>
        <w:rPr>
          <w:spacing w:val="-26"/>
        </w:rPr>
        <w:t> </w:t>
      </w:r>
      <w:r>
        <w:rPr>
          <w:spacing w:val="-2"/>
        </w:rPr>
        <w:t>іншими</w:t>
      </w:r>
      <w:r>
        <w:rPr>
          <w:spacing w:val="-34"/>
        </w:rPr>
        <w:t> </w:t>
      </w:r>
      <w:r>
        <w:rPr/>
        <w:t>джерелами,</w:t>
      </w:r>
      <w:r>
        <w:rPr>
          <w:spacing w:val="-27"/>
        </w:rPr>
        <w:t> </w:t>
      </w:r>
      <w:r>
        <w:rPr/>
        <w:t>тригліцериди дають найбільше </w:t>
      </w:r>
      <w:r>
        <w:rPr>
          <w:spacing w:val="-3"/>
        </w:rPr>
        <w:t>енергії </w:t>
      </w:r>
      <w:r>
        <w:rPr/>
        <w:t>на 1 грам, за </w:t>
      </w:r>
      <w:r>
        <w:rPr>
          <w:spacing w:val="-3"/>
        </w:rPr>
        <w:t>умови їхнього </w:t>
      </w:r>
      <w:r>
        <w:rPr/>
        <w:t>повного </w:t>
      </w:r>
      <w:r>
        <w:rPr>
          <w:spacing w:val="-3"/>
        </w:rPr>
        <w:t>окислення </w:t>
      </w:r>
      <w:r>
        <w:rPr/>
        <w:t>до води і вуглекислого газу в процесах бета – </w:t>
      </w:r>
      <w:r>
        <w:rPr>
          <w:spacing w:val="-3"/>
        </w:rPr>
        <w:t>окислення </w:t>
      </w:r>
      <w:r>
        <w:rPr/>
        <w:t>та циклу лимонної </w:t>
      </w:r>
      <w:r>
        <w:rPr>
          <w:spacing w:val="-3"/>
        </w:rPr>
        <w:t>кислоти. </w:t>
      </w:r>
      <w:r>
        <w:rPr/>
        <w:t>В обміні</w:t>
      </w:r>
      <w:r>
        <w:rPr>
          <w:spacing w:val="-14"/>
        </w:rPr>
        <w:t> </w:t>
      </w:r>
      <w:r>
        <w:rPr/>
        <w:t>тригліцеридів</w:t>
      </w:r>
      <w:r>
        <w:rPr>
          <w:spacing w:val="-9"/>
        </w:rPr>
        <w:t> </w:t>
      </w:r>
      <w:r>
        <w:rPr/>
        <w:t>важливу</w:t>
      </w:r>
      <w:r>
        <w:rPr>
          <w:spacing w:val="-17"/>
        </w:rPr>
        <w:t> </w:t>
      </w:r>
      <w:r>
        <w:rPr/>
        <w:t>роль</w:t>
      </w:r>
      <w:r>
        <w:rPr>
          <w:spacing w:val="-14"/>
        </w:rPr>
        <w:t> </w:t>
      </w:r>
      <w:r>
        <w:rPr>
          <w:spacing w:val="-3"/>
        </w:rPr>
        <w:t>відіграє</w:t>
      </w:r>
      <w:r>
        <w:rPr>
          <w:spacing w:val="-13"/>
        </w:rPr>
        <w:t> </w:t>
      </w:r>
      <w:r>
        <w:rPr>
          <w:spacing w:val="-3"/>
        </w:rPr>
        <w:t>печінка,</w:t>
      </w:r>
      <w:r>
        <w:rPr>
          <w:spacing w:val="-15"/>
        </w:rPr>
        <w:t> </w:t>
      </w:r>
      <w:r>
        <w:rPr/>
        <w:t>де</w:t>
      </w:r>
      <w:r>
        <w:rPr>
          <w:spacing w:val="-15"/>
        </w:rPr>
        <w:t> </w:t>
      </w:r>
      <w:r>
        <w:rPr/>
        <w:t>відбувається</w:t>
      </w:r>
      <w:r>
        <w:rPr>
          <w:spacing w:val="-12"/>
        </w:rPr>
        <w:t> </w:t>
      </w:r>
      <w:r>
        <w:rPr>
          <w:spacing w:val="-4"/>
        </w:rPr>
        <w:t>їхній</w:t>
      </w:r>
      <w:r>
        <w:rPr>
          <w:spacing w:val="-9"/>
        </w:rPr>
        <w:t> </w:t>
      </w:r>
      <w:r>
        <w:rPr>
          <w:spacing w:val="-2"/>
        </w:rPr>
        <w:t>синтез</w:t>
      </w:r>
      <w:r>
        <w:rPr>
          <w:spacing w:val="-12"/>
        </w:rPr>
        <w:t> </w:t>
      </w:r>
      <w:r>
        <w:rPr/>
        <w:t>і формування спеціальних комплексів холестерину </w:t>
      </w:r>
      <w:r>
        <w:rPr>
          <w:spacing w:val="-3"/>
        </w:rPr>
        <w:t>із </w:t>
      </w:r>
      <w:r>
        <w:rPr/>
        <w:t>тригліцеридами – ліпопротеїдів низької щільності. При визначенні вмісту тригліцеридів у тварин контрольної</w:t>
      </w:r>
      <w:r>
        <w:rPr>
          <w:spacing w:val="-9"/>
        </w:rPr>
        <w:t> </w:t>
      </w:r>
      <w:r>
        <w:rPr/>
        <w:t>групи</w:t>
      </w:r>
      <w:r>
        <w:rPr>
          <w:spacing w:val="-13"/>
        </w:rPr>
        <w:t> </w:t>
      </w:r>
      <w:r>
        <w:rPr/>
        <w:t>був</w:t>
      </w:r>
      <w:r>
        <w:rPr>
          <w:spacing w:val="-4"/>
        </w:rPr>
        <w:t> </w:t>
      </w:r>
      <w:r>
        <w:rPr/>
        <w:t>більший</w:t>
      </w:r>
      <w:r>
        <w:rPr>
          <w:spacing w:val="-5"/>
        </w:rPr>
        <w:t> </w:t>
      </w:r>
      <w:r>
        <w:rPr/>
        <w:t>в</w:t>
      </w:r>
      <w:r>
        <w:rPr>
          <w:spacing w:val="-9"/>
        </w:rPr>
        <w:t> </w:t>
      </w:r>
      <w:r>
        <w:rPr/>
        <w:t>1,39</w:t>
      </w:r>
      <w:r>
        <w:rPr>
          <w:spacing w:val="-8"/>
        </w:rPr>
        <w:t> </w:t>
      </w:r>
      <w:r>
        <w:rPr/>
        <w:t>рази,</w:t>
      </w:r>
      <w:r>
        <w:rPr>
          <w:spacing w:val="-6"/>
        </w:rPr>
        <w:t> </w:t>
      </w:r>
      <w:r>
        <w:rPr>
          <w:spacing w:val="-3"/>
        </w:rPr>
        <w:t>ніж</w:t>
      </w:r>
      <w:r>
        <w:rPr>
          <w:spacing w:val="-4"/>
        </w:rPr>
        <w:t> </w:t>
      </w:r>
      <w:r>
        <w:rPr/>
        <w:t>у</w:t>
      </w:r>
      <w:r>
        <w:rPr>
          <w:spacing w:val="-7"/>
        </w:rPr>
        <w:t> </w:t>
      </w:r>
      <w:r>
        <w:rPr/>
        <w:t>тварин</w:t>
      </w:r>
      <w:r>
        <w:rPr>
          <w:spacing w:val="-13"/>
        </w:rPr>
        <w:t> </w:t>
      </w:r>
      <w:r>
        <w:rPr/>
        <w:t>дослідної</w:t>
      </w:r>
      <w:r>
        <w:rPr>
          <w:spacing w:val="-13"/>
        </w:rPr>
        <w:t> </w:t>
      </w:r>
      <w:r>
        <w:rPr/>
        <w:t>групи.</w:t>
      </w:r>
    </w:p>
    <w:p>
      <w:pPr>
        <w:pStyle w:val="BodyText"/>
        <w:spacing w:before="1"/>
        <w:ind w:right="602" w:firstLine="710"/>
      </w:pPr>
      <w:r>
        <w:rPr/>
        <w:t>Калій — основний внутрішньоклітинний та найпоширеніший в організмі катіон. </w:t>
      </w:r>
      <w:r>
        <w:rPr>
          <w:spacing w:val="-4"/>
        </w:rPr>
        <w:t>Він </w:t>
      </w:r>
      <w:r>
        <w:rPr/>
        <w:t>відіграє важливу роль у клітинному метаболізмі, </w:t>
      </w:r>
      <w:r>
        <w:rPr>
          <w:spacing w:val="-3"/>
        </w:rPr>
        <w:t>насамперед </w:t>
      </w:r>
      <w:r>
        <w:rPr/>
        <w:t>бере участь у регуляції активності деяких внутрішньоклітинних ферментів, визначає збудженість м’язової </w:t>
      </w:r>
      <w:r>
        <w:rPr>
          <w:spacing w:val="-4"/>
        </w:rPr>
        <w:t>та </w:t>
      </w:r>
      <w:r>
        <w:rPr/>
        <w:t>нервової тканин. 90 % </w:t>
      </w:r>
      <w:r>
        <w:rPr>
          <w:spacing w:val="-3"/>
        </w:rPr>
        <w:t>калію </w:t>
      </w:r>
      <w:r>
        <w:rPr/>
        <w:t>знаходиться внутрішньоклітинно, близько 10 % — позаклітинно </w:t>
      </w:r>
      <w:r>
        <w:rPr>
          <w:spacing w:val="-4"/>
        </w:rPr>
        <w:t>та </w:t>
      </w:r>
      <w:r>
        <w:rPr/>
        <w:t>менше 1 % — у плазмі крові. Різниця концентрацій внутрішньо- та </w:t>
      </w:r>
      <w:r>
        <w:rPr>
          <w:spacing w:val="-3"/>
        </w:rPr>
        <w:t>позаклітинного </w:t>
      </w:r>
      <w:r>
        <w:rPr/>
        <w:t>калію визначає електричний </w:t>
      </w:r>
      <w:r>
        <w:rPr>
          <w:spacing w:val="-3"/>
        </w:rPr>
        <w:t>потенціал на </w:t>
      </w:r>
      <w:r>
        <w:rPr/>
        <w:t>клітинних мембранах та стан натрій-калієвого </w:t>
      </w:r>
      <w:r>
        <w:rPr>
          <w:spacing w:val="-3"/>
        </w:rPr>
        <w:t>насоса </w:t>
      </w:r>
      <w:r>
        <w:rPr/>
        <w:t>(АТФаза), який сприяє активному переміщенню </w:t>
      </w:r>
      <w:r>
        <w:rPr>
          <w:spacing w:val="-3"/>
        </w:rPr>
        <w:t>натрію </w:t>
      </w:r>
      <w:r>
        <w:rPr/>
        <w:t>з </w:t>
      </w:r>
      <w:r>
        <w:rPr>
          <w:spacing w:val="-3"/>
        </w:rPr>
        <w:t>клітини </w:t>
      </w:r>
      <w:r>
        <w:rPr/>
        <w:t>та </w:t>
      </w:r>
      <w:r>
        <w:rPr>
          <w:spacing w:val="-3"/>
        </w:rPr>
        <w:t>калію </w:t>
      </w:r>
      <w:r>
        <w:rPr/>
        <w:t>— у </w:t>
      </w:r>
      <w:r>
        <w:rPr>
          <w:spacing w:val="-3"/>
        </w:rPr>
        <w:t>клітину. </w:t>
      </w:r>
      <w:r>
        <w:rPr/>
        <w:t>Нормальна робота </w:t>
      </w:r>
      <w:r>
        <w:rPr>
          <w:spacing w:val="-3"/>
        </w:rPr>
        <w:t>насоса </w:t>
      </w:r>
      <w:r>
        <w:rPr/>
        <w:t>забезпечується певним вмістом внутрішньоклітинного</w:t>
      </w:r>
      <w:r>
        <w:rPr>
          <w:spacing w:val="-35"/>
        </w:rPr>
        <w:t> </w:t>
      </w:r>
      <w:r>
        <w:rPr/>
        <w:t>магнію.</w:t>
      </w:r>
      <w:r>
        <w:rPr>
          <w:spacing w:val="-32"/>
        </w:rPr>
        <w:t> </w:t>
      </w:r>
      <w:r>
        <w:rPr/>
        <w:t>Калій</w:t>
      </w:r>
      <w:r>
        <w:rPr>
          <w:spacing w:val="-35"/>
        </w:rPr>
        <w:t> </w:t>
      </w:r>
      <w:r>
        <w:rPr/>
        <w:t>має</w:t>
      </w:r>
      <w:r>
        <w:rPr>
          <w:spacing w:val="-37"/>
        </w:rPr>
        <w:t> </w:t>
      </w:r>
      <w:r>
        <w:rPr/>
        <w:t>також</w:t>
      </w:r>
      <w:r>
        <w:rPr>
          <w:spacing w:val="-35"/>
        </w:rPr>
        <w:t> </w:t>
      </w:r>
      <w:r>
        <w:rPr/>
        <w:t>деяку</w:t>
      </w:r>
      <w:r>
        <w:rPr>
          <w:spacing w:val="-35"/>
        </w:rPr>
        <w:t> </w:t>
      </w:r>
      <w:r>
        <w:rPr/>
        <w:t>самостійну</w:t>
      </w:r>
      <w:r>
        <w:rPr>
          <w:spacing w:val="-35"/>
        </w:rPr>
        <w:t> </w:t>
      </w:r>
      <w:r>
        <w:rPr/>
        <w:t>проективну</w:t>
      </w:r>
      <w:r>
        <w:rPr>
          <w:spacing w:val="-35"/>
        </w:rPr>
        <w:t> </w:t>
      </w:r>
      <w:r>
        <w:rPr/>
        <w:t>дію, пригнічуючи </w:t>
      </w:r>
      <w:r>
        <w:rPr>
          <w:spacing w:val="-3"/>
        </w:rPr>
        <w:t>проліферацію </w:t>
      </w:r>
      <w:r>
        <w:rPr/>
        <w:t>гладенькомязових клітин у </w:t>
      </w:r>
      <w:r>
        <w:rPr>
          <w:spacing w:val="-3"/>
        </w:rPr>
        <w:t>судинній стінці, </w:t>
      </w:r>
      <w:r>
        <w:rPr/>
        <w:t>синтез вільних радикалів при оксидантному стресі, артеріальний </w:t>
      </w:r>
      <w:r>
        <w:rPr>
          <w:spacing w:val="-3"/>
        </w:rPr>
        <w:t>тромбоз, </w:t>
      </w:r>
      <w:r>
        <w:rPr/>
        <w:t>зменшує адгезію макрофагів до судинної стінки. Крім </w:t>
      </w:r>
      <w:r>
        <w:rPr>
          <w:spacing w:val="-3"/>
        </w:rPr>
        <w:t>того, калій </w:t>
      </w:r>
      <w:r>
        <w:rPr/>
        <w:t>є мікроелементом, що сприяє зниженню артеріального </w:t>
      </w:r>
      <w:r>
        <w:rPr>
          <w:spacing w:val="-3"/>
        </w:rPr>
        <w:t>тиску, </w:t>
      </w:r>
      <w:r>
        <w:rPr/>
        <w:t>оскільки здійснює: прямий натрійуретичний ефект, збільшення </w:t>
      </w:r>
      <w:r>
        <w:rPr>
          <w:spacing w:val="-3"/>
        </w:rPr>
        <w:t>продукції </w:t>
      </w:r>
      <w:r>
        <w:rPr/>
        <w:t>калікреїну, стимуляція </w:t>
      </w:r>
      <w:r>
        <w:rPr>
          <w:spacing w:val="-3"/>
        </w:rPr>
        <w:t>продукції </w:t>
      </w:r>
      <w:r>
        <w:rPr/>
        <w:t>оксиду</w:t>
      </w:r>
      <w:r>
        <w:rPr>
          <w:spacing w:val="-12"/>
        </w:rPr>
        <w:t> </w:t>
      </w:r>
      <w:r>
        <w:rPr/>
        <w:t>азоту,</w:t>
      </w:r>
      <w:r>
        <w:rPr>
          <w:spacing w:val="-8"/>
        </w:rPr>
        <w:t> </w:t>
      </w:r>
      <w:r>
        <w:rPr/>
        <w:t>зменшення</w:t>
      </w:r>
      <w:r>
        <w:rPr>
          <w:spacing w:val="-14"/>
        </w:rPr>
        <w:t> </w:t>
      </w:r>
      <w:r>
        <w:rPr/>
        <w:t>ефектів</w:t>
      </w:r>
      <w:r>
        <w:rPr>
          <w:spacing w:val="-9"/>
        </w:rPr>
        <w:t> </w:t>
      </w:r>
      <w:r>
        <w:rPr>
          <w:spacing w:val="-3"/>
        </w:rPr>
        <w:t>реніну,</w:t>
      </w:r>
      <w:r>
        <w:rPr>
          <w:spacing w:val="-5"/>
        </w:rPr>
        <w:t> </w:t>
      </w:r>
      <w:r>
        <w:rPr/>
        <w:t>прямий</w:t>
      </w:r>
      <w:r>
        <w:rPr>
          <w:spacing w:val="-12"/>
        </w:rPr>
        <w:t> </w:t>
      </w:r>
      <w:r>
        <w:rPr/>
        <w:t>вплив</w:t>
      </w:r>
      <w:r>
        <w:rPr>
          <w:spacing w:val="-12"/>
        </w:rPr>
        <w:t> </w:t>
      </w:r>
      <w:r>
        <w:rPr>
          <w:spacing w:val="-3"/>
        </w:rPr>
        <w:t>на</w:t>
      </w:r>
      <w:r>
        <w:rPr>
          <w:spacing w:val="-11"/>
        </w:rPr>
        <w:t> </w:t>
      </w:r>
      <w:r>
        <w:rPr/>
        <w:t>судини,</w:t>
      </w:r>
      <w:r>
        <w:rPr>
          <w:spacing w:val="-13"/>
        </w:rPr>
        <w:t> </w:t>
      </w:r>
      <w:r>
        <w:rPr/>
        <w:t>що</w:t>
      </w:r>
      <w:r>
        <w:rPr>
          <w:spacing w:val="-11"/>
        </w:rPr>
        <w:t> </w:t>
      </w:r>
      <w:r>
        <w:rPr/>
        <w:t>активують Na</w:t>
      </w:r>
      <w:r>
        <w:rPr>
          <w:position w:val="10"/>
          <w:sz w:val="18"/>
        </w:rPr>
        <w:t>+</w:t>
      </w:r>
      <w:r>
        <w:rPr/>
        <w:t>/K</w:t>
      </w:r>
      <w:r>
        <w:rPr>
          <w:position w:val="10"/>
          <w:sz w:val="18"/>
        </w:rPr>
        <w:t>+ </w:t>
      </w:r>
      <w:r>
        <w:rPr/>
        <w:t>- </w:t>
      </w:r>
      <w:r>
        <w:rPr>
          <w:spacing w:val="-3"/>
        </w:rPr>
        <w:t>АТФ </w:t>
      </w:r>
      <w:r>
        <w:rPr/>
        <w:t>– </w:t>
      </w:r>
      <w:r>
        <w:rPr>
          <w:spacing w:val="-3"/>
        </w:rPr>
        <w:t>азу, </w:t>
      </w:r>
      <w:r>
        <w:rPr/>
        <w:t>покращення </w:t>
      </w:r>
      <w:r>
        <w:rPr>
          <w:spacing w:val="-3"/>
        </w:rPr>
        <w:t>функції </w:t>
      </w:r>
      <w:r>
        <w:rPr/>
        <w:t>судинної </w:t>
      </w:r>
      <w:r>
        <w:rPr>
          <w:spacing w:val="-3"/>
        </w:rPr>
        <w:t>стінки. </w:t>
      </w:r>
      <w:r>
        <w:rPr/>
        <w:t>Окрім вказаного механізму К</w:t>
      </w:r>
      <w:r>
        <w:rPr>
          <w:position w:val="10"/>
          <w:sz w:val="18"/>
        </w:rPr>
        <w:t>+ </w:t>
      </w:r>
      <w:r>
        <w:rPr/>
        <w:t>здійснює позитивний метаболічний кардіопротективний та вазопротективний вплив: конкуруючи з іонами </w:t>
      </w:r>
      <w:r>
        <w:rPr>
          <w:spacing w:val="-3"/>
        </w:rPr>
        <w:t>Са</w:t>
      </w:r>
      <w:r>
        <w:rPr>
          <w:spacing w:val="-3"/>
          <w:position w:val="10"/>
          <w:sz w:val="18"/>
        </w:rPr>
        <w:t>2+</w:t>
      </w:r>
      <w:r>
        <w:rPr>
          <w:spacing w:val="-3"/>
        </w:rPr>
        <w:t>, </w:t>
      </w:r>
      <w:r>
        <w:rPr/>
        <w:t>перешкоджає </w:t>
      </w:r>
      <w:r>
        <w:rPr>
          <w:spacing w:val="-3"/>
        </w:rPr>
        <w:t>їх </w:t>
      </w:r>
      <w:r>
        <w:rPr/>
        <w:t>входу в клітини кардіоміоцитів, що призводить до зменшення </w:t>
      </w:r>
      <w:r>
        <w:rPr>
          <w:spacing w:val="-3"/>
        </w:rPr>
        <w:t>сили, </w:t>
      </w:r>
      <w:r>
        <w:rPr/>
        <w:t>частоти серцевих скорочень </w:t>
      </w:r>
      <w:r>
        <w:rPr>
          <w:spacing w:val="-4"/>
        </w:rPr>
        <w:t>та </w:t>
      </w:r>
      <w:r>
        <w:rPr/>
        <w:t>розслаблення м’язів судинної стінки; зменшує активність Са</w:t>
      </w:r>
      <w:r>
        <w:rPr>
          <w:position w:val="10"/>
          <w:sz w:val="18"/>
        </w:rPr>
        <w:t>2+ </w:t>
      </w:r>
      <w:r>
        <w:rPr/>
        <w:t>– чутливих протеаз </w:t>
      </w:r>
      <w:r>
        <w:rPr>
          <w:spacing w:val="-4"/>
        </w:rPr>
        <w:t>та </w:t>
      </w:r>
      <w:r>
        <w:rPr/>
        <w:t>ліпаз, через що проявляє цитопротекторну дію, </w:t>
      </w:r>
      <w:r>
        <w:rPr>
          <w:spacing w:val="-3"/>
        </w:rPr>
        <w:t>підвищує </w:t>
      </w:r>
      <w:r>
        <w:rPr/>
        <w:t>рівень ендотеліального оксиду азоту, гальмує дію тромбоксану </w:t>
      </w:r>
      <w:r>
        <w:rPr>
          <w:spacing w:val="-3"/>
        </w:rPr>
        <w:t>А, </w:t>
      </w:r>
      <w:r>
        <w:rPr/>
        <w:t>запобігаючи пошкодженню ендотелію та </w:t>
      </w:r>
      <w:r>
        <w:rPr>
          <w:spacing w:val="-3"/>
        </w:rPr>
        <w:t>гіперкоагуляції, знижує </w:t>
      </w:r>
      <w:r>
        <w:rPr/>
        <w:t>чутливість міокарда до дії вільних радикалів, що запобігає надмірному реперфузійному пошкодженню кардіоміоцитів. Рівень </w:t>
      </w:r>
      <w:r>
        <w:rPr>
          <w:spacing w:val="-3"/>
        </w:rPr>
        <w:t>калію </w:t>
      </w:r>
      <w:r>
        <w:rPr/>
        <w:t>в групі досліду більший в 0,95 рази порівняно з контрольною</w:t>
      </w:r>
      <w:r>
        <w:rPr>
          <w:spacing w:val="-6"/>
        </w:rPr>
        <w:t> </w:t>
      </w:r>
      <w:r>
        <w:rPr/>
        <w:t>групою.</w:t>
      </w:r>
    </w:p>
    <w:p>
      <w:pPr>
        <w:pStyle w:val="BodyText"/>
        <w:spacing w:line="297" w:lineRule="exact"/>
        <w:ind w:left="903"/>
      </w:pPr>
      <w:r>
        <w:rPr>
          <w:spacing w:val="-3"/>
        </w:rPr>
        <w:t>Натрій </w:t>
      </w:r>
      <w:r>
        <w:rPr/>
        <w:t>– основний </w:t>
      </w:r>
      <w:r>
        <w:rPr>
          <w:spacing w:val="-3"/>
        </w:rPr>
        <w:t>катіон </w:t>
      </w:r>
      <w:r>
        <w:rPr/>
        <w:t>позаклітинної рідини, </w:t>
      </w:r>
      <w:r>
        <w:rPr>
          <w:spacing w:val="-3"/>
        </w:rPr>
        <w:t>він </w:t>
      </w:r>
      <w:r>
        <w:rPr/>
        <w:t>підтримує</w:t>
      </w:r>
      <w:r>
        <w:rPr>
          <w:spacing w:val="-19"/>
        </w:rPr>
        <w:t> </w:t>
      </w:r>
      <w:r>
        <w:rPr/>
        <w:t>осмотичний</w:t>
      </w:r>
    </w:p>
    <w:p>
      <w:pPr>
        <w:pStyle w:val="BodyText"/>
        <w:ind w:right="602"/>
      </w:pPr>
      <w:r>
        <w:rPr/>
        <w:t>тиск, визначає рух води, бере участь в </w:t>
      </w:r>
      <w:r>
        <w:rPr>
          <w:spacing w:val="-3"/>
        </w:rPr>
        <w:t>регуляції </w:t>
      </w:r>
      <w:r>
        <w:rPr/>
        <w:t>кислотно – основного </w:t>
      </w:r>
      <w:r>
        <w:rPr>
          <w:spacing w:val="-3"/>
        </w:rPr>
        <w:t>стану, </w:t>
      </w:r>
      <w:r>
        <w:rPr/>
        <w:t>нервово – м’язового </w:t>
      </w:r>
      <w:r>
        <w:rPr>
          <w:spacing w:val="-3"/>
        </w:rPr>
        <w:t>збудження </w:t>
      </w:r>
      <w:r>
        <w:rPr/>
        <w:t>і передачі збудження по нервово – м’язових волокнах.</w:t>
      </w:r>
      <w:r>
        <w:rPr>
          <w:spacing w:val="34"/>
        </w:rPr>
        <w:t> </w:t>
      </w:r>
      <w:r>
        <w:rPr>
          <w:spacing w:val="-3"/>
        </w:rPr>
        <w:t>Натрій</w:t>
      </w:r>
      <w:r>
        <w:rPr>
          <w:spacing w:val="34"/>
        </w:rPr>
        <w:t> </w:t>
      </w:r>
      <w:r>
        <w:rPr/>
        <w:t>зберігає</w:t>
      </w:r>
      <w:r>
        <w:rPr>
          <w:spacing w:val="34"/>
        </w:rPr>
        <w:t> </w:t>
      </w:r>
      <w:r>
        <w:rPr/>
        <w:t>і</w:t>
      </w:r>
      <w:r>
        <w:rPr>
          <w:spacing w:val="29"/>
        </w:rPr>
        <w:t> </w:t>
      </w:r>
      <w:r>
        <w:rPr/>
        <w:t>підтримує</w:t>
      </w:r>
      <w:r>
        <w:rPr>
          <w:spacing w:val="30"/>
        </w:rPr>
        <w:t> </w:t>
      </w:r>
      <w:r>
        <w:rPr/>
        <w:t>постійність</w:t>
      </w:r>
      <w:r>
        <w:rPr>
          <w:spacing w:val="31"/>
        </w:rPr>
        <w:t> </w:t>
      </w:r>
      <w:r>
        <w:rPr/>
        <w:t>біоелектричного</w:t>
      </w:r>
      <w:r>
        <w:rPr>
          <w:spacing w:val="34"/>
        </w:rPr>
        <w:t> </w:t>
      </w:r>
      <w:r>
        <w:rPr/>
        <w:t>потенціалу</w:t>
      </w:r>
    </w:p>
    <w:p>
      <w:pPr>
        <w:spacing w:after="0"/>
        <w:sectPr>
          <w:pgSz w:w="11910" w:h="16840"/>
          <w:pgMar w:header="713" w:footer="778" w:top="1140" w:bottom="960" w:left="940" w:right="520"/>
        </w:sectPr>
      </w:pPr>
    </w:p>
    <w:p>
      <w:pPr>
        <w:pStyle w:val="BodyText"/>
        <w:tabs>
          <w:tab w:pos="1550" w:val="left" w:leader="none"/>
          <w:tab w:pos="3181" w:val="left" w:leader="none"/>
          <w:tab w:pos="4237" w:val="left" w:leader="none"/>
          <w:tab w:pos="4640" w:val="left" w:leader="none"/>
          <w:tab w:pos="5667" w:val="left" w:leader="none"/>
          <w:tab w:pos="6899" w:val="left" w:leader="none"/>
          <w:tab w:pos="8405" w:val="left" w:leader="none"/>
          <w:tab w:pos="8942" w:val="left" w:leader="none"/>
        </w:tabs>
        <w:spacing w:before="92"/>
        <w:ind w:right="607"/>
        <w:jc w:val="right"/>
      </w:pPr>
      <w:r>
        <w:rPr/>
        <w:t>мембран</w:t>
      </w:r>
      <w:r>
        <w:rPr>
          <w:spacing w:val="-21"/>
        </w:rPr>
        <w:t> </w:t>
      </w:r>
      <w:r>
        <w:rPr>
          <w:spacing w:val="-3"/>
        </w:rPr>
        <w:t>клітин,</w:t>
      </w:r>
      <w:r>
        <w:rPr>
          <w:spacing w:val="-20"/>
        </w:rPr>
        <w:t> </w:t>
      </w:r>
      <w:r>
        <w:rPr/>
        <w:t>посилює</w:t>
      </w:r>
      <w:r>
        <w:rPr>
          <w:spacing w:val="-24"/>
        </w:rPr>
        <w:t> </w:t>
      </w:r>
      <w:r>
        <w:rPr/>
        <w:t>дію</w:t>
      </w:r>
      <w:r>
        <w:rPr>
          <w:spacing w:val="-19"/>
        </w:rPr>
        <w:t> </w:t>
      </w:r>
      <w:r>
        <w:rPr>
          <w:spacing w:val="-3"/>
        </w:rPr>
        <w:t>адреналіну,</w:t>
      </w:r>
      <w:r>
        <w:rPr>
          <w:spacing w:val="-15"/>
        </w:rPr>
        <w:t> </w:t>
      </w:r>
      <w:r>
        <w:rPr/>
        <w:t>впливає</w:t>
      </w:r>
      <w:r>
        <w:rPr>
          <w:spacing w:val="-24"/>
        </w:rPr>
        <w:t> </w:t>
      </w:r>
      <w:r>
        <w:rPr/>
        <w:t>на</w:t>
      </w:r>
      <w:r>
        <w:rPr>
          <w:spacing w:val="-20"/>
        </w:rPr>
        <w:t> </w:t>
      </w:r>
      <w:r>
        <w:rPr/>
        <w:t>величину</w:t>
      </w:r>
      <w:r>
        <w:rPr>
          <w:spacing w:val="-21"/>
        </w:rPr>
        <w:t> </w:t>
      </w:r>
      <w:r>
        <w:rPr/>
        <w:t>судинного</w:t>
      </w:r>
      <w:r>
        <w:rPr>
          <w:spacing w:val="-21"/>
        </w:rPr>
        <w:t> </w:t>
      </w:r>
      <w:r>
        <w:rPr/>
        <w:t>тонусу.</w:t>
      </w:r>
      <w:r>
        <w:rPr>
          <w:w w:val="99"/>
        </w:rPr>
        <w:t> </w:t>
      </w:r>
      <w:r>
        <w:rPr/>
        <w:t>Дослідження</w:t>
      </w:r>
      <w:r>
        <w:rPr>
          <w:spacing w:val="-23"/>
        </w:rPr>
        <w:t> </w:t>
      </w:r>
      <w:r>
        <w:rPr>
          <w:spacing w:val="-3"/>
        </w:rPr>
        <w:t>натрію</w:t>
      </w:r>
      <w:r>
        <w:rPr>
          <w:spacing w:val="-21"/>
        </w:rPr>
        <w:t> </w:t>
      </w:r>
      <w:r>
        <w:rPr/>
        <w:t>показало</w:t>
      </w:r>
      <w:r>
        <w:rPr>
          <w:spacing w:val="-24"/>
        </w:rPr>
        <w:t> </w:t>
      </w:r>
      <w:r>
        <w:rPr>
          <w:spacing w:val="-3"/>
        </w:rPr>
        <w:t>збільшення</w:t>
      </w:r>
      <w:r>
        <w:rPr>
          <w:spacing w:val="-22"/>
        </w:rPr>
        <w:t> </w:t>
      </w:r>
      <w:r>
        <w:rPr/>
        <w:t>його</w:t>
      </w:r>
      <w:r>
        <w:rPr>
          <w:spacing w:val="-23"/>
        </w:rPr>
        <w:t> </w:t>
      </w:r>
      <w:r>
        <w:rPr/>
        <w:t>рівня</w:t>
      </w:r>
      <w:r>
        <w:rPr>
          <w:spacing w:val="-23"/>
        </w:rPr>
        <w:t> </w:t>
      </w:r>
      <w:r>
        <w:rPr/>
        <w:t>в</w:t>
      </w:r>
      <w:r>
        <w:rPr>
          <w:spacing w:val="-25"/>
        </w:rPr>
        <w:t> </w:t>
      </w:r>
      <w:r>
        <w:rPr/>
        <w:t>групі</w:t>
      </w:r>
      <w:r>
        <w:rPr>
          <w:spacing w:val="-25"/>
        </w:rPr>
        <w:t> </w:t>
      </w:r>
      <w:r>
        <w:rPr/>
        <w:t>контролю</w:t>
      </w:r>
      <w:r>
        <w:rPr>
          <w:spacing w:val="-24"/>
        </w:rPr>
        <w:t> </w:t>
      </w:r>
      <w:r>
        <w:rPr/>
        <w:t>в</w:t>
      </w:r>
      <w:r>
        <w:rPr>
          <w:spacing w:val="-25"/>
        </w:rPr>
        <w:t> </w:t>
      </w:r>
      <w:r>
        <w:rPr/>
        <w:t>1,05</w:t>
      </w:r>
      <w:r>
        <w:rPr>
          <w:spacing w:val="-24"/>
        </w:rPr>
        <w:t> </w:t>
      </w:r>
      <w:r>
        <w:rPr/>
        <w:t>рази.</w:t>
      </w:r>
      <w:r>
        <w:rPr>
          <w:w w:val="99"/>
        </w:rPr>
        <w:t> </w:t>
      </w:r>
      <w:r>
        <w:rPr/>
        <w:t>Іон </w:t>
      </w:r>
      <w:r>
        <w:rPr>
          <w:spacing w:val="-3"/>
        </w:rPr>
        <w:t>кальцію </w:t>
      </w:r>
      <w:r>
        <w:rPr/>
        <w:t>абсолютно необхідний для нормального</w:t>
      </w:r>
      <w:r>
        <w:rPr>
          <w:spacing w:val="38"/>
        </w:rPr>
        <w:t> </w:t>
      </w:r>
      <w:r>
        <w:rPr/>
        <w:t>процесу</w:t>
      </w:r>
      <w:r>
        <w:rPr>
          <w:spacing w:val="18"/>
        </w:rPr>
        <w:t> </w:t>
      </w:r>
      <w:r>
        <w:rPr/>
        <w:t>скорочення</w:t>
      </w:r>
      <w:r>
        <w:rPr>
          <w:w w:val="99"/>
        </w:rPr>
        <w:t> </w:t>
      </w:r>
      <w:r>
        <w:rPr/>
        <w:t>міокарда. Солі кальцію мають </w:t>
      </w:r>
      <w:r>
        <w:rPr>
          <w:spacing w:val="-3"/>
        </w:rPr>
        <w:t>позитивний </w:t>
      </w:r>
      <w:r>
        <w:rPr/>
        <w:t>інотропний ефект, а</w:t>
      </w:r>
      <w:r>
        <w:rPr>
          <w:spacing w:val="-41"/>
        </w:rPr>
        <w:t> </w:t>
      </w:r>
      <w:r>
        <w:rPr/>
        <w:t>також</w:t>
      </w:r>
      <w:r>
        <w:rPr>
          <w:spacing w:val="-6"/>
        </w:rPr>
        <w:t> </w:t>
      </w:r>
      <w:r>
        <w:rPr/>
        <w:t>впливають</w:t>
      </w:r>
      <w:r>
        <w:rPr>
          <w:w w:val="99"/>
        </w:rPr>
        <w:t> </w:t>
      </w:r>
      <w:r>
        <w:rPr/>
        <w:t>на</w:t>
      </w:r>
      <w:r>
        <w:rPr>
          <w:spacing w:val="-4"/>
        </w:rPr>
        <w:t> </w:t>
      </w:r>
      <w:r>
        <w:rPr/>
        <w:t>тонус</w:t>
      </w:r>
      <w:r>
        <w:rPr>
          <w:spacing w:val="-7"/>
        </w:rPr>
        <w:t> </w:t>
      </w:r>
      <w:r>
        <w:rPr/>
        <w:t>гладкої</w:t>
      </w:r>
      <w:r>
        <w:rPr>
          <w:spacing w:val="-8"/>
        </w:rPr>
        <w:t> </w:t>
      </w:r>
      <w:r>
        <w:rPr/>
        <w:t>мускулатури</w:t>
      </w:r>
      <w:r>
        <w:rPr>
          <w:spacing w:val="-9"/>
        </w:rPr>
        <w:t> </w:t>
      </w:r>
      <w:r>
        <w:rPr/>
        <w:t>судин.</w:t>
      </w:r>
      <w:r>
        <w:rPr>
          <w:spacing w:val="-2"/>
        </w:rPr>
        <w:t> </w:t>
      </w:r>
      <w:r>
        <w:rPr/>
        <w:t>У</w:t>
      </w:r>
      <w:r>
        <w:rPr>
          <w:spacing w:val="-8"/>
        </w:rPr>
        <w:t> </w:t>
      </w:r>
      <w:r>
        <w:rPr/>
        <w:t>зв’язку</w:t>
      </w:r>
      <w:r>
        <w:rPr>
          <w:spacing w:val="-9"/>
        </w:rPr>
        <w:t> </w:t>
      </w:r>
      <w:r>
        <w:rPr/>
        <w:t>з</w:t>
      </w:r>
      <w:r>
        <w:rPr>
          <w:spacing w:val="-4"/>
        </w:rPr>
        <w:t> </w:t>
      </w:r>
      <w:r>
        <w:rPr>
          <w:spacing w:val="-3"/>
        </w:rPr>
        <w:t>тим,</w:t>
      </w:r>
      <w:r>
        <w:rPr>
          <w:spacing w:val="-5"/>
        </w:rPr>
        <w:t> </w:t>
      </w:r>
      <w:r>
        <w:rPr/>
        <w:t>що</w:t>
      </w:r>
      <w:r>
        <w:rPr>
          <w:spacing w:val="-4"/>
        </w:rPr>
        <w:t> </w:t>
      </w:r>
      <w:r>
        <w:rPr/>
        <w:t>іон</w:t>
      </w:r>
      <w:r>
        <w:rPr>
          <w:spacing w:val="-4"/>
        </w:rPr>
        <w:t> </w:t>
      </w:r>
      <w:r>
        <w:rPr>
          <w:spacing w:val="-3"/>
        </w:rPr>
        <w:t>кальцію</w:t>
      </w:r>
      <w:r>
        <w:rPr>
          <w:spacing w:val="-6"/>
        </w:rPr>
        <w:t> </w:t>
      </w:r>
      <w:r>
        <w:rPr/>
        <w:t>необхідний</w:t>
      </w:r>
      <w:r>
        <w:rPr>
          <w:spacing w:val="-1"/>
          <w:w w:val="99"/>
        </w:rPr>
        <w:t> </w:t>
      </w:r>
      <w:r>
        <w:rPr/>
        <w:t>для скорочення гладких м’язів </w:t>
      </w:r>
      <w:r>
        <w:rPr>
          <w:spacing w:val="-3"/>
        </w:rPr>
        <w:t>судин, він </w:t>
      </w:r>
      <w:r>
        <w:rPr/>
        <w:t>бере участь в</w:t>
      </w:r>
      <w:r>
        <w:rPr>
          <w:spacing w:val="25"/>
        </w:rPr>
        <w:t> </w:t>
      </w:r>
      <w:r>
        <w:rPr>
          <w:spacing w:val="-3"/>
        </w:rPr>
        <w:t>регуляції</w:t>
      </w:r>
      <w:r>
        <w:rPr>
          <w:spacing w:val="14"/>
        </w:rPr>
        <w:t> </w:t>
      </w:r>
      <w:r>
        <w:rPr/>
        <w:t>артеріального</w:t>
      </w:r>
      <w:r>
        <w:rPr>
          <w:w w:val="99"/>
        </w:rPr>
        <w:t> </w:t>
      </w:r>
      <w:r>
        <w:rPr/>
        <w:t>тиску шляхом дії на периферичні судини. Кальцій бере участь</w:t>
      </w:r>
      <w:r>
        <w:rPr>
          <w:spacing w:val="50"/>
        </w:rPr>
        <w:t> </w:t>
      </w:r>
      <w:r>
        <w:rPr/>
        <w:t>в</w:t>
      </w:r>
      <w:r>
        <w:rPr>
          <w:spacing w:val="44"/>
        </w:rPr>
        <w:t> </w:t>
      </w:r>
      <w:r>
        <w:rPr/>
        <w:t>координації</w:t>
      </w:r>
      <w:r>
        <w:rPr>
          <w:w w:val="99"/>
        </w:rPr>
        <w:t> </w:t>
      </w:r>
      <w:r>
        <w:rPr/>
        <w:t>проникності клітинних мембран, нервової</w:t>
      </w:r>
      <w:r>
        <w:rPr>
          <w:spacing w:val="28"/>
        </w:rPr>
        <w:t> </w:t>
      </w:r>
      <w:r>
        <w:rPr/>
        <w:t>провідності,</w:t>
      </w:r>
      <w:r>
        <w:rPr>
          <w:spacing w:val="11"/>
        </w:rPr>
        <w:t> </w:t>
      </w:r>
      <w:r>
        <w:rPr>
          <w:spacing w:val="-3"/>
        </w:rPr>
        <w:t>внутрішньоклітинних</w:t>
      </w:r>
      <w:r>
        <w:rPr>
          <w:spacing w:val="-1"/>
          <w:w w:val="99"/>
        </w:rPr>
        <w:t> </w:t>
      </w:r>
      <w:r>
        <w:rPr/>
        <w:t>процесах</w:t>
        <w:tab/>
        <w:t>скорочення</w:t>
        <w:tab/>
        <w:t>м’язів,</w:t>
        <w:tab/>
        <w:t>в</w:t>
        <w:tab/>
        <w:t>роботі</w:t>
        <w:tab/>
        <w:t>системи</w:t>
        <w:tab/>
        <w:t>гемостазу.</w:t>
        <w:tab/>
        <w:t>За</w:t>
        <w:tab/>
      </w:r>
      <w:r>
        <w:rPr>
          <w:spacing w:val="-2"/>
          <w:w w:val="95"/>
        </w:rPr>
        <w:t>даними </w:t>
      </w:r>
      <w:r>
        <w:rPr/>
        <w:t>дослідженнями</w:t>
      </w:r>
      <w:r>
        <w:rPr>
          <w:spacing w:val="-30"/>
        </w:rPr>
        <w:t> </w:t>
      </w:r>
      <w:r>
        <w:rPr/>
        <w:t>рівень</w:t>
      </w:r>
      <w:r>
        <w:rPr>
          <w:spacing w:val="-28"/>
        </w:rPr>
        <w:t> </w:t>
      </w:r>
      <w:r>
        <w:rPr>
          <w:spacing w:val="-3"/>
        </w:rPr>
        <w:t>кальцію</w:t>
      </w:r>
      <w:r>
        <w:rPr>
          <w:spacing w:val="-27"/>
        </w:rPr>
        <w:t> </w:t>
      </w:r>
      <w:r>
        <w:rPr/>
        <w:t>в</w:t>
      </w:r>
      <w:r>
        <w:rPr>
          <w:spacing w:val="-28"/>
        </w:rPr>
        <w:t> </w:t>
      </w:r>
      <w:r>
        <w:rPr>
          <w:spacing w:val="-3"/>
        </w:rPr>
        <w:t>контрольній</w:t>
      </w:r>
      <w:r>
        <w:rPr>
          <w:spacing w:val="-26"/>
        </w:rPr>
        <w:t> </w:t>
      </w:r>
      <w:r>
        <w:rPr/>
        <w:t>та</w:t>
      </w:r>
      <w:r>
        <w:rPr>
          <w:spacing w:val="-29"/>
        </w:rPr>
        <w:t> </w:t>
      </w:r>
      <w:r>
        <w:rPr/>
        <w:t>дослідній</w:t>
      </w:r>
      <w:r>
        <w:rPr>
          <w:spacing w:val="-26"/>
        </w:rPr>
        <w:t> </w:t>
      </w:r>
      <w:r>
        <w:rPr/>
        <w:t>групі</w:t>
      </w:r>
      <w:r>
        <w:rPr>
          <w:spacing w:val="-29"/>
        </w:rPr>
        <w:t> </w:t>
      </w:r>
      <w:r>
        <w:rPr/>
        <w:t>майже</w:t>
      </w:r>
      <w:r>
        <w:rPr>
          <w:spacing w:val="-25"/>
        </w:rPr>
        <w:t> </w:t>
      </w:r>
      <w:r>
        <w:rPr/>
        <w:t>однаковий,</w:t>
      </w:r>
    </w:p>
    <w:p>
      <w:pPr>
        <w:pStyle w:val="BodyText"/>
        <w:spacing w:line="322" w:lineRule="exact" w:before="2"/>
      </w:pPr>
      <w:r>
        <w:rPr/>
        <w:t>2,39 та 2,40 ммоль/л відповідно.</w:t>
      </w:r>
    </w:p>
    <w:p>
      <w:pPr>
        <w:pStyle w:val="BodyText"/>
        <w:ind w:right="602" w:firstLine="710"/>
      </w:pPr>
      <w:r>
        <w:rPr>
          <w:b/>
          <w:color w:val="202020"/>
        </w:rPr>
        <w:t>Висновки. </w:t>
      </w:r>
      <w:r>
        <w:rPr/>
        <w:t>У результаті проведеного дослідження встановлено, що 30 – денний</w:t>
      </w:r>
      <w:r>
        <w:rPr>
          <w:spacing w:val="-11"/>
        </w:rPr>
        <w:t> </w:t>
      </w:r>
      <w:r>
        <w:rPr/>
        <w:t>імобілізаційний</w:t>
      </w:r>
      <w:r>
        <w:rPr>
          <w:spacing w:val="-10"/>
        </w:rPr>
        <w:t> </w:t>
      </w:r>
      <w:r>
        <w:rPr/>
        <w:t>стрес</w:t>
      </w:r>
      <w:r>
        <w:rPr>
          <w:spacing w:val="-9"/>
        </w:rPr>
        <w:t> </w:t>
      </w:r>
      <w:r>
        <w:rPr/>
        <w:t>у</w:t>
      </w:r>
      <w:r>
        <w:rPr>
          <w:spacing w:val="-13"/>
        </w:rPr>
        <w:t> </w:t>
      </w:r>
      <w:r>
        <w:rPr/>
        <w:t>кішок</w:t>
      </w:r>
      <w:r>
        <w:rPr>
          <w:spacing w:val="-10"/>
        </w:rPr>
        <w:t> </w:t>
      </w:r>
      <w:r>
        <w:rPr/>
        <w:t>в</w:t>
      </w:r>
      <w:r>
        <w:rPr>
          <w:spacing w:val="-12"/>
        </w:rPr>
        <w:t> </w:t>
      </w:r>
      <w:r>
        <w:rPr/>
        <w:t>групі</w:t>
      </w:r>
      <w:r>
        <w:rPr>
          <w:spacing w:val="-11"/>
        </w:rPr>
        <w:t> </w:t>
      </w:r>
      <w:r>
        <w:rPr/>
        <w:t>досліду</w:t>
      </w:r>
      <w:r>
        <w:rPr>
          <w:spacing w:val="-10"/>
        </w:rPr>
        <w:t> </w:t>
      </w:r>
      <w:r>
        <w:rPr/>
        <w:t>з</w:t>
      </w:r>
      <w:r>
        <w:rPr>
          <w:spacing w:val="-10"/>
        </w:rPr>
        <w:t> </w:t>
      </w:r>
      <w:r>
        <w:rPr>
          <w:spacing w:val="-3"/>
        </w:rPr>
        <w:t>використанням</w:t>
      </w:r>
      <w:r>
        <w:rPr>
          <w:spacing w:val="-8"/>
        </w:rPr>
        <w:t> </w:t>
      </w:r>
      <w:r>
        <w:rPr/>
        <w:t>препарату</w:t>
      </w:r>
    </w:p>
    <w:p>
      <w:pPr>
        <w:pStyle w:val="BodyText"/>
        <w:ind w:right="605"/>
      </w:pPr>
      <w:r>
        <w:rPr/>
        <w:t>«Кардіофіл» та «Фітохол» не призводить до функціонального розладу серцево- судинної та інших систем організму, всі досліджувані біохімічні показники знаходились в межах фізіологічних нормативних значень, порівняно з контрольною групою.</w:t>
      </w:r>
    </w:p>
    <w:p>
      <w:pPr>
        <w:pStyle w:val="BodyText"/>
        <w:ind w:right="605" w:firstLine="710"/>
      </w:pPr>
      <w:r>
        <w:rPr/>
        <w:t>Визначено,</w:t>
      </w:r>
      <w:r>
        <w:rPr>
          <w:spacing w:val="-28"/>
        </w:rPr>
        <w:t> </w:t>
      </w:r>
      <w:r>
        <w:rPr/>
        <w:t>що</w:t>
      </w:r>
      <w:r>
        <w:rPr>
          <w:spacing w:val="-29"/>
        </w:rPr>
        <w:t> </w:t>
      </w:r>
      <w:r>
        <w:rPr/>
        <w:t>застосування</w:t>
      </w:r>
      <w:r>
        <w:rPr>
          <w:spacing w:val="-28"/>
        </w:rPr>
        <w:t> </w:t>
      </w:r>
      <w:r>
        <w:rPr/>
        <w:t>фітодобавок</w:t>
      </w:r>
      <w:r>
        <w:rPr>
          <w:spacing w:val="-30"/>
        </w:rPr>
        <w:t> </w:t>
      </w:r>
      <w:r>
        <w:rPr/>
        <w:t>«Кардіофіл»</w:t>
      </w:r>
      <w:r>
        <w:rPr>
          <w:spacing w:val="-29"/>
        </w:rPr>
        <w:t> </w:t>
      </w:r>
      <w:r>
        <w:rPr/>
        <w:t>та</w:t>
      </w:r>
      <w:r>
        <w:rPr>
          <w:spacing w:val="-24"/>
        </w:rPr>
        <w:t> </w:t>
      </w:r>
      <w:r>
        <w:rPr/>
        <w:t>«Фітохол»</w:t>
      </w:r>
      <w:r>
        <w:rPr>
          <w:spacing w:val="-29"/>
        </w:rPr>
        <w:t> </w:t>
      </w:r>
      <w:r>
        <w:rPr/>
        <w:t>за</w:t>
      </w:r>
      <w:r>
        <w:rPr>
          <w:spacing w:val="-25"/>
        </w:rPr>
        <w:t> </w:t>
      </w:r>
      <w:r>
        <w:rPr/>
        <w:t>умов ізоляційного стресу у котів проявляють адаптогенну дію і не викликають при цьому</w:t>
      </w:r>
      <w:r>
        <w:rPr>
          <w:spacing w:val="-24"/>
        </w:rPr>
        <w:t> </w:t>
      </w:r>
      <w:r>
        <w:rPr/>
        <w:t>негативних</w:t>
      </w:r>
      <w:r>
        <w:rPr>
          <w:spacing w:val="-27"/>
        </w:rPr>
        <w:t> </w:t>
      </w:r>
      <w:r>
        <w:rPr/>
        <w:t>явищ,</w:t>
      </w:r>
      <w:r>
        <w:rPr>
          <w:spacing w:val="-22"/>
        </w:rPr>
        <w:t> </w:t>
      </w:r>
      <w:r>
        <w:rPr>
          <w:spacing w:val="-3"/>
        </w:rPr>
        <w:t>це</w:t>
      </w:r>
      <w:r>
        <w:rPr>
          <w:spacing w:val="-23"/>
        </w:rPr>
        <w:t> </w:t>
      </w:r>
      <w:r>
        <w:rPr/>
        <w:t>підтверджено</w:t>
      </w:r>
      <w:r>
        <w:rPr>
          <w:spacing w:val="-27"/>
        </w:rPr>
        <w:t> </w:t>
      </w:r>
      <w:r>
        <w:rPr/>
        <w:t>дослідженнями</w:t>
      </w:r>
      <w:r>
        <w:rPr>
          <w:spacing w:val="-23"/>
        </w:rPr>
        <w:t> </w:t>
      </w:r>
      <w:r>
        <w:rPr>
          <w:spacing w:val="-3"/>
        </w:rPr>
        <w:t>біохімічних</w:t>
      </w:r>
      <w:r>
        <w:rPr>
          <w:spacing w:val="-24"/>
        </w:rPr>
        <w:t> </w:t>
      </w:r>
      <w:r>
        <w:rPr/>
        <w:t>показників, які коливалися в межах фізіологічних нормативних</w:t>
      </w:r>
      <w:r>
        <w:rPr>
          <w:spacing w:val="-43"/>
        </w:rPr>
        <w:t> </w:t>
      </w:r>
      <w:r>
        <w:rPr/>
        <w:t>значень.</w:t>
      </w:r>
    </w:p>
    <w:p>
      <w:pPr>
        <w:pStyle w:val="BodyText"/>
        <w:spacing w:before="6"/>
        <w:ind w:left="0"/>
        <w:jc w:val="left"/>
      </w:pPr>
    </w:p>
    <w:p>
      <w:pPr>
        <w:pStyle w:val="Heading1"/>
        <w:spacing w:line="319" w:lineRule="exact"/>
        <w:ind w:left="1034" w:right="21"/>
      </w:pPr>
      <w:r>
        <w:rPr/>
        <w:t>ЛІТЕРАТУРА</w:t>
      </w:r>
    </w:p>
    <w:p>
      <w:pPr>
        <w:pStyle w:val="ListParagraph"/>
        <w:numPr>
          <w:ilvl w:val="0"/>
          <w:numId w:val="9"/>
        </w:numPr>
        <w:tabs>
          <w:tab w:pos="1274" w:val="left" w:leader="none"/>
        </w:tabs>
        <w:spacing w:line="240" w:lineRule="auto" w:before="0" w:after="0"/>
        <w:ind w:left="193" w:right="609" w:firstLine="710"/>
        <w:jc w:val="both"/>
        <w:rPr>
          <w:sz w:val="28"/>
        </w:rPr>
      </w:pPr>
      <w:r>
        <w:rPr>
          <w:spacing w:val="-4"/>
          <w:sz w:val="28"/>
        </w:rPr>
        <w:t>Айрапетян Н.,</w:t>
      </w:r>
      <w:r>
        <w:rPr>
          <w:spacing w:val="62"/>
          <w:sz w:val="28"/>
        </w:rPr>
        <w:t> </w:t>
      </w:r>
      <w:r>
        <w:rPr>
          <w:spacing w:val="-4"/>
          <w:sz w:val="28"/>
        </w:rPr>
        <w:t>Агаджанян А., Хачатрян </w:t>
      </w:r>
      <w:r>
        <w:rPr>
          <w:sz w:val="28"/>
        </w:rPr>
        <w:t>М., </w:t>
      </w:r>
      <w:r>
        <w:rPr>
          <w:spacing w:val="-4"/>
          <w:sz w:val="28"/>
        </w:rPr>
        <w:t>Трчунян </w:t>
      </w:r>
      <w:r>
        <w:rPr>
          <w:spacing w:val="-5"/>
          <w:sz w:val="28"/>
        </w:rPr>
        <w:t>А. </w:t>
      </w:r>
      <w:r>
        <w:rPr>
          <w:spacing w:val="-3"/>
          <w:sz w:val="28"/>
        </w:rPr>
        <w:t>// </w:t>
      </w:r>
      <w:r>
        <w:rPr>
          <w:spacing w:val="-4"/>
          <w:sz w:val="28"/>
        </w:rPr>
        <w:t>Влияние</w:t>
      </w:r>
      <w:r>
        <w:rPr>
          <w:spacing w:val="62"/>
          <w:sz w:val="28"/>
        </w:rPr>
        <w:t> </w:t>
      </w:r>
      <w:r>
        <w:rPr>
          <w:spacing w:val="-4"/>
          <w:sz w:val="28"/>
        </w:rPr>
        <w:t>иммобилизационного стресса </w:t>
      </w:r>
      <w:r>
        <w:rPr>
          <w:spacing w:val="-3"/>
          <w:sz w:val="28"/>
        </w:rPr>
        <w:t>на </w:t>
      </w:r>
      <w:r>
        <w:rPr>
          <w:spacing w:val="-4"/>
          <w:sz w:val="28"/>
        </w:rPr>
        <w:t>некоторые биохимические показатели вуглеводного</w:t>
      </w:r>
      <w:r>
        <w:rPr>
          <w:spacing w:val="-22"/>
          <w:sz w:val="28"/>
        </w:rPr>
        <w:t> </w:t>
      </w:r>
      <w:r>
        <w:rPr>
          <w:spacing w:val="-4"/>
          <w:sz w:val="28"/>
        </w:rPr>
        <w:t>обмела</w:t>
      </w:r>
      <w:r>
        <w:rPr>
          <w:spacing w:val="-20"/>
          <w:sz w:val="28"/>
        </w:rPr>
        <w:t> </w:t>
      </w:r>
      <w:r>
        <w:rPr>
          <w:sz w:val="28"/>
        </w:rPr>
        <w:t>в</w:t>
      </w:r>
      <w:r>
        <w:rPr>
          <w:spacing w:val="-28"/>
          <w:sz w:val="28"/>
        </w:rPr>
        <w:t> </w:t>
      </w:r>
      <w:r>
        <w:rPr>
          <w:spacing w:val="-4"/>
          <w:sz w:val="28"/>
        </w:rPr>
        <w:t>сыворотке</w:t>
      </w:r>
      <w:r>
        <w:rPr>
          <w:spacing w:val="-24"/>
          <w:sz w:val="28"/>
        </w:rPr>
        <w:t> </w:t>
      </w:r>
      <w:r>
        <w:rPr>
          <w:spacing w:val="-3"/>
          <w:sz w:val="28"/>
        </w:rPr>
        <w:t>крови</w:t>
      </w:r>
      <w:r>
        <w:rPr>
          <w:spacing w:val="-26"/>
          <w:sz w:val="28"/>
        </w:rPr>
        <w:t> </w:t>
      </w:r>
      <w:r>
        <w:rPr>
          <w:spacing w:val="-3"/>
          <w:sz w:val="28"/>
        </w:rPr>
        <w:t>кроликов</w:t>
      </w:r>
      <w:r>
        <w:rPr>
          <w:spacing w:val="-28"/>
          <w:sz w:val="28"/>
        </w:rPr>
        <w:t> </w:t>
      </w:r>
      <w:r>
        <w:rPr>
          <w:spacing w:val="-4"/>
          <w:sz w:val="28"/>
        </w:rPr>
        <w:t>Биолог.</w:t>
      </w:r>
      <w:r>
        <w:rPr>
          <w:spacing w:val="-23"/>
          <w:sz w:val="28"/>
        </w:rPr>
        <w:t> </w:t>
      </w:r>
      <w:r>
        <w:rPr>
          <w:spacing w:val="-4"/>
          <w:sz w:val="28"/>
        </w:rPr>
        <w:t>журнал</w:t>
      </w:r>
      <w:r>
        <w:rPr>
          <w:spacing w:val="-21"/>
          <w:sz w:val="28"/>
        </w:rPr>
        <w:t> </w:t>
      </w:r>
      <w:r>
        <w:rPr>
          <w:spacing w:val="-4"/>
          <w:sz w:val="28"/>
        </w:rPr>
        <w:t>Армении.</w:t>
      </w:r>
      <w:r>
        <w:rPr>
          <w:spacing w:val="-22"/>
          <w:sz w:val="28"/>
        </w:rPr>
        <w:t> </w:t>
      </w:r>
      <w:r>
        <w:rPr>
          <w:sz w:val="28"/>
        </w:rPr>
        <w:t>–</w:t>
      </w:r>
      <w:r>
        <w:rPr>
          <w:spacing w:val="-26"/>
          <w:sz w:val="28"/>
        </w:rPr>
        <w:t> </w:t>
      </w:r>
      <w:r>
        <w:rPr>
          <w:sz w:val="28"/>
        </w:rPr>
        <w:t>2017. 1 </w:t>
      </w:r>
      <w:r>
        <w:rPr>
          <w:spacing w:val="-4"/>
          <w:sz w:val="28"/>
        </w:rPr>
        <w:t>(69). </w:t>
      </w:r>
      <w:r>
        <w:rPr>
          <w:sz w:val="28"/>
        </w:rPr>
        <w:t>С. </w:t>
      </w:r>
      <w:r>
        <w:rPr>
          <w:spacing w:val="-3"/>
          <w:sz w:val="28"/>
        </w:rPr>
        <w:t>13 </w:t>
      </w:r>
      <w:r>
        <w:rPr>
          <w:sz w:val="28"/>
        </w:rPr>
        <w:t>–</w:t>
      </w:r>
      <w:r>
        <w:rPr>
          <w:spacing w:val="-29"/>
          <w:sz w:val="28"/>
        </w:rPr>
        <w:t> </w:t>
      </w:r>
      <w:r>
        <w:rPr>
          <w:spacing w:val="-5"/>
          <w:sz w:val="28"/>
        </w:rPr>
        <w:t>18.</w:t>
      </w:r>
    </w:p>
    <w:p>
      <w:pPr>
        <w:pStyle w:val="ListParagraph"/>
        <w:numPr>
          <w:ilvl w:val="0"/>
          <w:numId w:val="9"/>
        </w:numPr>
        <w:tabs>
          <w:tab w:pos="1269" w:val="left" w:leader="none"/>
        </w:tabs>
        <w:spacing w:line="240" w:lineRule="auto" w:before="0" w:after="0"/>
        <w:ind w:left="193" w:right="608" w:firstLine="710"/>
        <w:jc w:val="both"/>
        <w:rPr>
          <w:sz w:val="28"/>
        </w:rPr>
      </w:pPr>
      <w:r>
        <w:rPr>
          <w:spacing w:val="-4"/>
          <w:sz w:val="28"/>
        </w:rPr>
        <w:t>Барышникова </w:t>
      </w:r>
      <w:r>
        <w:rPr>
          <w:spacing w:val="-3"/>
          <w:sz w:val="28"/>
        </w:rPr>
        <w:t>Г.А., </w:t>
      </w:r>
      <w:r>
        <w:rPr>
          <w:spacing w:val="-4"/>
          <w:sz w:val="28"/>
        </w:rPr>
        <w:t>Чорбинская </w:t>
      </w:r>
      <w:r>
        <w:rPr>
          <w:sz w:val="28"/>
        </w:rPr>
        <w:t>С.А., </w:t>
      </w:r>
      <w:r>
        <w:rPr>
          <w:spacing w:val="-5"/>
          <w:sz w:val="28"/>
        </w:rPr>
        <w:t>Степанова </w:t>
      </w:r>
      <w:r>
        <w:rPr>
          <w:spacing w:val="-4"/>
          <w:sz w:val="28"/>
        </w:rPr>
        <w:t>И.И.,</w:t>
      </w:r>
      <w:r>
        <w:rPr>
          <w:spacing w:val="62"/>
          <w:sz w:val="28"/>
        </w:rPr>
        <w:t> </w:t>
      </w:r>
      <w:r>
        <w:rPr>
          <w:spacing w:val="-4"/>
          <w:sz w:val="28"/>
        </w:rPr>
        <w:t>Блохина </w:t>
      </w:r>
      <w:r>
        <w:rPr>
          <w:spacing w:val="-3"/>
          <w:sz w:val="28"/>
        </w:rPr>
        <w:t>О.Е. </w:t>
      </w:r>
      <w:r>
        <w:rPr>
          <w:spacing w:val="-4"/>
          <w:sz w:val="28"/>
        </w:rPr>
        <w:t>Дефицит</w:t>
      </w:r>
      <w:r>
        <w:rPr>
          <w:spacing w:val="-13"/>
          <w:sz w:val="28"/>
        </w:rPr>
        <w:t> </w:t>
      </w:r>
      <w:r>
        <w:rPr>
          <w:spacing w:val="-3"/>
          <w:sz w:val="28"/>
        </w:rPr>
        <w:t>калия</w:t>
      </w:r>
      <w:r>
        <w:rPr>
          <w:spacing w:val="-9"/>
          <w:sz w:val="28"/>
        </w:rPr>
        <w:t> </w:t>
      </w:r>
      <w:r>
        <w:rPr>
          <w:sz w:val="28"/>
        </w:rPr>
        <w:t>и</w:t>
      </w:r>
      <w:r>
        <w:rPr>
          <w:spacing w:val="-11"/>
          <w:sz w:val="28"/>
        </w:rPr>
        <w:t> </w:t>
      </w:r>
      <w:r>
        <w:rPr>
          <w:spacing w:val="-4"/>
          <w:sz w:val="28"/>
        </w:rPr>
        <w:t>магния,</w:t>
      </w:r>
      <w:r>
        <w:rPr>
          <w:spacing w:val="-8"/>
          <w:sz w:val="28"/>
        </w:rPr>
        <w:t> </w:t>
      </w:r>
      <w:r>
        <w:rPr>
          <w:sz w:val="28"/>
        </w:rPr>
        <w:t>их</w:t>
      </w:r>
      <w:r>
        <w:rPr>
          <w:spacing w:val="-15"/>
          <w:sz w:val="28"/>
        </w:rPr>
        <w:t> </w:t>
      </w:r>
      <w:r>
        <w:rPr>
          <w:spacing w:val="-3"/>
          <w:sz w:val="28"/>
        </w:rPr>
        <w:t>роль</w:t>
      </w:r>
      <w:r>
        <w:rPr>
          <w:spacing w:val="-9"/>
          <w:sz w:val="28"/>
        </w:rPr>
        <w:t> </w:t>
      </w:r>
      <w:r>
        <w:rPr>
          <w:sz w:val="28"/>
        </w:rPr>
        <w:t>в</w:t>
      </w:r>
      <w:r>
        <w:rPr>
          <w:spacing w:val="-12"/>
          <w:sz w:val="28"/>
        </w:rPr>
        <w:t> </w:t>
      </w:r>
      <w:r>
        <w:rPr>
          <w:spacing w:val="-4"/>
          <w:sz w:val="28"/>
        </w:rPr>
        <w:t>развитии</w:t>
      </w:r>
      <w:r>
        <w:rPr>
          <w:spacing w:val="-10"/>
          <w:sz w:val="28"/>
        </w:rPr>
        <w:t> </w:t>
      </w:r>
      <w:r>
        <w:rPr>
          <w:spacing w:val="-3"/>
          <w:sz w:val="28"/>
        </w:rPr>
        <w:t>сердечно</w:t>
      </w:r>
      <w:r>
        <w:rPr>
          <w:spacing w:val="-11"/>
          <w:sz w:val="28"/>
        </w:rPr>
        <w:t> </w:t>
      </w:r>
      <w:r>
        <w:rPr>
          <w:sz w:val="28"/>
        </w:rPr>
        <w:t>–</w:t>
      </w:r>
      <w:r>
        <w:rPr>
          <w:spacing w:val="-10"/>
          <w:sz w:val="28"/>
        </w:rPr>
        <w:t> </w:t>
      </w:r>
      <w:r>
        <w:rPr>
          <w:spacing w:val="-4"/>
          <w:sz w:val="28"/>
        </w:rPr>
        <w:t>сосудистых</w:t>
      </w:r>
      <w:r>
        <w:rPr>
          <w:spacing w:val="-11"/>
          <w:sz w:val="28"/>
        </w:rPr>
        <w:t> </w:t>
      </w:r>
      <w:r>
        <w:rPr>
          <w:spacing w:val="-4"/>
          <w:sz w:val="28"/>
        </w:rPr>
        <w:t>заболеваний</w:t>
      </w:r>
      <w:r>
        <w:rPr>
          <w:spacing w:val="-10"/>
          <w:sz w:val="28"/>
        </w:rPr>
        <w:t> </w:t>
      </w:r>
      <w:r>
        <w:rPr>
          <w:sz w:val="28"/>
        </w:rPr>
        <w:t>и </w:t>
      </w:r>
      <w:r>
        <w:rPr>
          <w:spacing w:val="-4"/>
          <w:sz w:val="28"/>
        </w:rPr>
        <w:t>возможность</w:t>
      </w:r>
      <w:r>
        <w:rPr>
          <w:spacing w:val="-8"/>
          <w:sz w:val="28"/>
        </w:rPr>
        <w:t> </w:t>
      </w:r>
      <w:r>
        <w:rPr>
          <w:spacing w:val="-4"/>
          <w:sz w:val="28"/>
        </w:rPr>
        <w:t>коррекции</w:t>
      </w:r>
      <w:r>
        <w:rPr>
          <w:spacing w:val="-9"/>
          <w:sz w:val="28"/>
        </w:rPr>
        <w:t> </w:t>
      </w:r>
      <w:r>
        <w:rPr>
          <w:spacing w:val="-3"/>
          <w:sz w:val="28"/>
        </w:rPr>
        <w:t>//Consilium</w:t>
      </w:r>
      <w:r>
        <w:rPr>
          <w:spacing w:val="-6"/>
          <w:sz w:val="28"/>
        </w:rPr>
        <w:t> </w:t>
      </w:r>
      <w:r>
        <w:rPr>
          <w:spacing w:val="-4"/>
          <w:sz w:val="28"/>
        </w:rPr>
        <w:t>medicum</w:t>
      </w:r>
      <w:r>
        <w:rPr>
          <w:spacing w:val="-13"/>
          <w:sz w:val="28"/>
        </w:rPr>
        <w:t> </w:t>
      </w:r>
      <w:r>
        <w:rPr>
          <w:spacing w:val="-3"/>
          <w:sz w:val="28"/>
        </w:rPr>
        <w:t>2019</w:t>
      </w:r>
      <w:r>
        <w:rPr>
          <w:spacing w:val="-10"/>
          <w:sz w:val="28"/>
        </w:rPr>
        <w:t> </w:t>
      </w:r>
      <w:r>
        <w:rPr>
          <w:sz w:val="28"/>
        </w:rPr>
        <w:t>/</w:t>
      </w:r>
      <w:r>
        <w:rPr>
          <w:spacing w:val="-5"/>
          <w:sz w:val="28"/>
        </w:rPr>
        <w:t> </w:t>
      </w:r>
      <w:r>
        <w:rPr>
          <w:spacing w:val="-4"/>
          <w:sz w:val="28"/>
        </w:rPr>
        <w:t>Том</w:t>
      </w:r>
      <w:r>
        <w:rPr>
          <w:spacing w:val="-9"/>
          <w:sz w:val="28"/>
        </w:rPr>
        <w:t> </w:t>
      </w:r>
      <w:r>
        <w:rPr>
          <w:sz w:val="28"/>
        </w:rPr>
        <w:t>21/</w:t>
      </w:r>
      <w:r>
        <w:rPr>
          <w:spacing w:val="-10"/>
          <w:sz w:val="28"/>
        </w:rPr>
        <w:t> </w:t>
      </w:r>
      <w:r>
        <w:rPr>
          <w:sz w:val="28"/>
        </w:rPr>
        <w:t>№1</w:t>
      </w:r>
      <w:r>
        <w:rPr>
          <w:spacing w:val="-9"/>
          <w:sz w:val="28"/>
        </w:rPr>
        <w:t> </w:t>
      </w:r>
      <w:r>
        <w:rPr>
          <w:sz w:val="28"/>
        </w:rPr>
        <w:t>С.</w:t>
      </w:r>
      <w:r>
        <w:rPr>
          <w:spacing w:val="-7"/>
          <w:sz w:val="28"/>
        </w:rPr>
        <w:t> </w:t>
      </w:r>
      <w:r>
        <w:rPr>
          <w:spacing w:val="-3"/>
          <w:sz w:val="28"/>
        </w:rPr>
        <w:t>67</w:t>
      </w:r>
      <w:r>
        <w:rPr>
          <w:spacing w:val="-10"/>
          <w:sz w:val="28"/>
        </w:rPr>
        <w:t> </w:t>
      </w:r>
      <w:r>
        <w:rPr>
          <w:sz w:val="28"/>
        </w:rPr>
        <w:t>–</w:t>
      </w:r>
      <w:r>
        <w:rPr>
          <w:spacing w:val="-9"/>
          <w:sz w:val="28"/>
        </w:rPr>
        <w:t> </w:t>
      </w:r>
      <w:r>
        <w:rPr>
          <w:spacing w:val="-4"/>
          <w:sz w:val="28"/>
        </w:rPr>
        <w:t>73.</w:t>
      </w:r>
    </w:p>
    <w:p>
      <w:pPr>
        <w:pStyle w:val="ListParagraph"/>
        <w:numPr>
          <w:ilvl w:val="0"/>
          <w:numId w:val="9"/>
        </w:numPr>
        <w:tabs>
          <w:tab w:pos="1385" w:val="left" w:leader="none"/>
        </w:tabs>
        <w:spacing w:line="242" w:lineRule="auto" w:before="0" w:after="0"/>
        <w:ind w:left="193" w:right="612" w:firstLine="710"/>
        <w:jc w:val="both"/>
        <w:rPr>
          <w:sz w:val="28"/>
        </w:rPr>
      </w:pPr>
      <w:r>
        <w:rPr>
          <w:spacing w:val="-4"/>
          <w:sz w:val="28"/>
        </w:rPr>
        <w:t>Жигулина В.В. Биохимический ответ организма </w:t>
      </w:r>
      <w:r>
        <w:rPr>
          <w:spacing w:val="-3"/>
          <w:sz w:val="28"/>
        </w:rPr>
        <w:t>на стресс </w:t>
      </w:r>
      <w:r>
        <w:rPr>
          <w:sz w:val="28"/>
        </w:rPr>
        <w:t>// </w:t>
      </w:r>
      <w:r>
        <w:rPr>
          <w:spacing w:val="-4"/>
          <w:sz w:val="28"/>
        </w:rPr>
        <w:t>Верхневолжский медицинский журнал. </w:t>
      </w:r>
      <w:r>
        <w:rPr>
          <w:sz w:val="28"/>
        </w:rPr>
        <w:t>– </w:t>
      </w:r>
      <w:r>
        <w:rPr>
          <w:spacing w:val="-4"/>
          <w:sz w:val="28"/>
        </w:rPr>
        <w:t>2014. </w:t>
      </w:r>
      <w:r>
        <w:rPr>
          <w:spacing w:val="-5"/>
          <w:sz w:val="28"/>
        </w:rPr>
        <w:t>вып. </w:t>
      </w:r>
      <w:r>
        <w:rPr>
          <w:spacing w:val="-3"/>
          <w:sz w:val="28"/>
        </w:rPr>
        <w:t>4. Т.12.– </w:t>
      </w:r>
      <w:r>
        <w:rPr>
          <w:sz w:val="28"/>
        </w:rPr>
        <w:t>С . </w:t>
      </w:r>
      <w:r>
        <w:rPr>
          <w:spacing w:val="-3"/>
          <w:sz w:val="28"/>
        </w:rPr>
        <w:t>25 </w:t>
      </w:r>
      <w:r>
        <w:rPr>
          <w:sz w:val="28"/>
        </w:rPr>
        <w:t>–</w:t>
      </w:r>
      <w:r>
        <w:rPr>
          <w:spacing w:val="-52"/>
          <w:sz w:val="28"/>
        </w:rPr>
        <w:t> </w:t>
      </w:r>
      <w:r>
        <w:rPr>
          <w:spacing w:val="-5"/>
          <w:sz w:val="28"/>
        </w:rPr>
        <w:t>30.</w:t>
      </w:r>
    </w:p>
    <w:p>
      <w:pPr>
        <w:pStyle w:val="ListParagraph"/>
        <w:numPr>
          <w:ilvl w:val="0"/>
          <w:numId w:val="9"/>
        </w:numPr>
        <w:tabs>
          <w:tab w:pos="1250" w:val="left" w:leader="none"/>
        </w:tabs>
        <w:spacing w:line="240" w:lineRule="auto" w:before="0" w:after="0"/>
        <w:ind w:left="193" w:right="615" w:firstLine="710"/>
        <w:jc w:val="both"/>
        <w:rPr>
          <w:sz w:val="28"/>
        </w:rPr>
      </w:pPr>
      <w:r>
        <w:rPr>
          <w:spacing w:val="-5"/>
          <w:sz w:val="28"/>
        </w:rPr>
        <w:t>Мітченко </w:t>
      </w:r>
      <w:r>
        <w:rPr>
          <w:spacing w:val="-3"/>
          <w:sz w:val="28"/>
        </w:rPr>
        <w:t>О.І., </w:t>
      </w:r>
      <w:r>
        <w:rPr>
          <w:spacing w:val="-4"/>
          <w:sz w:val="28"/>
        </w:rPr>
        <w:t>Лутай М.І. Дисліпідемії: Діагностика, профілактика та лікування. </w:t>
      </w:r>
      <w:r>
        <w:rPr>
          <w:sz w:val="28"/>
        </w:rPr>
        <w:t>– К.: </w:t>
      </w:r>
      <w:r>
        <w:rPr>
          <w:spacing w:val="-4"/>
          <w:sz w:val="28"/>
        </w:rPr>
        <w:t>Четверта хвиля, 2007. </w:t>
      </w:r>
      <w:r>
        <w:rPr>
          <w:sz w:val="28"/>
        </w:rPr>
        <w:t>– 56</w:t>
      </w:r>
      <w:r>
        <w:rPr>
          <w:spacing w:val="-42"/>
          <w:sz w:val="28"/>
        </w:rPr>
        <w:t> </w:t>
      </w:r>
      <w:r>
        <w:rPr>
          <w:sz w:val="28"/>
        </w:rPr>
        <w:t>с.</w:t>
      </w:r>
    </w:p>
    <w:p>
      <w:pPr>
        <w:pStyle w:val="ListParagraph"/>
        <w:numPr>
          <w:ilvl w:val="0"/>
          <w:numId w:val="9"/>
        </w:numPr>
        <w:tabs>
          <w:tab w:pos="1284" w:val="left" w:leader="none"/>
        </w:tabs>
        <w:spacing w:line="240" w:lineRule="auto" w:before="0" w:after="0"/>
        <w:ind w:left="193" w:right="614" w:firstLine="710"/>
        <w:jc w:val="both"/>
        <w:rPr>
          <w:sz w:val="28"/>
        </w:rPr>
      </w:pPr>
      <w:r>
        <w:rPr>
          <w:spacing w:val="-4"/>
          <w:sz w:val="28"/>
        </w:rPr>
        <w:t>Солодков А.П.</w:t>
      </w:r>
      <w:r>
        <w:rPr>
          <w:spacing w:val="62"/>
          <w:sz w:val="28"/>
        </w:rPr>
        <w:t> </w:t>
      </w:r>
      <w:r>
        <w:rPr>
          <w:sz w:val="28"/>
        </w:rPr>
        <w:t>, </w:t>
      </w:r>
      <w:r>
        <w:rPr>
          <w:spacing w:val="-5"/>
          <w:sz w:val="28"/>
        </w:rPr>
        <w:t>Беляева </w:t>
      </w:r>
      <w:r>
        <w:rPr>
          <w:spacing w:val="-3"/>
          <w:sz w:val="28"/>
        </w:rPr>
        <w:t>Л.Е., </w:t>
      </w:r>
      <w:r>
        <w:rPr>
          <w:spacing w:val="-4"/>
          <w:sz w:val="28"/>
        </w:rPr>
        <w:t>Лазуко </w:t>
      </w:r>
      <w:r>
        <w:rPr>
          <w:spacing w:val="-3"/>
          <w:sz w:val="28"/>
        </w:rPr>
        <w:t>С.С. </w:t>
      </w:r>
      <w:r>
        <w:rPr>
          <w:spacing w:val="-4"/>
          <w:sz w:val="28"/>
        </w:rPr>
        <w:t>Стресс </w:t>
      </w:r>
      <w:r>
        <w:rPr>
          <w:sz w:val="28"/>
        </w:rPr>
        <w:t>и </w:t>
      </w:r>
      <w:r>
        <w:rPr>
          <w:spacing w:val="-4"/>
          <w:sz w:val="28"/>
        </w:rPr>
        <w:t>артериальная</w:t>
      </w:r>
      <w:r>
        <w:rPr>
          <w:spacing w:val="62"/>
          <w:sz w:val="28"/>
        </w:rPr>
        <w:t> </w:t>
      </w:r>
      <w:r>
        <w:rPr>
          <w:spacing w:val="-4"/>
          <w:sz w:val="28"/>
        </w:rPr>
        <w:t>гипертензия. </w:t>
      </w:r>
      <w:r>
        <w:rPr>
          <w:spacing w:val="-3"/>
          <w:sz w:val="28"/>
        </w:rPr>
        <w:t>// </w:t>
      </w:r>
      <w:r>
        <w:rPr>
          <w:spacing w:val="-4"/>
          <w:sz w:val="28"/>
        </w:rPr>
        <w:t>Практикуючий лікар, №3, 2013 </w:t>
      </w:r>
      <w:r>
        <w:rPr>
          <w:sz w:val="28"/>
        </w:rPr>
        <w:t>С. </w:t>
      </w:r>
      <w:r>
        <w:rPr>
          <w:spacing w:val="-3"/>
          <w:sz w:val="28"/>
        </w:rPr>
        <w:t>78 </w:t>
      </w:r>
      <w:r>
        <w:rPr>
          <w:sz w:val="28"/>
        </w:rPr>
        <w:t>–</w:t>
      </w:r>
      <w:r>
        <w:rPr>
          <w:spacing w:val="-32"/>
          <w:sz w:val="28"/>
        </w:rPr>
        <w:t> </w:t>
      </w:r>
      <w:r>
        <w:rPr>
          <w:sz w:val="28"/>
        </w:rPr>
        <w:t>80.</w:t>
      </w:r>
    </w:p>
    <w:p>
      <w:pPr>
        <w:pStyle w:val="ListParagraph"/>
        <w:numPr>
          <w:ilvl w:val="0"/>
          <w:numId w:val="9"/>
        </w:numPr>
        <w:tabs>
          <w:tab w:pos="1212" w:val="left" w:leader="none"/>
        </w:tabs>
        <w:spacing w:line="240" w:lineRule="auto" w:before="0" w:after="0"/>
        <w:ind w:left="193" w:right="607" w:firstLine="710"/>
        <w:jc w:val="both"/>
        <w:rPr>
          <w:sz w:val="28"/>
        </w:rPr>
      </w:pPr>
      <w:r>
        <w:rPr>
          <w:spacing w:val="-4"/>
          <w:sz w:val="28"/>
        </w:rPr>
        <w:t>Diachenko, </w:t>
      </w:r>
      <w:r>
        <w:rPr>
          <w:spacing w:val="-6"/>
          <w:sz w:val="28"/>
        </w:rPr>
        <w:t>L. </w:t>
      </w:r>
      <w:r>
        <w:rPr>
          <w:sz w:val="28"/>
        </w:rPr>
        <w:t>M. &amp; </w:t>
      </w:r>
      <w:r>
        <w:rPr>
          <w:spacing w:val="-4"/>
          <w:sz w:val="28"/>
        </w:rPr>
        <w:t>Stepchenko, </w:t>
      </w:r>
      <w:r>
        <w:rPr>
          <w:spacing w:val="-6"/>
          <w:sz w:val="28"/>
        </w:rPr>
        <w:t>L. </w:t>
      </w:r>
      <w:r>
        <w:rPr>
          <w:sz w:val="28"/>
        </w:rPr>
        <w:t>M. </w:t>
      </w:r>
      <w:r>
        <w:rPr>
          <w:spacing w:val="-5"/>
          <w:sz w:val="28"/>
        </w:rPr>
        <w:t>(2018). </w:t>
      </w:r>
      <w:r>
        <w:rPr>
          <w:spacing w:val="-4"/>
          <w:sz w:val="28"/>
        </w:rPr>
        <w:t>Erytrocytarna systema krovi shhuriv </w:t>
      </w:r>
      <w:r>
        <w:rPr>
          <w:spacing w:val="-5"/>
          <w:sz w:val="28"/>
        </w:rPr>
        <w:t>na </w:t>
      </w:r>
      <w:r>
        <w:rPr>
          <w:spacing w:val="-3"/>
          <w:sz w:val="28"/>
        </w:rPr>
        <w:t>tli </w:t>
      </w:r>
      <w:r>
        <w:rPr>
          <w:spacing w:val="-4"/>
          <w:sz w:val="28"/>
        </w:rPr>
        <w:t>zastosuvannja kormovyh dobavok guminovoi' </w:t>
      </w:r>
      <w:r>
        <w:rPr>
          <w:spacing w:val="-3"/>
          <w:sz w:val="28"/>
        </w:rPr>
        <w:t>pryrody </w:t>
      </w:r>
      <w:r>
        <w:rPr>
          <w:sz w:val="28"/>
        </w:rPr>
        <w:t>za </w:t>
      </w:r>
      <w:r>
        <w:rPr>
          <w:spacing w:val="-3"/>
          <w:sz w:val="28"/>
        </w:rPr>
        <w:t>kombinovanogo </w:t>
      </w:r>
      <w:r>
        <w:rPr>
          <w:spacing w:val="-4"/>
          <w:sz w:val="28"/>
        </w:rPr>
        <w:t>stresu</w:t>
      </w:r>
      <w:r>
        <w:rPr>
          <w:spacing w:val="-24"/>
          <w:sz w:val="28"/>
        </w:rPr>
        <w:t> </w:t>
      </w:r>
      <w:r>
        <w:rPr>
          <w:spacing w:val="-4"/>
          <w:sz w:val="28"/>
        </w:rPr>
        <w:t>[Erythrocyte</w:t>
      </w:r>
      <w:r>
        <w:rPr>
          <w:spacing w:val="-17"/>
          <w:sz w:val="28"/>
        </w:rPr>
        <w:t> </w:t>
      </w:r>
      <w:r>
        <w:rPr>
          <w:spacing w:val="-3"/>
          <w:sz w:val="28"/>
        </w:rPr>
        <w:t>system</w:t>
      </w:r>
      <w:r>
        <w:rPr>
          <w:spacing w:val="-29"/>
          <w:sz w:val="28"/>
        </w:rPr>
        <w:t> </w:t>
      </w:r>
      <w:r>
        <w:rPr>
          <w:sz w:val="28"/>
        </w:rPr>
        <w:t>of</w:t>
      </w:r>
      <w:r>
        <w:rPr>
          <w:spacing w:val="-21"/>
          <w:sz w:val="28"/>
        </w:rPr>
        <w:t> </w:t>
      </w:r>
      <w:r>
        <w:rPr>
          <w:spacing w:val="-4"/>
          <w:sz w:val="28"/>
        </w:rPr>
        <w:t>rat</w:t>
      </w:r>
      <w:r>
        <w:rPr>
          <w:spacing w:val="-19"/>
          <w:sz w:val="28"/>
        </w:rPr>
        <w:t> </w:t>
      </w:r>
      <w:r>
        <w:rPr>
          <w:spacing w:val="-3"/>
          <w:sz w:val="28"/>
        </w:rPr>
        <w:t>blood</w:t>
      </w:r>
      <w:r>
        <w:rPr>
          <w:spacing w:val="-20"/>
          <w:sz w:val="28"/>
        </w:rPr>
        <w:t> </w:t>
      </w:r>
      <w:r>
        <w:rPr>
          <w:spacing w:val="-4"/>
          <w:sz w:val="28"/>
        </w:rPr>
        <w:t>during</w:t>
      </w:r>
      <w:r>
        <w:rPr>
          <w:spacing w:val="-14"/>
          <w:sz w:val="28"/>
        </w:rPr>
        <w:t> </w:t>
      </w:r>
      <w:r>
        <w:rPr>
          <w:spacing w:val="-6"/>
          <w:sz w:val="28"/>
        </w:rPr>
        <w:t>the</w:t>
      </w:r>
      <w:r>
        <w:rPr>
          <w:spacing w:val="-18"/>
          <w:sz w:val="28"/>
        </w:rPr>
        <w:t> </w:t>
      </w:r>
      <w:r>
        <w:rPr>
          <w:spacing w:val="-4"/>
          <w:sz w:val="28"/>
        </w:rPr>
        <w:t>application</w:t>
      </w:r>
      <w:r>
        <w:rPr>
          <w:spacing w:val="-23"/>
          <w:sz w:val="28"/>
        </w:rPr>
        <w:t> </w:t>
      </w:r>
      <w:r>
        <w:rPr>
          <w:sz w:val="28"/>
        </w:rPr>
        <w:t>of</w:t>
      </w:r>
      <w:r>
        <w:rPr>
          <w:spacing w:val="-20"/>
          <w:sz w:val="28"/>
        </w:rPr>
        <w:t> </w:t>
      </w:r>
      <w:r>
        <w:rPr>
          <w:spacing w:val="-3"/>
          <w:sz w:val="28"/>
        </w:rPr>
        <w:t>fodder</w:t>
      </w:r>
      <w:r>
        <w:rPr>
          <w:spacing w:val="-21"/>
          <w:sz w:val="28"/>
        </w:rPr>
        <w:t> </w:t>
      </w:r>
      <w:r>
        <w:rPr>
          <w:spacing w:val="-4"/>
          <w:sz w:val="28"/>
        </w:rPr>
        <w:t>additives</w:t>
      </w:r>
      <w:r>
        <w:rPr>
          <w:spacing w:val="-17"/>
          <w:sz w:val="28"/>
        </w:rPr>
        <w:t> </w:t>
      </w:r>
      <w:r>
        <w:rPr>
          <w:sz w:val="28"/>
        </w:rPr>
        <w:t>of</w:t>
      </w:r>
      <w:r>
        <w:rPr>
          <w:spacing w:val="-20"/>
          <w:sz w:val="28"/>
        </w:rPr>
        <w:t> </w:t>
      </w:r>
      <w:r>
        <w:rPr>
          <w:spacing w:val="-4"/>
          <w:sz w:val="28"/>
        </w:rPr>
        <w:t>humic nature for combined stress]. Theoretical </w:t>
      </w:r>
      <w:r>
        <w:rPr>
          <w:sz w:val="28"/>
        </w:rPr>
        <w:t>and </w:t>
      </w:r>
      <w:r>
        <w:rPr>
          <w:spacing w:val="-4"/>
          <w:sz w:val="28"/>
        </w:rPr>
        <w:t>Applied Veterinary Medicine, </w:t>
      </w:r>
      <w:r>
        <w:rPr>
          <w:sz w:val="28"/>
        </w:rPr>
        <w:t>6 </w:t>
      </w:r>
      <w:r>
        <w:rPr>
          <w:spacing w:val="-4"/>
          <w:sz w:val="28"/>
        </w:rPr>
        <w:t>(3), </w:t>
      </w:r>
      <w:r>
        <w:rPr>
          <w:sz w:val="28"/>
        </w:rPr>
        <w:t>34</w:t>
      </w:r>
      <w:r>
        <w:rPr>
          <w:rFonts w:ascii="MS Gothic" w:hAnsi="MS Gothic"/>
          <w:sz w:val="28"/>
        </w:rPr>
        <w:t>‒</w:t>
      </w:r>
      <w:r>
        <w:rPr>
          <w:sz w:val="28"/>
        </w:rPr>
        <w:t>38 </w:t>
      </w:r>
      <w:r>
        <w:rPr>
          <w:spacing w:val="-3"/>
          <w:sz w:val="28"/>
        </w:rPr>
        <w:t>(in </w:t>
      </w:r>
      <w:r>
        <w:rPr>
          <w:spacing w:val="-4"/>
          <w:sz w:val="28"/>
        </w:rPr>
        <w:t>Ukrainian).</w:t>
      </w:r>
      <w:r>
        <w:rPr>
          <w:spacing w:val="-11"/>
          <w:sz w:val="28"/>
        </w:rPr>
        <w:t> </w:t>
      </w:r>
      <w:hyperlink r:id="rId37">
        <w:r>
          <w:rPr>
            <w:spacing w:val="-4"/>
            <w:sz w:val="28"/>
          </w:rPr>
          <w:t>https://doi.org/10.32819/2018.63007</w:t>
        </w:r>
      </w:hyperlink>
    </w:p>
    <w:p>
      <w:pPr>
        <w:pStyle w:val="ListParagraph"/>
        <w:numPr>
          <w:ilvl w:val="0"/>
          <w:numId w:val="9"/>
        </w:numPr>
        <w:tabs>
          <w:tab w:pos="1197" w:val="left" w:leader="none"/>
        </w:tabs>
        <w:spacing w:line="240" w:lineRule="auto" w:before="0" w:after="0"/>
        <w:ind w:left="193" w:right="612" w:firstLine="710"/>
        <w:jc w:val="both"/>
        <w:rPr>
          <w:sz w:val="28"/>
        </w:rPr>
      </w:pPr>
      <w:r>
        <w:rPr>
          <w:spacing w:val="-5"/>
          <w:sz w:val="28"/>
        </w:rPr>
        <w:t>Lapshina </w:t>
      </w:r>
      <w:r>
        <w:rPr>
          <w:spacing w:val="-4"/>
          <w:sz w:val="28"/>
        </w:rPr>
        <w:t>L.A., Zolotaykina V.I. Oxidative stress </w:t>
      </w:r>
      <w:r>
        <w:rPr>
          <w:spacing w:val="-3"/>
          <w:sz w:val="28"/>
        </w:rPr>
        <w:t>in acute </w:t>
      </w:r>
      <w:r>
        <w:rPr>
          <w:spacing w:val="-5"/>
          <w:sz w:val="28"/>
        </w:rPr>
        <w:t>heart failure </w:t>
      </w:r>
      <w:r>
        <w:rPr>
          <w:sz w:val="28"/>
        </w:rPr>
        <w:t>and the </w:t>
      </w:r>
      <w:r>
        <w:rPr>
          <w:spacing w:val="-5"/>
          <w:sz w:val="28"/>
        </w:rPr>
        <w:t>role</w:t>
      </w:r>
      <w:r>
        <w:rPr>
          <w:spacing w:val="-14"/>
          <w:sz w:val="28"/>
        </w:rPr>
        <w:t> </w:t>
      </w:r>
      <w:r>
        <w:rPr>
          <w:sz w:val="28"/>
        </w:rPr>
        <w:t>of</w:t>
      </w:r>
      <w:r>
        <w:rPr>
          <w:spacing w:val="-16"/>
          <w:sz w:val="28"/>
        </w:rPr>
        <w:t> </w:t>
      </w:r>
      <w:r>
        <w:rPr>
          <w:spacing w:val="-4"/>
          <w:sz w:val="28"/>
        </w:rPr>
        <w:t>the</w:t>
      </w:r>
      <w:r>
        <w:rPr>
          <w:spacing w:val="-13"/>
          <w:sz w:val="28"/>
        </w:rPr>
        <w:t> </w:t>
      </w:r>
      <w:r>
        <w:rPr>
          <w:spacing w:val="-4"/>
          <w:sz w:val="28"/>
        </w:rPr>
        <w:t>antioxidant</w:t>
      </w:r>
      <w:r>
        <w:rPr>
          <w:spacing w:val="-15"/>
          <w:sz w:val="28"/>
        </w:rPr>
        <w:t> </w:t>
      </w:r>
      <w:r>
        <w:rPr>
          <w:spacing w:val="-4"/>
          <w:sz w:val="28"/>
        </w:rPr>
        <w:t>quercetin</w:t>
      </w:r>
      <w:r>
        <w:rPr>
          <w:spacing w:val="-14"/>
          <w:sz w:val="28"/>
        </w:rPr>
        <w:t> </w:t>
      </w:r>
      <w:r>
        <w:rPr>
          <w:spacing w:val="-3"/>
          <w:sz w:val="28"/>
        </w:rPr>
        <w:t>in</w:t>
      </w:r>
      <w:r>
        <w:rPr>
          <w:spacing w:val="-14"/>
          <w:sz w:val="28"/>
        </w:rPr>
        <w:t> </w:t>
      </w:r>
      <w:r>
        <w:rPr>
          <w:spacing w:val="-4"/>
          <w:sz w:val="28"/>
        </w:rPr>
        <w:t>its</w:t>
      </w:r>
      <w:r>
        <w:rPr>
          <w:spacing w:val="-12"/>
          <w:sz w:val="28"/>
        </w:rPr>
        <w:t> </w:t>
      </w:r>
      <w:r>
        <w:rPr>
          <w:spacing w:val="-4"/>
          <w:sz w:val="28"/>
        </w:rPr>
        <w:t>correction.</w:t>
      </w:r>
      <w:r>
        <w:rPr>
          <w:spacing w:val="-13"/>
          <w:sz w:val="28"/>
        </w:rPr>
        <w:t> </w:t>
      </w:r>
      <w:r>
        <w:rPr>
          <w:spacing w:val="-4"/>
          <w:sz w:val="28"/>
        </w:rPr>
        <w:t>International</w:t>
      </w:r>
      <w:r>
        <w:rPr>
          <w:spacing w:val="-19"/>
          <w:sz w:val="28"/>
        </w:rPr>
        <w:t> </w:t>
      </w:r>
      <w:r>
        <w:rPr>
          <w:spacing w:val="-3"/>
          <w:sz w:val="28"/>
        </w:rPr>
        <w:t>Journal</w:t>
      </w:r>
      <w:r>
        <w:rPr>
          <w:spacing w:val="-19"/>
          <w:sz w:val="28"/>
        </w:rPr>
        <w:t> </w:t>
      </w:r>
      <w:r>
        <w:rPr>
          <w:sz w:val="28"/>
        </w:rPr>
        <w:t>of</w:t>
      </w:r>
      <w:r>
        <w:rPr>
          <w:spacing w:val="-20"/>
          <w:sz w:val="28"/>
        </w:rPr>
        <w:t> </w:t>
      </w:r>
      <w:r>
        <w:rPr>
          <w:spacing w:val="-4"/>
          <w:sz w:val="28"/>
        </w:rPr>
        <w:t>Medicine,</w:t>
      </w:r>
      <w:r>
        <w:rPr>
          <w:spacing w:val="-12"/>
          <w:sz w:val="28"/>
        </w:rPr>
        <w:t> </w:t>
      </w:r>
      <w:r>
        <w:rPr>
          <w:spacing w:val="-4"/>
          <w:sz w:val="28"/>
        </w:rPr>
        <w:t>2009, vol. 15, </w:t>
      </w:r>
      <w:r>
        <w:rPr>
          <w:spacing w:val="-5"/>
          <w:sz w:val="28"/>
        </w:rPr>
        <w:t>no. </w:t>
      </w:r>
      <w:r>
        <w:rPr>
          <w:spacing w:val="-3"/>
          <w:sz w:val="28"/>
        </w:rPr>
        <w:t>3, </w:t>
      </w:r>
      <w:r>
        <w:rPr>
          <w:spacing w:val="-4"/>
          <w:sz w:val="28"/>
        </w:rPr>
        <w:t>pp. </w:t>
      </w:r>
      <w:r>
        <w:rPr>
          <w:spacing w:val="-3"/>
          <w:sz w:val="28"/>
        </w:rPr>
        <w:t>45–51 (in</w:t>
      </w:r>
      <w:r>
        <w:rPr>
          <w:spacing w:val="-14"/>
          <w:sz w:val="28"/>
        </w:rPr>
        <w:t> </w:t>
      </w:r>
      <w:r>
        <w:rPr>
          <w:spacing w:val="-4"/>
          <w:sz w:val="28"/>
        </w:rPr>
        <w:t>Ukrainian).</w:t>
      </w:r>
    </w:p>
    <w:p>
      <w:pPr>
        <w:spacing w:after="0" w:line="240" w:lineRule="auto"/>
        <w:jc w:val="both"/>
        <w:rPr>
          <w:sz w:val="28"/>
        </w:rPr>
        <w:sectPr>
          <w:pgSz w:w="11910" w:h="16840"/>
          <w:pgMar w:header="713" w:footer="778" w:top="1140" w:bottom="960" w:left="940" w:right="520"/>
        </w:sectPr>
      </w:pPr>
    </w:p>
    <w:p>
      <w:pPr>
        <w:pStyle w:val="ListParagraph"/>
        <w:numPr>
          <w:ilvl w:val="0"/>
          <w:numId w:val="9"/>
        </w:numPr>
        <w:tabs>
          <w:tab w:pos="1207" w:val="left" w:leader="none"/>
        </w:tabs>
        <w:spacing w:line="240" w:lineRule="auto" w:before="92" w:after="0"/>
        <w:ind w:left="193" w:right="617" w:firstLine="710"/>
        <w:jc w:val="both"/>
        <w:rPr>
          <w:sz w:val="28"/>
        </w:rPr>
      </w:pPr>
      <w:r>
        <w:rPr>
          <w:spacing w:val="-4"/>
          <w:sz w:val="28"/>
        </w:rPr>
        <w:t>Mehta </w:t>
      </w:r>
      <w:r>
        <w:rPr>
          <w:sz w:val="28"/>
        </w:rPr>
        <w:t>J., </w:t>
      </w:r>
      <w:r>
        <w:rPr>
          <w:spacing w:val="-3"/>
          <w:sz w:val="28"/>
        </w:rPr>
        <w:t>Dinerman </w:t>
      </w:r>
      <w:r>
        <w:rPr>
          <w:sz w:val="28"/>
        </w:rPr>
        <w:t>J., </w:t>
      </w:r>
      <w:r>
        <w:rPr>
          <w:spacing w:val="-4"/>
          <w:sz w:val="28"/>
        </w:rPr>
        <w:t>Mehta P. </w:t>
      </w:r>
      <w:r>
        <w:rPr>
          <w:sz w:val="28"/>
        </w:rPr>
        <w:t>et </w:t>
      </w:r>
      <w:r>
        <w:rPr>
          <w:spacing w:val="-4"/>
          <w:sz w:val="28"/>
        </w:rPr>
        <w:t>al. Neutrophil </w:t>
      </w:r>
      <w:r>
        <w:rPr>
          <w:spacing w:val="-3"/>
          <w:sz w:val="28"/>
        </w:rPr>
        <w:t>function in </w:t>
      </w:r>
      <w:r>
        <w:rPr>
          <w:spacing w:val="-4"/>
          <w:sz w:val="28"/>
        </w:rPr>
        <w:t>ischemic </w:t>
      </w:r>
      <w:r>
        <w:rPr>
          <w:spacing w:val="-5"/>
          <w:sz w:val="28"/>
        </w:rPr>
        <w:t>heart </w:t>
      </w:r>
      <w:r>
        <w:rPr>
          <w:spacing w:val="-4"/>
          <w:sz w:val="28"/>
        </w:rPr>
        <w:t>disease </w:t>
      </w:r>
      <w:r>
        <w:rPr>
          <w:spacing w:val="-3"/>
          <w:sz w:val="28"/>
        </w:rPr>
        <w:t>// </w:t>
      </w:r>
      <w:r>
        <w:rPr>
          <w:spacing w:val="-4"/>
          <w:sz w:val="28"/>
        </w:rPr>
        <w:t>Circulation. </w:t>
      </w:r>
      <w:r>
        <w:rPr>
          <w:sz w:val="28"/>
        </w:rPr>
        <w:t>– </w:t>
      </w:r>
      <w:r>
        <w:rPr>
          <w:spacing w:val="-3"/>
          <w:sz w:val="28"/>
        </w:rPr>
        <w:t>1989. </w:t>
      </w:r>
      <w:r>
        <w:rPr>
          <w:sz w:val="28"/>
        </w:rPr>
        <w:t>– </w:t>
      </w:r>
      <w:r>
        <w:rPr>
          <w:spacing w:val="-4"/>
          <w:sz w:val="28"/>
        </w:rPr>
        <w:t>Vol. </w:t>
      </w:r>
      <w:r>
        <w:rPr>
          <w:sz w:val="28"/>
        </w:rPr>
        <w:t>79. – </w:t>
      </w:r>
      <w:r>
        <w:rPr>
          <w:spacing w:val="-4"/>
          <w:sz w:val="28"/>
        </w:rPr>
        <w:t>P.</w:t>
      </w:r>
      <w:r>
        <w:rPr>
          <w:spacing w:val="-47"/>
          <w:sz w:val="28"/>
        </w:rPr>
        <w:t> </w:t>
      </w:r>
      <w:r>
        <w:rPr>
          <w:spacing w:val="-5"/>
          <w:sz w:val="28"/>
        </w:rPr>
        <w:t>549-556.</w:t>
      </w:r>
    </w:p>
    <w:p>
      <w:pPr>
        <w:pStyle w:val="ListParagraph"/>
        <w:numPr>
          <w:ilvl w:val="0"/>
          <w:numId w:val="9"/>
        </w:numPr>
        <w:tabs>
          <w:tab w:pos="1197" w:val="left" w:leader="none"/>
        </w:tabs>
        <w:spacing w:line="240" w:lineRule="auto" w:before="0" w:after="0"/>
        <w:ind w:left="193" w:right="604" w:firstLine="710"/>
        <w:jc w:val="both"/>
        <w:rPr>
          <w:sz w:val="28"/>
        </w:rPr>
      </w:pPr>
      <w:r>
        <w:rPr>
          <w:spacing w:val="-4"/>
          <w:sz w:val="28"/>
        </w:rPr>
        <w:t>Naruko T., Ueda </w:t>
      </w:r>
      <w:r>
        <w:rPr>
          <w:sz w:val="28"/>
        </w:rPr>
        <w:t>M., </w:t>
      </w:r>
      <w:r>
        <w:rPr>
          <w:spacing w:val="-5"/>
          <w:sz w:val="28"/>
        </w:rPr>
        <w:t>Haze K. </w:t>
      </w:r>
      <w:r>
        <w:rPr>
          <w:sz w:val="28"/>
        </w:rPr>
        <w:t>et </w:t>
      </w:r>
      <w:r>
        <w:rPr>
          <w:spacing w:val="-4"/>
          <w:sz w:val="28"/>
        </w:rPr>
        <w:t>al. </w:t>
      </w:r>
      <w:r>
        <w:rPr>
          <w:spacing w:val="-3"/>
          <w:sz w:val="28"/>
        </w:rPr>
        <w:t>Neutrophil </w:t>
      </w:r>
      <w:r>
        <w:rPr>
          <w:spacing w:val="-4"/>
          <w:sz w:val="28"/>
        </w:rPr>
        <w:t>infiltration </w:t>
      </w:r>
      <w:r>
        <w:rPr>
          <w:sz w:val="28"/>
        </w:rPr>
        <w:t>of </w:t>
      </w:r>
      <w:r>
        <w:rPr>
          <w:spacing w:val="-3"/>
          <w:sz w:val="28"/>
        </w:rPr>
        <w:t>culpit </w:t>
      </w:r>
      <w:r>
        <w:rPr>
          <w:spacing w:val="-5"/>
          <w:sz w:val="28"/>
        </w:rPr>
        <w:t>lesions </w:t>
      </w:r>
      <w:r>
        <w:rPr>
          <w:spacing w:val="-3"/>
          <w:sz w:val="28"/>
        </w:rPr>
        <w:t>in </w:t>
      </w:r>
      <w:r>
        <w:rPr>
          <w:spacing w:val="-4"/>
          <w:sz w:val="28"/>
        </w:rPr>
        <w:t>acute</w:t>
      </w:r>
      <w:r>
        <w:rPr>
          <w:spacing w:val="-8"/>
          <w:sz w:val="28"/>
        </w:rPr>
        <w:t> </w:t>
      </w:r>
      <w:r>
        <w:rPr>
          <w:spacing w:val="-3"/>
          <w:sz w:val="28"/>
        </w:rPr>
        <w:t>coronary</w:t>
      </w:r>
      <w:r>
        <w:rPr>
          <w:spacing w:val="-13"/>
          <w:sz w:val="28"/>
        </w:rPr>
        <w:t> </w:t>
      </w:r>
      <w:r>
        <w:rPr>
          <w:spacing w:val="-4"/>
          <w:sz w:val="28"/>
        </w:rPr>
        <w:t>syndroms</w:t>
      </w:r>
      <w:r>
        <w:rPr>
          <w:spacing w:val="-7"/>
          <w:sz w:val="28"/>
        </w:rPr>
        <w:t> </w:t>
      </w:r>
      <w:r>
        <w:rPr>
          <w:sz w:val="28"/>
        </w:rPr>
        <w:t>//</w:t>
      </w:r>
      <w:r>
        <w:rPr>
          <w:spacing w:val="-9"/>
          <w:sz w:val="28"/>
        </w:rPr>
        <w:t> </w:t>
      </w:r>
      <w:r>
        <w:rPr>
          <w:spacing w:val="-5"/>
          <w:sz w:val="28"/>
        </w:rPr>
        <w:t>Circulation.</w:t>
      </w:r>
      <w:r>
        <w:rPr>
          <w:spacing w:val="-3"/>
          <w:sz w:val="28"/>
        </w:rPr>
        <w:t> </w:t>
      </w:r>
      <w:r>
        <w:rPr>
          <w:sz w:val="28"/>
        </w:rPr>
        <w:t>–</w:t>
      </w:r>
      <w:r>
        <w:rPr>
          <w:spacing w:val="-3"/>
          <w:sz w:val="28"/>
        </w:rPr>
        <w:t> 2002.</w:t>
      </w:r>
      <w:r>
        <w:rPr>
          <w:spacing w:val="-6"/>
          <w:sz w:val="28"/>
        </w:rPr>
        <w:t> </w:t>
      </w:r>
      <w:r>
        <w:rPr>
          <w:sz w:val="28"/>
        </w:rPr>
        <w:t>–</w:t>
      </w:r>
      <w:r>
        <w:rPr>
          <w:spacing w:val="-9"/>
          <w:sz w:val="28"/>
        </w:rPr>
        <w:t> </w:t>
      </w:r>
      <w:r>
        <w:rPr>
          <w:spacing w:val="-4"/>
          <w:sz w:val="28"/>
        </w:rPr>
        <w:t>Vol.</w:t>
      </w:r>
      <w:r>
        <w:rPr>
          <w:spacing w:val="-6"/>
          <w:sz w:val="28"/>
        </w:rPr>
        <w:t> </w:t>
      </w:r>
      <w:r>
        <w:rPr>
          <w:spacing w:val="-3"/>
          <w:sz w:val="28"/>
        </w:rPr>
        <w:t>106.</w:t>
      </w:r>
      <w:r>
        <w:rPr>
          <w:spacing w:val="-6"/>
          <w:sz w:val="28"/>
        </w:rPr>
        <w:t> </w:t>
      </w:r>
      <w:r>
        <w:rPr>
          <w:sz w:val="28"/>
        </w:rPr>
        <w:t>–</w:t>
      </w:r>
      <w:r>
        <w:rPr>
          <w:spacing w:val="-8"/>
          <w:sz w:val="28"/>
        </w:rPr>
        <w:t> </w:t>
      </w:r>
      <w:r>
        <w:rPr>
          <w:spacing w:val="-4"/>
          <w:sz w:val="28"/>
        </w:rPr>
        <w:t>P.</w:t>
      </w:r>
      <w:r>
        <w:rPr>
          <w:spacing w:val="-6"/>
          <w:sz w:val="28"/>
        </w:rPr>
        <w:t> </w:t>
      </w:r>
      <w:r>
        <w:rPr>
          <w:spacing w:val="-4"/>
          <w:sz w:val="28"/>
        </w:rPr>
        <w:t>2894-2900.</w:t>
      </w:r>
    </w:p>
    <w:p>
      <w:pPr>
        <w:pStyle w:val="ListParagraph"/>
        <w:numPr>
          <w:ilvl w:val="0"/>
          <w:numId w:val="9"/>
        </w:numPr>
        <w:tabs>
          <w:tab w:pos="1351" w:val="left" w:leader="none"/>
        </w:tabs>
        <w:spacing w:line="240" w:lineRule="auto" w:before="0" w:after="0"/>
        <w:ind w:left="193" w:right="605" w:firstLine="710"/>
        <w:jc w:val="both"/>
        <w:rPr>
          <w:sz w:val="28"/>
        </w:rPr>
      </w:pPr>
      <w:r>
        <w:rPr>
          <w:spacing w:val="-4"/>
          <w:sz w:val="28"/>
        </w:rPr>
        <w:t>Paronik, </w:t>
      </w:r>
      <w:r>
        <w:rPr>
          <w:spacing w:val="-3"/>
          <w:sz w:val="28"/>
        </w:rPr>
        <w:t>V., </w:t>
      </w:r>
      <w:r>
        <w:rPr>
          <w:spacing w:val="-4"/>
          <w:sz w:val="28"/>
        </w:rPr>
        <w:t>Stepchenko, </w:t>
      </w:r>
      <w:r>
        <w:rPr>
          <w:spacing w:val="-5"/>
          <w:sz w:val="28"/>
        </w:rPr>
        <w:t>L., </w:t>
      </w:r>
      <w:r>
        <w:rPr>
          <w:spacing w:val="-3"/>
          <w:sz w:val="28"/>
        </w:rPr>
        <w:t>Diachenko, </w:t>
      </w:r>
      <w:r>
        <w:rPr>
          <w:spacing w:val="-5"/>
          <w:sz w:val="28"/>
        </w:rPr>
        <w:t>L., Lievykh, </w:t>
      </w:r>
      <w:r>
        <w:rPr>
          <w:spacing w:val="-2"/>
          <w:sz w:val="28"/>
        </w:rPr>
        <w:t>A., </w:t>
      </w:r>
      <w:r>
        <w:rPr>
          <w:sz w:val="28"/>
        </w:rPr>
        <w:t>&amp; </w:t>
      </w:r>
      <w:r>
        <w:rPr>
          <w:spacing w:val="-4"/>
          <w:sz w:val="28"/>
        </w:rPr>
        <w:t>Shevtsova, </w:t>
      </w:r>
      <w:r>
        <w:rPr>
          <w:spacing w:val="-5"/>
          <w:sz w:val="28"/>
        </w:rPr>
        <w:t>A. (2015). </w:t>
      </w:r>
      <w:r>
        <w:rPr>
          <w:sz w:val="28"/>
        </w:rPr>
        <w:t>Vplyv </w:t>
      </w:r>
      <w:r>
        <w:rPr>
          <w:spacing w:val="-4"/>
          <w:sz w:val="28"/>
        </w:rPr>
        <w:t>korvitynu </w:t>
      </w:r>
      <w:r>
        <w:rPr>
          <w:spacing w:val="-3"/>
          <w:sz w:val="28"/>
        </w:rPr>
        <w:t>ta </w:t>
      </w:r>
      <w:r>
        <w:rPr>
          <w:spacing w:val="-4"/>
          <w:sz w:val="28"/>
        </w:rPr>
        <w:t>gumilidu </w:t>
      </w:r>
      <w:r>
        <w:rPr>
          <w:spacing w:val="-3"/>
          <w:sz w:val="28"/>
        </w:rPr>
        <w:t>na stan </w:t>
      </w:r>
      <w:r>
        <w:rPr>
          <w:spacing w:val="-4"/>
          <w:sz w:val="28"/>
        </w:rPr>
        <w:t>oksydantno-antyoksydantnoi’ </w:t>
      </w:r>
      <w:r>
        <w:rPr>
          <w:spacing w:val="-3"/>
          <w:sz w:val="28"/>
        </w:rPr>
        <w:t>systemy </w:t>
      </w:r>
      <w:r>
        <w:rPr>
          <w:spacing w:val="-4"/>
          <w:sz w:val="28"/>
        </w:rPr>
        <w:t>shhuriv </w:t>
      </w:r>
      <w:r>
        <w:rPr>
          <w:spacing w:val="-3"/>
          <w:sz w:val="28"/>
        </w:rPr>
        <w:t>na </w:t>
      </w:r>
      <w:r>
        <w:rPr>
          <w:spacing w:val="-5"/>
          <w:sz w:val="28"/>
        </w:rPr>
        <w:t>foni </w:t>
      </w:r>
      <w:r>
        <w:rPr>
          <w:spacing w:val="-4"/>
          <w:sz w:val="28"/>
        </w:rPr>
        <w:t>vvedennja adrenalinu [Influence </w:t>
      </w:r>
      <w:r>
        <w:rPr>
          <w:sz w:val="28"/>
        </w:rPr>
        <w:t>of </w:t>
      </w:r>
      <w:r>
        <w:rPr>
          <w:spacing w:val="-3"/>
          <w:sz w:val="28"/>
        </w:rPr>
        <w:t>corvitin </w:t>
      </w:r>
      <w:r>
        <w:rPr>
          <w:sz w:val="28"/>
        </w:rPr>
        <w:t>and </w:t>
      </w:r>
      <w:r>
        <w:rPr>
          <w:spacing w:val="-5"/>
          <w:sz w:val="28"/>
        </w:rPr>
        <w:t>humilid </w:t>
      </w:r>
      <w:r>
        <w:rPr>
          <w:sz w:val="28"/>
        </w:rPr>
        <w:t>on the </w:t>
      </w:r>
      <w:r>
        <w:rPr>
          <w:spacing w:val="-4"/>
          <w:sz w:val="28"/>
        </w:rPr>
        <w:t>oxidantantioxidant </w:t>
      </w:r>
      <w:r>
        <w:rPr>
          <w:spacing w:val="-3"/>
          <w:sz w:val="28"/>
        </w:rPr>
        <w:t>system in </w:t>
      </w:r>
      <w:r>
        <w:rPr>
          <w:spacing w:val="-5"/>
          <w:sz w:val="28"/>
        </w:rPr>
        <w:t>rats </w:t>
      </w:r>
      <w:r>
        <w:rPr>
          <w:spacing w:val="-4"/>
          <w:sz w:val="28"/>
        </w:rPr>
        <w:t>after injectoin </w:t>
      </w:r>
      <w:r>
        <w:rPr>
          <w:sz w:val="28"/>
        </w:rPr>
        <w:t>of </w:t>
      </w:r>
      <w:r>
        <w:rPr>
          <w:spacing w:val="-4"/>
          <w:sz w:val="28"/>
        </w:rPr>
        <w:t>adrenalin]. Biologija </w:t>
      </w:r>
      <w:r>
        <w:rPr>
          <w:spacing w:val="-5"/>
          <w:sz w:val="28"/>
        </w:rPr>
        <w:t>Tvaryn, </w:t>
      </w:r>
      <w:r>
        <w:rPr>
          <w:spacing w:val="-4"/>
          <w:sz w:val="28"/>
        </w:rPr>
        <w:t>17(4), 109–114 </w:t>
      </w:r>
      <w:r>
        <w:rPr>
          <w:spacing w:val="-3"/>
          <w:sz w:val="28"/>
        </w:rPr>
        <w:t>(in </w:t>
      </w:r>
      <w:r>
        <w:rPr>
          <w:spacing w:val="-4"/>
          <w:sz w:val="28"/>
        </w:rPr>
        <w:t>Ukrainian).</w:t>
      </w:r>
      <w:r>
        <w:rPr>
          <w:spacing w:val="-11"/>
          <w:sz w:val="28"/>
        </w:rPr>
        <w:t> </w:t>
      </w:r>
      <w:hyperlink r:id="rId38">
        <w:r>
          <w:rPr>
            <w:spacing w:val="-4"/>
            <w:sz w:val="28"/>
          </w:rPr>
          <w:t>http://aminbiol.com.ua/20154pdf/15.pdf</w:t>
        </w:r>
      </w:hyperlink>
    </w:p>
    <w:p>
      <w:pPr>
        <w:pStyle w:val="ListParagraph"/>
        <w:numPr>
          <w:ilvl w:val="0"/>
          <w:numId w:val="9"/>
        </w:numPr>
        <w:tabs>
          <w:tab w:pos="1380" w:val="left" w:leader="none"/>
        </w:tabs>
        <w:spacing w:line="240" w:lineRule="auto" w:before="2" w:after="0"/>
        <w:ind w:left="193" w:right="604" w:firstLine="710"/>
        <w:jc w:val="both"/>
        <w:rPr>
          <w:sz w:val="28"/>
        </w:rPr>
      </w:pPr>
      <w:r>
        <w:rPr>
          <w:spacing w:val="-4"/>
          <w:sz w:val="28"/>
        </w:rPr>
        <w:t>Suslova, </w:t>
      </w:r>
      <w:r>
        <w:rPr>
          <w:spacing w:val="-3"/>
          <w:sz w:val="28"/>
        </w:rPr>
        <w:t>N. </w:t>
      </w:r>
      <w:r>
        <w:rPr>
          <w:spacing w:val="-4"/>
          <w:sz w:val="28"/>
        </w:rPr>
        <w:t>I., Shulzhenko, </w:t>
      </w:r>
      <w:r>
        <w:rPr>
          <w:spacing w:val="-3"/>
          <w:sz w:val="28"/>
        </w:rPr>
        <w:t>N. </w:t>
      </w:r>
      <w:r>
        <w:rPr>
          <w:sz w:val="28"/>
        </w:rPr>
        <w:t>M., </w:t>
      </w:r>
      <w:r>
        <w:rPr>
          <w:spacing w:val="-5"/>
          <w:sz w:val="28"/>
        </w:rPr>
        <w:t>Semyonov, </w:t>
      </w:r>
      <w:r>
        <w:rPr>
          <w:spacing w:val="-3"/>
          <w:sz w:val="28"/>
        </w:rPr>
        <w:t>O. V., </w:t>
      </w:r>
      <w:r>
        <w:rPr>
          <w:spacing w:val="-5"/>
          <w:sz w:val="28"/>
        </w:rPr>
        <w:t>Shkvaria, </w:t>
      </w:r>
      <w:r>
        <w:rPr>
          <w:sz w:val="28"/>
        </w:rPr>
        <w:t>M. M., </w:t>
      </w:r>
      <w:r>
        <w:rPr>
          <w:spacing w:val="-4"/>
          <w:sz w:val="28"/>
        </w:rPr>
        <w:t>Panasenko, E. A., Holubyev, </w:t>
      </w:r>
      <w:r>
        <w:rPr>
          <w:spacing w:val="-3"/>
          <w:sz w:val="28"/>
        </w:rPr>
        <w:t>O. V., Chudinova, </w:t>
      </w:r>
      <w:r>
        <w:rPr>
          <w:spacing w:val="-4"/>
          <w:sz w:val="28"/>
        </w:rPr>
        <w:t>E. </w:t>
      </w:r>
      <w:r>
        <w:rPr>
          <w:spacing w:val="-5"/>
          <w:sz w:val="28"/>
        </w:rPr>
        <w:t>A. </w:t>
      </w:r>
      <w:r>
        <w:rPr>
          <w:spacing w:val="-4"/>
          <w:sz w:val="28"/>
        </w:rPr>
        <w:t>(2018). Diagnosis </w:t>
      </w:r>
      <w:r>
        <w:rPr>
          <w:sz w:val="28"/>
        </w:rPr>
        <w:t>and </w:t>
      </w:r>
      <w:r>
        <w:rPr>
          <w:spacing w:val="-4"/>
          <w:sz w:val="28"/>
        </w:rPr>
        <w:t>treatment </w:t>
      </w:r>
      <w:r>
        <w:rPr>
          <w:spacing w:val="-5"/>
          <w:sz w:val="28"/>
        </w:rPr>
        <w:t>characteristics</w:t>
      </w:r>
      <w:r>
        <w:rPr>
          <w:spacing w:val="-12"/>
          <w:sz w:val="28"/>
        </w:rPr>
        <w:t> </w:t>
      </w:r>
      <w:r>
        <w:rPr>
          <w:sz w:val="28"/>
        </w:rPr>
        <w:t>of</w:t>
      </w:r>
      <w:r>
        <w:rPr>
          <w:spacing w:val="-16"/>
          <w:sz w:val="28"/>
        </w:rPr>
        <w:t> </w:t>
      </w:r>
      <w:r>
        <w:rPr>
          <w:spacing w:val="-3"/>
          <w:sz w:val="28"/>
        </w:rPr>
        <w:t>acute</w:t>
      </w:r>
      <w:r>
        <w:rPr>
          <w:spacing w:val="-12"/>
          <w:sz w:val="28"/>
        </w:rPr>
        <w:t> </w:t>
      </w:r>
      <w:r>
        <w:rPr>
          <w:spacing w:val="-3"/>
          <w:sz w:val="28"/>
        </w:rPr>
        <w:t>renal</w:t>
      </w:r>
      <w:r>
        <w:rPr>
          <w:spacing w:val="-15"/>
          <w:sz w:val="28"/>
        </w:rPr>
        <w:t> </w:t>
      </w:r>
      <w:r>
        <w:rPr>
          <w:spacing w:val="-4"/>
          <w:sz w:val="28"/>
        </w:rPr>
        <w:t>failure</w:t>
      </w:r>
      <w:r>
        <w:rPr>
          <w:spacing w:val="-7"/>
          <w:sz w:val="28"/>
        </w:rPr>
        <w:t> </w:t>
      </w:r>
      <w:r>
        <w:rPr>
          <w:spacing w:val="-3"/>
          <w:sz w:val="28"/>
        </w:rPr>
        <w:t>in</w:t>
      </w:r>
      <w:r>
        <w:rPr>
          <w:spacing w:val="-14"/>
          <w:sz w:val="28"/>
        </w:rPr>
        <w:t> </w:t>
      </w:r>
      <w:r>
        <w:rPr>
          <w:spacing w:val="-4"/>
          <w:sz w:val="28"/>
        </w:rPr>
        <w:t>dogs.</w:t>
      </w:r>
      <w:r>
        <w:rPr>
          <w:spacing w:val="-7"/>
          <w:sz w:val="28"/>
        </w:rPr>
        <w:t> </w:t>
      </w:r>
      <w:r>
        <w:rPr>
          <w:spacing w:val="-4"/>
          <w:sz w:val="28"/>
        </w:rPr>
        <w:t>Science</w:t>
      </w:r>
      <w:r>
        <w:rPr>
          <w:spacing w:val="-12"/>
          <w:sz w:val="28"/>
        </w:rPr>
        <w:t> </w:t>
      </w:r>
      <w:r>
        <w:rPr>
          <w:spacing w:val="-4"/>
          <w:sz w:val="28"/>
        </w:rPr>
        <w:t>and</w:t>
      </w:r>
      <w:r>
        <w:rPr>
          <w:spacing w:val="-9"/>
          <w:sz w:val="28"/>
        </w:rPr>
        <w:t> </w:t>
      </w:r>
      <w:r>
        <w:rPr>
          <w:spacing w:val="-4"/>
          <w:sz w:val="28"/>
        </w:rPr>
        <w:t>Technology</w:t>
      </w:r>
      <w:r>
        <w:rPr>
          <w:spacing w:val="-14"/>
          <w:sz w:val="28"/>
        </w:rPr>
        <w:t> </w:t>
      </w:r>
      <w:r>
        <w:rPr>
          <w:spacing w:val="-4"/>
          <w:sz w:val="28"/>
        </w:rPr>
        <w:t>Bulletin</w:t>
      </w:r>
      <w:r>
        <w:rPr>
          <w:spacing w:val="-13"/>
          <w:sz w:val="28"/>
        </w:rPr>
        <w:t> </w:t>
      </w:r>
      <w:r>
        <w:rPr>
          <w:sz w:val="28"/>
        </w:rPr>
        <w:t>of</w:t>
      </w:r>
      <w:r>
        <w:rPr>
          <w:spacing w:val="-16"/>
          <w:sz w:val="28"/>
        </w:rPr>
        <w:t> </w:t>
      </w:r>
      <w:r>
        <w:rPr>
          <w:spacing w:val="-4"/>
          <w:sz w:val="28"/>
        </w:rPr>
        <w:t>SRC</w:t>
      </w:r>
      <w:r>
        <w:rPr>
          <w:spacing w:val="-7"/>
          <w:sz w:val="28"/>
        </w:rPr>
        <w:t> </w:t>
      </w:r>
      <w:r>
        <w:rPr>
          <w:spacing w:val="-3"/>
          <w:sz w:val="28"/>
        </w:rPr>
        <w:t>for </w:t>
      </w:r>
      <w:r>
        <w:rPr>
          <w:spacing w:val="-4"/>
          <w:sz w:val="28"/>
        </w:rPr>
        <w:t>Biosafety and Environmental </w:t>
      </w:r>
      <w:r>
        <w:rPr>
          <w:spacing w:val="-3"/>
          <w:sz w:val="28"/>
        </w:rPr>
        <w:t>Control </w:t>
      </w:r>
      <w:r>
        <w:rPr>
          <w:sz w:val="28"/>
        </w:rPr>
        <w:t>of </w:t>
      </w:r>
      <w:r>
        <w:rPr>
          <w:spacing w:val="-3"/>
          <w:sz w:val="28"/>
        </w:rPr>
        <w:t>AIC, </w:t>
      </w:r>
      <w:r>
        <w:rPr>
          <w:spacing w:val="-5"/>
          <w:sz w:val="28"/>
        </w:rPr>
        <w:t>6(2), </w:t>
      </w:r>
      <w:r>
        <w:rPr>
          <w:spacing w:val="-3"/>
          <w:sz w:val="28"/>
        </w:rPr>
        <w:t>72–77. (in</w:t>
      </w:r>
      <w:r>
        <w:rPr>
          <w:spacing w:val="-53"/>
          <w:sz w:val="28"/>
        </w:rPr>
        <w:t> </w:t>
      </w:r>
      <w:r>
        <w:rPr>
          <w:spacing w:val="-4"/>
          <w:sz w:val="28"/>
        </w:rPr>
        <w:t>Ukrainian)</w:t>
      </w:r>
    </w:p>
    <w:p>
      <w:pPr>
        <w:pStyle w:val="ListParagraph"/>
        <w:numPr>
          <w:ilvl w:val="0"/>
          <w:numId w:val="9"/>
        </w:numPr>
        <w:tabs>
          <w:tab w:pos="1317" w:val="left" w:leader="none"/>
        </w:tabs>
        <w:spacing w:line="240" w:lineRule="auto" w:before="0" w:after="0"/>
        <w:ind w:left="193" w:right="606" w:firstLine="710"/>
        <w:jc w:val="both"/>
        <w:rPr>
          <w:sz w:val="28"/>
        </w:rPr>
      </w:pPr>
      <w:r>
        <w:rPr>
          <w:spacing w:val="-4"/>
          <w:sz w:val="28"/>
        </w:rPr>
        <w:t>Susla </w:t>
      </w:r>
      <w:r>
        <w:rPr>
          <w:spacing w:val="-5"/>
          <w:sz w:val="28"/>
        </w:rPr>
        <w:t>O.B. </w:t>
      </w:r>
      <w:r>
        <w:rPr>
          <w:spacing w:val="-4"/>
          <w:sz w:val="28"/>
        </w:rPr>
        <w:t>Age-related changes </w:t>
      </w:r>
      <w:r>
        <w:rPr>
          <w:spacing w:val="-3"/>
          <w:sz w:val="28"/>
        </w:rPr>
        <w:t>in </w:t>
      </w:r>
      <w:r>
        <w:rPr>
          <w:sz w:val="28"/>
        </w:rPr>
        <w:t>the </w:t>
      </w:r>
      <w:r>
        <w:rPr>
          <w:spacing w:val="-4"/>
          <w:sz w:val="28"/>
        </w:rPr>
        <w:t>heart </w:t>
      </w:r>
      <w:r>
        <w:rPr>
          <w:spacing w:val="-5"/>
          <w:sz w:val="28"/>
        </w:rPr>
        <w:t>muscle </w:t>
      </w:r>
      <w:r>
        <w:rPr>
          <w:spacing w:val="-4"/>
          <w:sz w:val="28"/>
        </w:rPr>
        <w:t>metabolism </w:t>
      </w:r>
      <w:r>
        <w:rPr>
          <w:spacing w:val="-3"/>
          <w:sz w:val="28"/>
        </w:rPr>
        <w:t>in rat </w:t>
      </w:r>
      <w:r>
        <w:rPr>
          <w:spacing w:val="-4"/>
          <w:sz w:val="28"/>
        </w:rPr>
        <w:t>adrenal dynamics </w:t>
      </w:r>
      <w:r>
        <w:rPr>
          <w:sz w:val="28"/>
        </w:rPr>
        <w:t>of </w:t>
      </w:r>
      <w:r>
        <w:rPr>
          <w:spacing w:val="-4"/>
          <w:sz w:val="28"/>
        </w:rPr>
        <w:t>myocardiodystrophy. </w:t>
      </w:r>
      <w:r>
        <w:rPr>
          <w:spacing w:val="-3"/>
          <w:sz w:val="28"/>
        </w:rPr>
        <w:t>Medical </w:t>
      </w:r>
      <w:r>
        <w:rPr>
          <w:spacing w:val="-5"/>
          <w:sz w:val="28"/>
        </w:rPr>
        <w:t>Chemistry, </w:t>
      </w:r>
      <w:r>
        <w:rPr>
          <w:spacing w:val="-3"/>
          <w:sz w:val="28"/>
        </w:rPr>
        <w:t>2004, </w:t>
      </w:r>
      <w:r>
        <w:rPr>
          <w:spacing w:val="-6"/>
          <w:sz w:val="28"/>
        </w:rPr>
        <w:t>vol. </w:t>
      </w:r>
      <w:r>
        <w:rPr>
          <w:spacing w:val="-3"/>
          <w:sz w:val="28"/>
        </w:rPr>
        <w:t>6, </w:t>
      </w:r>
      <w:r>
        <w:rPr>
          <w:spacing w:val="-5"/>
          <w:sz w:val="28"/>
        </w:rPr>
        <w:t>no. </w:t>
      </w:r>
      <w:r>
        <w:rPr>
          <w:spacing w:val="-3"/>
          <w:sz w:val="28"/>
        </w:rPr>
        <w:t>1, </w:t>
      </w:r>
      <w:r>
        <w:rPr>
          <w:spacing w:val="-4"/>
          <w:sz w:val="28"/>
        </w:rPr>
        <w:t>pp. 41–47 </w:t>
      </w:r>
      <w:r>
        <w:rPr>
          <w:spacing w:val="-3"/>
          <w:sz w:val="28"/>
        </w:rPr>
        <w:t>(in </w:t>
      </w:r>
      <w:r>
        <w:rPr>
          <w:spacing w:val="-5"/>
          <w:sz w:val="28"/>
        </w:rPr>
        <w:t>Ukrainian).</w:t>
      </w:r>
    </w:p>
    <w:p>
      <w:pPr>
        <w:pStyle w:val="ListParagraph"/>
        <w:numPr>
          <w:ilvl w:val="0"/>
          <w:numId w:val="9"/>
        </w:numPr>
        <w:tabs>
          <w:tab w:pos="1351" w:val="left" w:leader="none"/>
        </w:tabs>
        <w:spacing w:line="240" w:lineRule="auto" w:before="0" w:after="0"/>
        <w:ind w:left="193" w:right="605" w:firstLine="710"/>
        <w:jc w:val="both"/>
        <w:rPr>
          <w:sz w:val="28"/>
        </w:rPr>
      </w:pPr>
      <w:r>
        <w:rPr>
          <w:spacing w:val="-4"/>
          <w:sz w:val="28"/>
        </w:rPr>
        <w:t>Summerfield, </w:t>
      </w:r>
      <w:r>
        <w:rPr>
          <w:spacing w:val="-3"/>
          <w:sz w:val="28"/>
        </w:rPr>
        <w:t>N. </w:t>
      </w:r>
      <w:r>
        <w:rPr>
          <w:sz w:val="28"/>
        </w:rPr>
        <w:t>J., </w:t>
      </w:r>
      <w:r>
        <w:rPr>
          <w:spacing w:val="-4"/>
          <w:sz w:val="28"/>
        </w:rPr>
        <w:t>Boswood, A., O'Grady, </w:t>
      </w:r>
      <w:r>
        <w:rPr>
          <w:sz w:val="28"/>
        </w:rPr>
        <w:t>M. </w:t>
      </w:r>
      <w:r>
        <w:rPr>
          <w:spacing w:val="-3"/>
          <w:sz w:val="28"/>
        </w:rPr>
        <w:t>R., </w:t>
      </w:r>
      <w:r>
        <w:rPr>
          <w:spacing w:val="-4"/>
          <w:sz w:val="28"/>
        </w:rPr>
        <w:t>Gordon, S. </w:t>
      </w:r>
      <w:r>
        <w:rPr>
          <w:spacing w:val="-3"/>
          <w:sz w:val="28"/>
        </w:rPr>
        <w:t>G., </w:t>
      </w:r>
      <w:r>
        <w:rPr>
          <w:sz w:val="28"/>
        </w:rPr>
        <w:t>Dukes- </w:t>
      </w:r>
      <w:r>
        <w:rPr>
          <w:spacing w:val="-5"/>
          <w:sz w:val="28"/>
        </w:rPr>
        <w:t>McEwan,</w:t>
      </w:r>
      <w:r>
        <w:rPr>
          <w:spacing w:val="-10"/>
          <w:sz w:val="28"/>
        </w:rPr>
        <w:t> </w:t>
      </w:r>
      <w:r>
        <w:rPr>
          <w:sz w:val="28"/>
        </w:rPr>
        <w:t>J.,</w:t>
      </w:r>
      <w:r>
        <w:rPr>
          <w:spacing w:val="-10"/>
          <w:sz w:val="28"/>
        </w:rPr>
        <w:t> </w:t>
      </w:r>
      <w:r>
        <w:rPr>
          <w:spacing w:val="-4"/>
          <w:sz w:val="28"/>
        </w:rPr>
        <w:t>Oyama,</w:t>
      </w:r>
      <w:r>
        <w:rPr>
          <w:spacing w:val="-9"/>
          <w:sz w:val="28"/>
        </w:rPr>
        <w:t> </w:t>
      </w:r>
      <w:r>
        <w:rPr>
          <w:sz w:val="28"/>
        </w:rPr>
        <w:t>M.</w:t>
      </w:r>
      <w:r>
        <w:rPr>
          <w:spacing w:val="-5"/>
          <w:sz w:val="28"/>
        </w:rPr>
        <w:t> </w:t>
      </w:r>
      <w:r>
        <w:rPr>
          <w:spacing w:val="-4"/>
          <w:sz w:val="28"/>
        </w:rPr>
        <w:t>A.,</w:t>
      </w:r>
      <w:r>
        <w:rPr>
          <w:spacing w:val="-9"/>
          <w:sz w:val="28"/>
        </w:rPr>
        <w:t> </w:t>
      </w:r>
      <w:r>
        <w:rPr>
          <w:spacing w:val="-5"/>
          <w:sz w:val="28"/>
        </w:rPr>
        <w:t>Smith,</w:t>
      </w:r>
      <w:r>
        <w:rPr>
          <w:spacing w:val="-10"/>
          <w:sz w:val="28"/>
        </w:rPr>
        <w:t> </w:t>
      </w:r>
      <w:r>
        <w:rPr>
          <w:spacing w:val="-4"/>
          <w:sz w:val="28"/>
        </w:rPr>
        <w:t>S.,</w:t>
      </w:r>
      <w:r>
        <w:rPr>
          <w:spacing w:val="-9"/>
          <w:sz w:val="28"/>
        </w:rPr>
        <w:t> </w:t>
      </w:r>
      <w:r>
        <w:rPr>
          <w:spacing w:val="-4"/>
          <w:sz w:val="28"/>
        </w:rPr>
        <w:t>Patteson,</w:t>
      </w:r>
      <w:r>
        <w:rPr>
          <w:spacing w:val="-10"/>
          <w:sz w:val="28"/>
        </w:rPr>
        <w:t> </w:t>
      </w:r>
      <w:r>
        <w:rPr>
          <w:sz w:val="28"/>
        </w:rPr>
        <w:t>M.,</w:t>
      </w:r>
      <w:r>
        <w:rPr>
          <w:spacing w:val="-9"/>
          <w:sz w:val="28"/>
        </w:rPr>
        <w:t> </w:t>
      </w:r>
      <w:r>
        <w:rPr>
          <w:spacing w:val="-5"/>
          <w:sz w:val="28"/>
        </w:rPr>
        <w:t>French, A.</w:t>
      </w:r>
      <w:r>
        <w:rPr>
          <w:spacing w:val="-10"/>
          <w:sz w:val="28"/>
        </w:rPr>
        <w:t> </w:t>
      </w:r>
      <w:r>
        <w:rPr>
          <w:spacing w:val="-4"/>
          <w:sz w:val="28"/>
        </w:rPr>
        <w:t>T.,</w:t>
      </w:r>
      <w:r>
        <w:rPr>
          <w:spacing w:val="-9"/>
          <w:sz w:val="28"/>
        </w:rPr>
        <w:t> </w:t>
      </w:r>
      <w:r>
        <w:rPr>
          <w:spacing w:val="-4"/>
          <w:sz w:val="28"/>
        </w:rPr>
        <w:t>Culshaw,</w:t>
      </w:r>
      <w:r>
        <w:rPr>
          <w:spacing w:val="-10"/>
          <w:sz w:val="28"/>
        </w:rPr>
        <w:t> </w:t>
      </w:r>
      <w:r>
        <w:rPr>
          <w:spacing w:val="-3"/>
          <w:sz w:val="28"/>
        </w:rPr>
        <w:t>G.</w:t>
      </w:r>
      <w:r>
        <w:rPr>
          <w:spacing w:val="-9"/>
          <w:sz w:val="28"/>
        </w:rPr>
        <w:t> </w:t>
      </w:r>
      <w:r>
        <w:rPr>
          <w:sz w:val="28"/>
        </w:rPr>
        <w:t>J.,</w:t>
      </w:r>
      <w:r>
        <w:rPr>
          <w:spacing w:val="-10"/>
          <w:sz w:val="28"/>
        </w:rPr>
        <w:t> </w:t>
      </w:r>
      <w:r>
        <w:rPr>
          <w:sz w:val="28"/>
        </w:rPr>
        <w:t>Braz- </w:t>
      </w:r>
      <w:r>
        <w:rPr>
          <w:spacing w:val="-5"/>
          <w:sz w:val="28"/>
        </w:rPr>
        <w:t>Ruivo, L., </w:t>
      </w:r>
      <w:r>
        <w:rPr>
          <w:spacing w:val="-4"/>
          <w:sz w:val="28"/>
        </w:rPr>
        <w:t>Estrada, A., </w:t>
      </w:r>
      <w:r>
        <w:rPr>
          <w:spacing w:val="-5"/>
          <w:sz w:val="28"/>
        </w:rPr>
        <w:t>O'Sullivan, </w:t>
      </w:r>
      <w:r>
        <w:rPr>
          <w:sz w:val="28"/>
        </w:rPr>
        <w:t>M. </w:t>
      </w:r>
      <w:r>
        <w:rPr>
          <w:spacing w:val="-5"/>
          <w:sz w:val="28"/>
        </w:rPr>
        <w:t>L., Loureiro, </w:t>
      </w:r>
      <w:r>
        <w:rPr>
          <w:sz w:val="28"/>
        </w:rPr>
        <w:t>J., </w:t>
      </w:r>
      <w:r>
        <w:rPr>
          <w:spacing w:val="-5"/>
          <w:sz w:val="28"/>
        </w:rPr>
        <w:t>Willis, </w:t>
      </w:r>
      <w:r>
        <w:rPr>
          <w:spacing w:val="-3"/>
          <w:sz w:val="28"/>
        </w:rPr>
        <w:t>R., </w:t>
      </w:r>
      <w:r>
        <w:rPr>
          <w:sz w:val="28"/>
        </w:rPr>
        <w:t>&amp; </w:t>
      </w:r>
      <w:r>
        <w:rPr>
          <w:spacing w:val="-5"/>
          <w:sz w:val="28"/>
        </w:rPr>
        <w:t>Watson, </w:t>
      </w:r>
      <w:r>
        <w:rPr>
          <w:spacing w:val="-4"/>
          <w:sz w:val="28"/>
        </w:rPr>
        <w:t>P. (2012). Efficacy </w:t>
      </w:r>
      <w:r>
        <w:rPr>
          <w:sz w:val="28"/>
        </w:rPr>
        <w:t>of </w:t>
      </w:r>
      <w:r>
        <w:rPr>
          <w:spacing w:val="-3"/>
          <w:sz w:val="28"/>
        </w:rPr>
        <w:t>pimobendan in </w:t>
      </w:r>
      <w:r>
        <w:rPr>
          <w:sz w:val="28"/>
        </w:rPr>
        <w:t>the </w:t>
      </w:r>
      <w:r>
        <w:rPr>
          <w:spacing w:val="-4"/>
          <w:sz w:val="28"/>
        </w:rPr>
        <w:t>prevention </w:t>
      </w:r>
      <w:r>
        <w:rPr>
          <w:sz w:val="28"/>
        </w:rPr>
        <w:t>of </w:t>
      </w:r>
      <w:r>
        <w:rPr>
          <w:spacing w:val="-4"/>
          <w:sz w:val="28"/>
        </w:rPr>
        <w:t>congestive heart </w:t>
      </w:r>
      <w:r>
        <w:rPr>
          <w:spacing w:val="-5"/>
          <w:sz w:val="28"/>
        </w:rPr>
        <w:t>failure </w:t>
      </w:r>
      <w:r>
        <w:rPr>
          <w:spacing w:val="-3"/>
          <w:sz w:val="28"/>
        </w:rPr>
        <w:t>or sudden </w:t>
      </w:r>
      <w:r>
        <w:rPr>
          <w:sz w:val="28"/>
        </w:rPr>
        <w:t>death in </w:t>
      </w:r>
      <w:r>
        <w:rPr>
          <w:spacing w:val="-4"/>
          <w:sz w:val="28"/>
        </w:rPr>
        <w:t>Doberman </w:t>
      </w:r>
      <w:r>
        <w:rPr>
          <w:spacing w:val="-5"/>
          <w:sz w:val="28"/>
        </w:rPr>
        <w:t>Pinschers </w:t>
      </w:r>
      <w:r>
        <w:rPr>
          <w:sz w:val="28"/>
        </w:rPr>
        <w:t>with </w:t>
      </w:r>
      <w:r>
        <w:rPr>
          <w:spacing w:val="-4"/>
          <w:sz w:val="28"/>
        </w:rPr>
        <w:t>preclinical dilated cardiomyopathy (the </w:t>
      </w:r>
      <w:r>
        <w:rPr>
          <w:spacing w:val="-3"/>
          <w:sz w:val="28"/>
        </w:rPr>
        <w:t>PROTECT </w:t>
      </w:r>
      <w:r>
        <w:rPr>
          <w:spacing w:val="-4"/>
          <w:sz w:val="28"/>
        </w:rPr>
        <w:t>Study). </w:t>
      </w:r>
      <w:r>
        <w:rPr>
          <w:sz w:val="28"/>
        </w:rPr>
        <w:t>J </w:t>
      </w:r>
      <w:r>
        <w:rPr>
          <w:spacing w:val="-3"/>
          <w:sz w:val="28"/>
        </w:rPr>
        <w:t>Vet </w:t>
      </w:r>
      <w:r>
        <w:rPr>
          <w:spacing w:val="-4"/>
          <w:sz w:val="28"/>
        </w:rPr>
        <w:t>Intern </w:t>
      </w:r>
      <w:r>
        <w:rPr>
          <w:spacing w:val="-3"/>
          <w:sz w:val="28"/>
        </w:rPr>
        <w:t>Med., </w:t>
      </w:r>
      <w:r>
        <w:rPr>
          <w:spacing w:val="-4"/>
          <w:sz w:val="28"/>
        </w:rPr>
        <w:t>26(6),</w:t>
      </w:r>
      <w:r>
        <w:rPr>
          <w:spacing w:val="-25"/>
          <w:sz w:val="28"/>
        </w:rPr>
        <w:t> </w:t>
      </w:r>
      <w:r>
        <w:rPr>
          <w:spacing w:val="-3"/>
          <w:sz w:val="28"/>
        </w:rPr>
        <w:t>1337–1349.</w:t>
      </w:r>
    </w:p>
    <w:p>
      <w:pPr>
        <w:pStyle w:val="ListParagraph"/>
        <w:numPr>
          <w:ilvl w:val="0"/>
          <w:numId w:val="9"/>
        </w:numPr>
        <w:tabs>
          <w:tab w:pos="1317" w:val="left" w:leader="none"/>
        </w:tabs>
        <w:spacing w:line="240" w:lineRule="auto" w:before="1" w:after="0"/>
        <w:ind w:left="193" w:right="613" w:firstLine="710"/>
        <w:jc w:val="both"/>
        <w:rPr>
          <w:sz w:val="28"/>
        </w:rPr>
      </w:pPr>
      <w:r>
        <w:rPr>
          <w:spacing w:val="-5"/>
          <w:sz w:val="28"/>
        </w:rPr>
        <w:t>Tilley, </w:t>
      </w:r>
      <w:r>
        <w:rPr>
          <w:spacing w:val="-4"/>
          <w:sz w:val="28"/>
        </w:rPr>
        <w:t>P. </w:t>
      </w:r>
      <w:r>
        <w:rPr>
          <w:spacing w:val="-5"/>
          <w:sz w:val="28"/>
        </w:rPr>
        <w:t>L., </w:t>
      </w:r>
      <w:r>
        <w:rPr>
          <w:spacing w:val="-4"/>
          <w:sz w:val="28"/>
        </w:rPr>
        <w:t>Francis </w:t>
      </w:r>
      <w:r>
        <w:rPr>
          <w:sz w:val="28"/>
        </w:rPr>
        <w:t>W. </w:t>
      </w:r>
      <w:r>
        <w:rPr>
          <w:spacing w:val="-4"/>
          <w:sz w:val="28"/>
        </w:rPr>
        <w:t>K., Smith </w:t>
      </w:r>
      <w:r>
        <w:rPr>
          <w:sz w:val="28"/>
        </w:rPr>
        <w:t>J., </w:t>
      </w:r>
      <w:r>
        <w:rPr>
          <w:spacing w:val="-4"/>
          <w:sz w:val="28"/>
        </w:rPr>
        <w:t>Oyama </w:t>
      </w:r>
      <w:r>
        <w:rPr>
          <w:sz w:val="28"/>
        </w:rPr>
        <w:t>M. </w:t>
      </w:r>
      <w:r>
        <w:rPr>
          <w:spacing w:val="-5"/>
          <w:sz w:val="28"/>
        </w:rPr>
        <w:t>A. (2008). </w:t>
      </w:r>
      <w:r>
        <w:rPr>
          <w:spacing w:val="-3"/>
          <w:sz w:val="28"/>
        </w:rPr>
        <w:t>Manual </w:t>
      </w:r>
      <w:r>
        <w:rPr>
          <w:sz w:val="28"/>
        </w:rPr>
        <w:t>of </w:t>
      </w:r>
      <w:r>
        <w:rPr>
          <w:spacing w:val="-4"/>
          <w:sz w:val="28"/>
        </w:rPr>
        <w:t>canine </w:t>
      </w:r>
      <w:r>
        <w:rPr>
          <w:spacing w:val="-3"/>
          <w:sz w:val="28"/>
        </w:rPr>
        <w:t>and </w:t>
      </w:r>
      <w:r>
        <w:rPr>
          <w:spacing w:val="-5"/>
          <w:sz w:val="28"/>
        </w:rPr>
        <w:t>feline </w:t>
      </w:r>
      <w:r>
        <w:rPr>
          <w:spacing w:val="-4"/>
          <w:sz w:val="28"/>
        </w:rPr>
        <w:t>cardiology copyright </w:t>
      </w:r>
      <w:r>
        <w:rPr>
          <w:sz w:val="28"/>
        </w:rPr>
        <w:t>by </w:t>
      </w:r>
      <w:r>
        <w:rPr>
          <w:spacing w:val="-4"/>
          <w:sz w:val="28"/>
        </w:rPr>
        <w:t>Saunders, </w:t>
      </w:r>
      <w:r>
        <w:rPr>
          <w:sz w:val="28"/>
        </w:rPr>
        <w:t>an </w:t>
      </w:r>
      <w:r>
        <w:rPr>
          <w:spacing w:val="-4"/>
          <w:sz w:val="28"/>
        </w:rPr>
        <w:t>imprint </w:t>
      </w:r>
      <w:r>
        <w:rPr>
          <w:sz w:val="28"/>
        </w:rPr>
        <w:t>of </w:t>
      </w:r>
      <w:r>
        <w:rPr>
          <w:spacing w:val="-4"/>
          <w:sz w:val="28"/>
        </w:rPr>
        <w:t>Elsevier Inc. </w:t>
      </w:r>
      <w:r>
        <w:rPr>
          <w:spacing w:val="-3"/>
          <w:sz w:val="28"/>
        </w:rPr>
        <w:t>(Fourth edition) </w:t>
      </w:r>
      <w:r>
        <w:rPr>
          <w:spacing w:val="-5"/>
          <w:sz w:val="28"/>
        </w:rPr>
        <w:t>105–106.</w:t>
      </w:r>
    </w:p>
    <w:p>
      <w:pPr>
        <w:pStyle w:val="ListParagraph"/>
        <w:numPr>
          <w:ilvl w:val="0"/>
          <w:numId w:val="9"/>
        </w:numPr>
        <w:tabs>
          <w:tab w:pos="1337" w:val="left" w:leader="none"/>
        </w:tabs>
        <w:spacing w:line="240" w:lineRule="auto" w:before="0" w:after="0"/>
        <w:ind w:left="193" w:right="613" w:firstLine="710"/>
        <w:jc w:val="both"/>
        <w:rPr>
          <w:sz w:val="28"/>
        </w:rPr>
      </w:pPr>
      <w:r>
        <w:rPr>
          <w:spacing w:val="-4"/>
          <w:sz w:val="28"/>
        </w:rPr>
        <w:t>Ware, </w:t>
      </w:r>
      <w:r>
        <w:rPr>
          <w:sz w:val="28"/>
        </w:rPr>
        <w:t>W. </w:t>
      </w:r>
      <w:r>
        <w:rPr>
          <w:spacing w:val="-4"/>
          <w:sz w:val="28"/>
        </w:rPr>
        <w:t>A., </w:t>
      </w:r>
      <w:r>
        <w:rPr>
          <w:spacing w:val="-5"/>
          <w:sz w:val="28"/>
        </w:rPr>
        <w:t>Keene B. </w:t>
      </w:r>
      <w:r>
        <w:rPr>
          <w:sz w:val="28"/>
        </w:rPr>
        <w:t>W. </w:t>
      </w:r>
      <w:r>
        <w:rPr>
          <w:spacing w:val="-5"/>
          <w:sz w:val="28"/>
        </w:rPr>
        <w:t>(2000). </w:t>
      </w:r>
      <w:r>
        <w:rPr>
          <w:spacing w:val="-4"/>
          <w:sz w:val="28"/>
        </w:rPr>
        <w:t>Outpatient </w:t>
      </w:r>
      <w:r>
        <w:rPr>
          <w:spacing w:val="-5"/>
          <w:sz w:val="28"/>
        </w:rPr>
        <w:t>management </w:t>
      </w:r>
      <w:r>
        <w:rPr>
          <w:sz w:val="28"/>
        </w:rPr>
        <w:t>of </w:t>
      </w:r>
      <w:r>
        <w:rPr>
          <w:spacing w:val="-4"/>
          <w:sz w:val="28"/>
        </w:rPr>
        <w:t>chronic </w:t>
      </w:r>
      <w:r>
        <w:rPr>
          <w:spacing w:val="-5"/>
          <w:sz w:val="28"/>
        </w:rPr>
        <w:t>heart failure.</w:t>
      </w:r>
      <w:r>
        <w:rPr>
          <w:spacing w:val="-18"/>
          <w:sz w:val="28"/>
        </w:rPr>
        <w:t> </w:t>
      </w:r>
      <w:r>
        <w:rPr>
          <w:sz w:val="28"/>
        </w:rPr>
        <w:t>In</w:t>
      </w:r>
      <w:r>
        <w:rPr>
          <w:spacing w:val="-24"/>
          <w:sz w:val="28"/>
        </w:rPr>
        <w:t> </w:t>
      </w:r>
      <w:r>
        <w:rPr>
          <w:spacing w:val="-4"/>
          <w:sz w:val="28"/>
        </w:rPr>
        <w:t>Bonagura</w:t>
      </w:r>
      <w:r>
        <w:rPr>
          <w:spacing w:val="-19"/>
          <w:sz w:val="28"/>
        </w:rPr>
        <w:t> </w:t>
      </w:r>
      <w:r>
        <w:rPr>
          <w:sz w:val="28"/>
        </w:rPr>
        <w:t>JD</w:t>
      </w:r>
      <w:r>
        <w:rPr>
          <w:spacing w:val="-22"/>
          <w:sz w:val="28"/>
        </w:rPr>
        <w:t> </w:t>
      </w:r>
      <w:r>
        <w:rPr>
          <w:spacing w:val="-4"/>
          <w:sz w:val="28"/>
        </w:rPr>
        <w:t>(ed).</w:t>
      </w:r>
      <w:r>
        <w:rPr>
          <w:spacing w:val="-22"/>
          <w:sz w:val="28"/>
        </w:rPr>
        <w:t> </w:t>
      </w:r>
      <w:r>
        <w:rPr>
          <w:spacing w:val="-3"/>
          <w:sz w:val="28"/>
        </w:rPr>
        <w:t>Current</w:t>
      </w:r>
      <w:r>
        <w:rPr>
          <w:spacing w:val="-20"/>
          <w:sz w:val="28"/>
        </w:rPr>
        <w:t> </w:t>
      </w:r>
      <w:r>
        <w:rPr>
          <w:spacing w:val="-4"/>
          <w:sz w:val="28"/>
        </w:rPr>
        <w:t>veterinary</w:t>
      </w:r>
      <w:r>
        <w:rPr>
          <w:spacing w:val="-29"/>
          <w:sz w:val="28"/>
        </w:rPr>
        <w:t> </w:t>
      </w:r>
      <w:r>
        <w:rPr>
          <w:spacing w:val="-3"/>
          <w:sz w:val="28"/>
        </w:rPr>
        <w:t>therapy</w:t>
      </w:r>
      <w:r>
        <w:rPr>
          <w:spacing w:val="-23"/>
          <w:sz w:val="28"/>
        </w:rPr>
        <w:t> </w:t>
      </w:r>
      <w:r>
        <w:rPr>
          <w:spacing w:val="-5"/>
          <w:sz w:val="28"/>
        </w:rPr>
        <w:t>XIII.</w:t>
      </w:r>
      <w:r>
        <w:rPr>
          <w:spacing w:val="-18"/>
          <w:sz w:val="28"/>
        </w:rPr>
        <w:t> </w:t>
      </w:r>
      <w:r>
        <w:rPr>
          <w:spacing w:val="-4"/>
          <w:sz w:val="28"/>
        </w:rPr>
        <w:t>Philadelphia:</w:t>
      </w:r>
      <w:r>
        <w:rPr>
          <w:spacing w:val="-25"/>
          <w:sz w:val="28"/>
        </w:rPr>
        <w:t> </w:t>
      </w:r>
      <w:r>
        <w:rPr>
          <w:sz w:val="28"/>
        </w:rPr>
        <w:t>WB</w:t>
      </w:r>
      <w:r>
        <w:rPr>
          <w:spacing w:val="-27"/>
          <w:sz w:val="28"/>
        </w:rPr>
        <w:t> </w:t>
      </w:r>
      <w:r>
        <w:rPr>
          <w:spacing w:val="-4"/>
          <w:sz w:val="28"/>
        </w:rPr>
        <w:t>Saunders. </w:t>
      </w:r>
      <w:r>
        <w:rPr>
          <w:spacing w:val="-5"/>
          <w:sz w:val="28"/>
        </w:rPr>
        <w:t>748–752.</w:t>
      </w:r>
    </w:p>
    <w:p>
      <w:pPr>
        <w:pStyle w:val="BodyText"/>
        <w:spacing w:before="2"/>
        <w:ind w:left="0"/>
        <w:jc w:val="left"/>
      </w:pPr>
    </w:p>
    <w:p>
      <w:pPr>
        <w:pStyle w:val="Heading1"/>
        <w:spacing w:before="1"/>
        <w:ind w:left="188"/>
      </w:pPr>
      <w:r>
        <w:rPr/>
        <w:t>ВЛИЯНИЕ</w:t>
      </w:r>
      <w:r>
        <w:rPr>
          <w:spacing w:val="-21"/>
        </w:rPr>
        <w:t> </w:t>
      </w:r>
      <w:r>
        <w:rPr/>
        <w:t>ФИТОПРЕПАРАТОВ</w:t>
      </w:r>
      <w:r>
        <w:rPr>
          <w:spacing w:val="-22"/>
        </w:rPr>
        <w:t> </w:t>
      </w:r>
      <w:r>
        <w:rPr/>
        <w:t>«КАРДИОФИЛ»</w:t>
      </w:r>
      <w:r>
        <w:rPr>
          <w:spacing w:val="-21"/>
        </w:rPr>
        <w:t> </w:t>
      </w:r>
      <w:r>
        <w:rPr/>
        <w:t>И</w:t>
      </w:r>
      <w:r>
        <w:rPr>
          <w:spacing w:val="-22"/>
        </w:rPr>
        <w:t> </w:t>
      </w:r>
      <w:r>
        <w:rPr/>
        <w:t>«ФИТОХОЛ»</w:t>
      </w:r>
      <w:r>
        <w:rPr>
          <w:spacing w:val="-22"/>
        </w:rPr>
        <w:t> </w:t>
      </w:r>
      <w:r>
        <w:rPr/>
        <w:t>НА БИОХИМИЧЕСКИЕ ПОКАЗАТЕЛИ КРОВИ КОШЕК</w:t>
      </w:r>
      <w:r>
        <w:rPr>
          <w:spacing w:val="-33"/>
        </w:rPr>
        <w:t> </w:t>
      </w:r>
      <w:r>
        <w:rPr/>
        <w:t>ПРИ</w:t>
      </w:r>
    </w:p>
    <w:p>
      <w:pPr>
        <w:spacing w:line="320" w:lineRule="exact" w:before="4"/>
        <w:ind w:left="185" w:right="603" w:firstLine="0"/>
        <w:jc w:val="center"/>
        <w:rPr>
          <w:b/>
          <w:sz w:val="28"/>
        </w:rPr>
      </w:pPr>
      <w:r>
        <w:rPr>
          <w:b/>
          <w:sz w:val="28"/>
        </w:rPr>
        <w:t>ИЗОЛЯЦИОННОМ СТРЕССЕ</w:t>
      </w:r>
    </w:p>
    <w:p>
      <w:pPr>
        <w:pStyle w:val="BodyText"/>
        <w:spacing w:line="320" w:lineRule="exact"/>
        <w:ind w:left="4327"/>
      </w:pPr>
      <w:r>
        <w:rPr/>
        <w:t>Лысенко А.</w:t>
      </w:r>
    </w:p>
    <w:p>
      <w:pPr>
        <w:spacing w:line="322" w:lineRule="exact" w:before="0"/>
        <w:ind w:left="903" w:right="0" w:firstLine="0"/>
        <w:jc w:val="both"/>
        <w:rPr>
          <w:i/>
          <w:sz w:val="28"/>
        </w:rPr>
      </w:pPr>
      <w:r>
        <w:rPr>
          <w:i/>
          <w:sz w:val="28"/>
        </w:rPr>
        <w:t>В    статье   приведены   данные,    </w:t>
      </w:r>
      <w:r>
        <w:rPr>
          <w:i/>
          <w:spacing w:val="-3"/>
          <w:sz w:val="28"/>
        </w:rPr>
        <w:t>по    </w:t>
      </w:r>
      <w:r>
        <w:rPr>
          <w:i/>
          <w:sz w:val="28"/>
        </w:rPr>
        <w:t>изучению    влияния </w:t>
      </w:r>
      <w:r>
        <w:rPr>
          <w:i/>
          <w:spacing w:val="13"/>
          <w:sz w:val="28"/>
        </w:rPr>
        <w:t> </w:t>
      </w:r>
      <w:r>
        <w:rPr>
          <w:i/>
          <w:sz w:val="28"/>
        </w:rPr>
        <w:t>фитодобавок</w:t>
      </w:r>
    </w:p>
    <w:p>
      <w:pPr>
        <w:spacing w:before="0"/>
        <w:ind w:left="193" w:right="608" w:firstLine="0"/>
        <w:jc w:val="both"/>
        <w:rPr>
          <w:i/>
          <w:sz w:val="28"/>
        </w:rPr>
      </w:pPr>
      <w:r>
        <w:rPr>
          <w:i/>
          <w:sz w:val="28"/>
        </w:rPr>
        <w:t>«Кардиофил»</w:t>
      </w:r>
      <w:r>
        <w:rPr>
          <w:i/>
          <w:spacing w:val="-18"/>
          <w:sz w:val="28"/>
        </w:rPr>
        <w:t> </w:t>
      </w:r>
      <w:r>
        <w:rPr>
          <w:i/>
          <w:sz w:val="28"/>
        </w:rPr>
        <w:t>и</w:t>
      </w:r>
      <w:r>
        <w:rPr>
          <w:i/>
          <w:spacing w:val="-18"/>
          <w:sz w:val="28"/>
        </w:rPr>
        <w:t> </w:t>
      </w:r>
      <w:r>
        <w:rPr>
          <w:i/>
          <w:sz w:val="28"/>
        </w:rPr>
        <w:t>«Фитохол»</w:t>
      </w:r>
      <w:r>
        <w:rPr>
          <w:i/>
          <w:spacing w:val="-17"/>
          <w:sz w:val="28"/>
        </w:rPr>
        <w:t> </w:t>
      </w:r>
      <w:r>
        <w:rPr>
          <w:i/>
          <w:sz w:val="28"/>
        </w:rPr>
        <w:t>на</w:t>
      </w:r>
      <w:r>
        <w:rPr>
          <w:i/>
          <w:spacing w:val="-18"/>
          <w:sz w:val="28"/>
        </w:rPr>
        <w:t> </w:t>
      </w:r>
      <w:r>
        <w:rPr>
          <w:i/>
          <w:sz w:val="28"/>
        </w:rPr>
        <w:t>биохимические</w:t>
      </w:r>
      <w:r>
        <w:rPr>
          <w:i/>
          <w:spacing w:val="-17"/>
          <w:sz w:val="28"/>
        </w:rPr>
        <w:t> </w:t>
      </w:r>
      <w:r>
        <w:rPr>
          <w:i/>
          <w:sz w:val="28"/>
        </w:rPr>
        <w:t>показатели</w:t>
      </w:r>
      <w:r>
        <w:rPr>
          <w:i/>
          <w:spacing w:val="-18"/>
          <w:sz w:val="28"/>
        </w:rPr>
        <w:t> </w:t>
      </w:r>
      <w:r>
        <w:rPr>
          <w:i/>
          <w:sz w:val="28"/>
        </w:rPr>
        <w:t>крови</w:t>
      </w:r>
      <w:r>
        <w:rPr>
          <w:i/>
          <w:spacing w:val="-17"/>
          <w:sz w:val="28"/>
        </w:rPr>
        <w:t> </w:t>
      </w:r>
      <w:r>
        <w:rPr>
          <w:i/>
          <w:sz w:val="28"/>
        </w:rPr>
        <w:t>кошек</w:t>
      </w:r>
      <w:r>
        <w:rPr>
          <w:i/>
          <w:spacing w:val="-18"/>
          <w:sz w:val="28"/>
        </w:rPr>
        <w:t> </w:t>
      </w:r>
      <w:r>
        <w:rPr>
          <w:i/>
          <w:sz w:val="28"/>
        </w:rPr>
        <w:t>в</w:t>
      </w:r>
      <w:r>
        <w:rPr>
          <w:i/>
          <w:spacing w:val="-19"/>
          <w:sz w:val="28"/>
        </w:rPr>
        <w:t> </w:t>
      </w:r>
      <w:r>
        <w:rPr>
          <w:i/>
          <w:sz w:val="28"/>
        </w:rPr>
        <w:t>условиях </w:t>
      </w:r>
      <w:r>
        <w:rPr>
          <w:i/>
          <w:sz w:val="28"/>
        </w:rPr>
        <w:t>изоляционного </w:t>
      </w:r>
      <w:r>
        <w:rPr>
          <w:i/>
          <w:spacing w:val="-3"/>
          <w:sz w:val="28"/>
        </w:rPr>
        <w:t>стресса. </w:t>
      </w:r>
      <w:r>
        <w:rPr>
          <w:i/>
          <w:sz w:val="28"/>
        </w:rPr>
        <w:t>Установлено, что в условиях стресса у животных появляется</w:t>
      </w:r>
      <w:r>
        <w:rPr>
          <w:i/>
          <w:spacing w:val="-40"/>
          <w:sz w:val="28"/>
        </w:rPr>
        <w:t> </w:t>
      </w:r>
      <w:r>
        <w:rPr>
          <w:i/>
          <w:sz w:val="28"/>
        </w:rPr>
        <w:t>стресс-реакция,</w:t>
      </w:r>
      <w:r>
        <w:rPr>
          <w:i/>
          <w:spacing w:val="-38"/>
          <w:sz w:val="28"/>
        </w:rPr>
        <w:t> </w:t>
      </w:r>
      <w:r>
        <w:rPr>
          <w:i/>
          <w:sz w:val="28"/>
        </w:rPr>
        <w:t>которая</w:t>
      </w:r>
      <w:r>
        <w:rPr>
          <w:i/>
          <w:spacing w:val="-42"/>
          <w:sz w:val="28"/>
        </w:rPr>
        <w:t> </w:t>
      </w:r>
      <w:r>
        <w:rPr>
          <w:i/>
          <w:sz w:val="28"/>
        </w:rPr>
        <w:t>сопровождается</w:t>
      </w:r>
      <w:r>
        <w:rPr>
          <w:i/>
          <w:spacing w:val="-40"/>
          <w:sz w:val="28"/>
        </w:rPr>
        <w:t> </w:t>
      </w:r>
      <w:r>
        <w:rPr>
          <w:i/>
          <w:sz w:val="28"/>
        </w:rPr>
        <w:t>увеличением</w:t>
      </w:r>
      <w:r>
        <w:rPr>
          <w:i/>
          <w:spacing w:val="-42"/>
          <w:sz w:val="28"/>
        </w:rPr>
        <w:t> </w:t>
      </w:r>
      <w:r>
        <w:rPr>
          <w:i/>
          <w:sz w:val="28"/>
        </w:rPr>
        <w:t>сердцебиение и</w:t>
      </w:r>
      <w:r>
        <w:rPr>
          <w:i/>
          <w:spacing w:val="-23"/>
          <w:sz w:val="28"/>
        </w:rPr>
        <w:t> </w:t>
      </w:r>
      <w:r>
        <w:rPr>
          <w:i/>
          <w:sz w:val="28"/>
        </w:rPr>
        <w:t>частотой</w:t>
      </w:r>
      <w:r>
        <w:rPr>
          <w:i/>
          <w:spacing w:val="-23"/>
          <w:sz w:val="28"/>
        </w:rPr>
        <w:t> </w:t>
      </w:r>
      <w:r>
        <w:rPr>
          <w:i/>
          <w:spacing w:val="-3"/>
          <w:sz w:val="28"/>
        </w:rPr>
        <w:t>дыхания,</w:t>
      </w:r>
      <w:r>
        <w:rPr>
          <w:i/>
          <w:spacing w:val="-21"/>
          <w:sz w:val="28"/>
        </w:rPr>
        <w:t> </w:t>
      </w:r>
      <w:r>
        <w:rPr>
          <w:i/>
          <w:sz w:val="28"/>
        </w:rPr>
        <w:t>а</w:t>
      </w:r>
      <w:r>
        <w:rPr>
          <w:i/>
          <w:spacing w:val="-26"/>
          <w:sz w:val="28"/>
        </w:rPr>
        <w:t> </w:t>
      </w:r>
      <w:r>
        <w:rPr>
          <w:i/>
          <w:sz w:val="28"/>
        </w:rPr>
        <w:t>также</w:t>
      </w:r>
      <w:r>
        <w:rPr>
          <w:i/>
          <w:spacing w:val="-26"/>
          <w:sz w:val="28"/>
        </w:rPr>
        <w:t> </w:t>
      </w:r>
      <w:r>
        <w:rPr>
          <w:i/>
          <w:sz w:val="28"/>
        </w:rPr>
        <w:t>развитие</w:t>
      </w:r>
      <w:r>
        <w:rPr>
          <w:i/>
          <w:spacing w:val="-26"/>
          <w:sz w:val="28"/>
        </w:rPr>
        <w:t> </w:t>
      </w:r>
      <w:r>
        <w:rPr>
          <w:i/>
          <w:sz w:val="28"/>
        </w:rPr>
        <w:t>гипертензии,</w:t>
      </w:r>
      <w:r>
        <w:rPr>
          <w:i/>
          <w:spacing w:val="-25"/>
          <w:sz w:val="28"/>
        </w:rPr>
        <w:t> </w:t>
      </w:r>
      <w:r>
        <w:rPr>
          <w:i/>
          <w:sz w:val="28"/>
        </w:rPr>
        <w:t>вызывает</w:t>
      </w:r>
      <w:r>
        <w:rPr>
          <w:i/>
          <w:spacing w:val="-22"/>
          <w:sz w:val="28"/>
        </w:rPr>
        <w:t> </w:t>
      </w:r>
      <w:r>
        <w:rPr>
          <w:i/>
          <w:sz w:val="28"/>
        </w:rPr>
        <w:t>постнагрузку</w:t>
      </w:r>
      <w:r>
        <w:rPr>
          <w:i/>
          <w:spacing w:val="-26"/>
          <w:sz w:val="28"/>
        </w:rPr>
        <w:t> </w:t>
      </w:r>
      <w:r>
        <w:rPr>
          <w:i/>
          <w:sz w:val="28"/>
        </w:rPr>
        <w:t>на сердечно-сосудистую</w:t>
      </w:r>
      <w:r>
        <w:rPr>
          <w:i/>
          <w:spacing w:val="-9"/>
          <w:sz w:val="28"/>
        </w:rPr>
        <w:t> </w:t>
      </w:r>
      <w:r>
        <w:rPr>
          <w:i/>
          <w:sz w:val="28"/>
        </w:rPr>
        <w:t>систему</w:t>
      </w:r>
      <w:r>
        <w:rPr>
          <w:i/>
          <w:spacing w:val="-13"/>
          <w:sz w:val="28"/>
        </w:rPr>
        <w:t> </w:t>
      </w:r>
      <w:r>
        <w:rPr>
          <w:i/>
          <w:sz w:val="28"/>
        </w:rPr>
        <w:t>и</w:t>
      </w:r>
      <w:r>
        <w:rPr>
          <w:i/>
          <w:spacing w:val="-10"/>
          <w:sz w:val="28"/>
        </w:rPr>
        <w:t> </w:t>
      </w:r>
      <w:r>
        <w:rPr>
          <w:i/>
          <w:sz w:val="28"/>
        </w:rPr>
        <w:t>в</w:t>
      </w:r>
      <w:r>
        <w:rPr>
          <w:i/>
          <w:spacing w:val="-6"/>
          <w:sz w:val="28"/>
        </w:rPr>
        <w:t> </w:t>
      </w:r>
      <w:r>
        <w:rPr>
          <w:i/>
          <w:sz w:val="28"/>
        </w:rPr>
        <w:t>дальнейшем</w:t>
      </w:r>
      <w:r>
        <w:rPr>
          <w:i/>
          <w:spacing w:val="-10"/>
          <w:sz w:val="28"/>
        </w:rPr>
        <w:t> </w:t>
      </w:r>
      <w:r>
        <w:rPr>
          <w:i/>
          <w:sz w:val="28"/>
        </w:rPr>
        <w:t>приводит</w:t>
      </w:r>
      <w:r>
        <w:rPr>
          <w:i/>
          <w:spacing w:val="-9"/>
          <w:sz w:val="28"/>
        </w:rPr>
        <w:t> </w:t>
      </w:r>
      <w:r>
        <w:rPr>
          <w:i/>
          <w:sz w:val="28"/>
        </w:rPr>
        <w:t>к</w:t>
      </w:r>
      <w:r>
        <w:rPr>
          <w:i/>
          <w:spacing w:val="-10"/>
          <w:sz w:val="28"/>
        </w:rPr>
        <w:t> </w:t>
      </w:r>
      <w:r>
        <w:rPr>
          <w:i/>
          <w:sz w:val="28"/>
        </w:rPr>
        <w:t>изменениям</w:t>
      </w:r>
      <w:r>
        <w:rPr>
          <w:i/>
          <w:spacing w:val="-10"/>
          <w:sz w:val="28"/>
        </w:rPr>
        <w:t> </w:t>
      </w:r>
      <w:r>
        <w:rPr>
          <w:i/>
          <w:sz w:val="28"/>
        </w:rPr>
        <w:t>в</w:t>
      </w:r>
      <w:r>
        <w:rPr>
          <w:i/>
          <w:spacing w:val="-10"/>
          <w:sz w:val="28"/>
        </w:rPr>
        <w:t> </w:t>
      </w:r>
      <w:r>
        <w:rPr>
          <w:i/>
          <w:sz w:val="28"/>
        </w:rPr>
        <w:t>сосудах и</w:t>
      </w:r>
      <w:r>
        <w:rPr>
          <w:i/>
          <w:spacing w:val="-19"/>
          <w:sz w:val="28"/>
        </w:rPr>
        <w:t> </w:t>
      </w:r>
      <w:r>
        <w:rPr>
          <w:i/>
          <w:sz w:val="28"/>
        </w:rPr>
        <w:t>крови</w:t>
      </w:r>
      <w:r>
        <w:rPr>
          <w:i/>
          <w:spacing w:val="-24"/>
          <w:sz w:val="28"/>
        </w:rPr>
        <w:t> </w:t>
      </w:r>
      <w:r>
        <w:rPr>
          <w:i/>
          <w:sz w:val="28"/>
        </w:rPr>
        <w:t>и</w:t>
      </w:r>
      <w:r>
        <w:rPr>
          <w:i/>
          <w:spacing w:val="-22"/>
          <w:sz w:val="28"/>
        </w:rPr>
        <w:t> </w:t>
      </w:r>
      <w:r>
        <w:rPr>
          <w:i/>
          <w:sz w:val="28"/>
        </w:rPr>
        <w:t>вызывает</w:t>
      </w:r>
      <w:r>
        <w:rPr>
          <w:i/>
          <w:spacing w:val="-22"/>
          <w:sz w:val="28"/>
        </w:rPr>
        <w:t> </w:t>
      </w:r>
      <w:r>
        <w:rPr>
          <w:i/>
          <w:sz w:val="28"/>
        </w:rPr>
        <w:t>сердечно</w:t>
      </w:r>
      <w:r>
        <w:rPr>
          <w:i/>
          <w:spacing w:val="-27"/>
          <w:sz w:val="28"/>
        </w:rPr>
        <w:t> </w:t>
      </w:r>
      <w:r>
        <w:rPr>
          <w:i/>
          <w:sz w:val="28"/>
        </w:rPr>
        <w:t>сосудистую</w:t>
      </w:r>
      <w:r>
        <w:rPr>
          <w:i/>
          <w:spacing w:val="-22"/>
          <w:sz w:val="28"/>
        </w:rPr>
        <w:t> </w:t>
      </w:r>
      <w:r>
        <w:rPr>
          <w:i/>
          <w:sz w:val="28"/>
        </w:rPr>
        <w:t>и</w:t>
      </w:r>
      <w:r>
        <w:rPr>
          <w:i/>
          <w:spacing w:val="-23"/>
          <w:sz w:val="28"/>
        </w:rPr>
        <w:t> </w:t>
      </w:r>
      <w:r>
        <w:rPr>
          <w:i/>
          <w:sz w:val="28"/>
        </w:rPr>
        <w:t>легочную</w:t>
      </w:r>
      <w:r>
        <w:rPr>
          <w:i/>
          <w:spacing w:val="-22"/>
          <w:sz w:val="28"/>
        </w:rPr>
        <w:t> </w:t>
      </w:r>
      <w:r>
        <w:rPr>
          <w:i/>
          <w:spacing w:val="-3"/>
          <w:sz w:val="28"/>
        </w:rPr>
        <w:t>недостаточность,</w:t>
      </w:r>
      <w:r>
        <w:rPr>
          <w:i/>
          <w:spacing w:val="-21"/>
          <w:sz w:val="28"/>
        </w:rPr>
        <w:t> </w:t>
      </w:r>
      <w:r>
        <w:rPr>
          <w:i/>
          <w:sz w:val="28"/>
        </w:rPr>
        <w:t>а</w:t>
      </w:r>
      <w:r>
        <w:rPr>
          <w:i/>
          <w:spacing w:val="-23"/>
          <w:sz w:val="28"/>
        </w:rPr>
        <w:t> </w:t>
      </w:r>
      <w:r>
        <w:rPr>
          <w:i/>
          <w:sz w:val="28"/>
        </w:rPr>
        <w:t>именно в крови у котов определено повышение уровня мочевины на </w:t>
      </w:r>
      <w:r>
        <w:rPr>
          <w:i/>
          <w:spacing w:val="-3"/>
          <w:sz w:val="28"/>
        </w:rPr>
        <w:t>26%, </w:t>
      </w:r>
      <w:r>
        <w:rPr>
          <w:i/>
          <w:sz w:val="28"/>
        </w:rPr>
        <w:t>креатинина на </w:t>
      </w:r>
      <w:r>
        <w:rPr>
          <w:i/>
          <w:spacing w:val="-3"/>
          <w:sz w:val="28"/>
        </w:rPr>
        <w:t>11%, </w:t>
      </w:r>
      <w:r>
        <w:rPr>
          <w:i/>
          <w:sz w:val="28"/>
        </w:rPr>
        <w:t>общего белка на </w:t>
      </w:r>
      <w:r>
        <w:rPr>
          <w:i/>
          <w:spacing w:val="-3"/>
          <w:sz w:val="28"/>
        </w:rPr>
        <w:t>10,5%, </w:t>
      </w:r>
      <w:r>
        <w:rPr>
          <w:i/>
          <w:sz w:val="28"/>
        </w:rPr>
        <w:t>глюкозы на </w:t>
      </w:r>
      <w:r>
        <w:rPr>
          <w:i/>
          <w:spacing w:val="-3"/>
          <w:sz w:val="28"/>
        </w:rPr>
        <w:t>17,5%, </w:t>
      </w:r>
      <w:r>
        <w:rPr>
          <w:i/>
          <w:sz w:val="28"/>
        </w:rPr>
        <w:t>ЛДГ (лактатдегидрогеназы) на </w:t>
      </w:r>
      <w:r>
        <w:rPr>
          <w:i/>
          <w:spacing w:val="-3"/>
          <w:sz w:val="28"/>
        </w:rPr>
        <w:t>11,5%, </w:t>
      </w:r>
      <w:r>
        <w:rPr>
          <w:i/>
          <w:sz w:val="28"/>
        </w:rPr>
        <w:t>в то время знижувавлася активность ферментов АсАТ на </w:t>
      </w:r>
      <w:r>
        <w:rPr>
          <w:i/>
          <w:spacing w:val="-3"/>
          <w:sz w:val="28"/>
        </w:rPr>
        <w:t>20%, </w:t>
      </w:r>
      <w:r>
        <w:rPr>
          <w:i/>
          <w:sz w:val="28"/>
        </w:rPr>
        <w:t>АЛТ на 9,4%, ужно фосфатазы на </w:t>
      </w:r>
      <w:r>
        <w:rPr>
          <w:i/>
          <w:spacing w:val="-4"/>
          <w:sz w:val="28"/>
        </w:rPr>
        <w:t>9%,  </w:t>
      </w:r>
      <w:r>
        <w:rPr>
          <w:i/>
          <w:sz w:val="28"/>
        </w:rPr>
        <w:t>КФК на 9% и триглециридив на </w:t>
      </w:r>
      <w:r>
        <w:rPr>
          <w:i/>
          <w:spacing w:val="-4"/>
          <w:sz w:val="28"/>
        </w:rPr>
        <w:t>9%, </w:t>
      </w:r>
      <w:r>
        <w:rPr>
          <w:i/>
          <w:spacing w:val="30"/>
          <w:sz w:val="28"/>
        </w:rPr>
        <w:t> </w:t>
      </w:r>
      <w:r>
        <w:rPr>
          <w:i/>
          <w:sz w:val="28"/>
        </w:rPr>
        <w:t>натрия на</w:t>
      </w:r>
    </w:p>
    <w:p>
      <w:pPr>
        <w:spacing w:after="0"/>
        <w:jc w:val="both"/>
        <w:rPr>
          <w:sz w:val="28"/>
        </w:rPr>
        <w:sectPr>
          <w:pgSz w:w="11910" w:h="16840"/>
          <w:pgMar w:header="713" w:footer="778" w:top="1140" w:bottom="960" w:left="940" w:right="520"/>
        </w:sectPr>
      </w:pPr>
    </w:p>
    <w:p>
      <w:pPr>
        <w:spacing w:line="240" w:lineRule="auto" w:before="92"/>
        <w:ind w:left="193" w:right="603" w:firstLine="0"/>
        <w:jc w:val="both"/>
        <w:rPr>
          <w:i/>
          <w:sz w:val="28"/>
        </w:rPr>
      </w:pPr>
      <w:r>
        <w:rPr>
          <w:i/>
          <w:spacing w:val="-4"/>
          <w:sz w:val="28"/>
        </w:rPr>
        <w:t>3%.</w:t>
      </w:r>
      <w:r>
        <w:rPr>
          <w:i/>
          <w:spacing w:val="-23"/>
          <w:sz w:val="28"/>
        </w:rPr>
        <w:t> </w:t>
      </w:r>
      <w:r>
        <w:rPr>
          <w:i/>
          <w:sz w:val="28"/>
        </w:rPr>
        <w:t>Такие</w:t>
      </w:r>
      <w:r>
        <w:rPr>
          <w:i/>
          <w:spacing w:val="-23"/>
          <w:sz w:val="28"/>
        </w:rPr>
        <w:t> </w:t>
      </w:r>
      <w:r>
        <w:rPr>
          <w:i/>
          <w:sz w:val="28"/>
        </w:rPr>
        <w:t>изменения</w:t>
      </w:r>
      <w:r>
        <w:rPr>
          <w:i/>
          <w:spacing w:val="-24"/>
          <w:sz w:val="28"/>
        </w:rPr>
        <w:t> </w:t>
      </w:r>
      <w:r>
        <w:rPr>
          <w:i/>
          <w:sz w:val="28"/>
        </w:rPr>
        <w:t>биохимических</w:t>
      </w:r>
      <w:r>
        <w:rPr>
          <w:i/>
          <w:spacing w:val="-23"/>
          <w:sz w:val="28"/>
        </w:rPr>
        <w:t> </w:t>
      </w:r>
      <w:r>
        <w:rPr>
          <w:i/>
          <w:sz w:val="28"/>
        </w:rPr>
        <w:t>показателей</w:t>
      </w:r>
      <w:r>
        <w:rPr>
          <w:i/>
          <w:spacing w:val="-24"/>
          <w:sz w:val="28"/>
        </w:rPr>
        <w:t> </w:t>
      </w:r>
      <w:r>
        <w:rPr>
          <w:i/>
          <w:sz w:val="28"/>
        </w:rPr>
        <w:t>крови</w:t>
      </w:r>
      <w:r>
        <w:rPr>
          <w:i/>
          <w:spacing w:val="-28"/>
          <w:sz w:val="28"/>
        </w:rPr>
        <w:t> </w:t>
      </w:r>
      <w:r>
        <w:rPr>
          <w:i/>
          <w:sz w:val="28"/>
        </w:rPr>
        <w:t>объясняются</w:t>
      </w:r>
      <w:r>
        <w:rPr>
          <w:i/>
          <w:spacing w:val="-27"/>
          <w:sz w:val="28"/>
        </w:rPr>
        <w:t> </w:t>
      </w:r>
      <w:r>
        <w:rPr>
          <w:i/>
          <w:sz w:val="28"/>
        </w:rPr>
        <w:t>тем,</w:t>
      </w:r>
      <w:r>
        <w:rPr>
          <w:i/>
          <w:spacing w:val="-26"/>
          <w:sz w:val="28"/>
        </w:rPr>
        <w:t> </w:t>
      </w:r>
      <w:r>
        <w:rPr>
          <w:i/>
          <w:sz w:val="28"/>
        </w:rPr>
        <w:t>что</w:t>
      </w:r>
      <w:r>
        <w:rPr>
          <w:i/>
          <w:spacing w:val="-27"/>
          <w:sz w:val="28"/>
        </w:rPr>
        <w:t> </w:t>
      </w:r>
      <w:r>
        <w:rPr>
          <w:i/>
          <w:sz w:val="28"/>
        </w:rPr>
        <w:t>за </w:t>
      </w:r>
      <w:r>
        <w:rPr>
          <w:i/>
          <w:sz w:val="28"/>
        </w:rPr>
        <w:t>адаптогенного действия фитодобавок улучшалась функция печени (белоксинтетической, липолитической и </w:t>
      </w:r>
      <w:r>
        <w:rPr>
          <w:i/>
          <w:spacing w:val="-3"/>
          <w:sz w:val="28"/>
        </w:rPr>
        <w:t>др.), </w:t>
      </w:r>
      <w:r>
        <w:rPr>
          <w:i/>
          <w:sz w:val="28"/>
        </w:rPr>
        <w:t>что привело к улучшению липомобилизуючего </w:t>
      </w:r>
      <w:r>
        <w:rPr>
          <w:i/>
          <w:spacing w:val="-3"/>
          <w:sz w:val="28"/>
        </w:rPr>
        <w:t>действия </w:t>
      </w:r>
      <w:r>
        <w:rPr>
          <w:i/>
          <w:sz w:val="28"/>
        </w:rPr>
        <w:t>у животных опытной группы. На это указывает снижение триглицеридов и КФК. Это свидетельствует за уменьшение стрессовой реакции животных </w:t>
      </w:r>
      <w:r>
        <w:rPr>
          <w:i/>
          <w:spacing w:val="-3"/>
          <w:sz w:val="28"/>
        </w:rPr>
        <w:t>опытной </w:t>
      </w:r>
      <w:r>
        <w:rPr>
          <w:i/>
          <w:sz w:val="28"/>
        </w:rPr>
        <w:t>группы, а также улучшение функции мочевыделительной </w:t>
      </w:r>
      <w:r>
        <w:rPr>
          <w:i/>
          <w:spacing w:val="-3"/>
          <w:sz w:val="28"/>
        </w:rPr>
        <w:t>системы, </w:t>
      </w:r>
      <w:r>
        <w:rPr>
          <w:i/>
          <w:sz w:val="28"/>
        </w:rPr>
        <w:t>в частности почек. Надо отметить, что все вышеуказанные биохимические показатели крови колебались в пределах физиологических нормативных</w:t>
      </w:r>
      <w:r>
        <w:rPr>
          <w:i/>
          <w:spacing w:val="-12"/>
          <w:sz w:val="28"/>
        </w:rPr>
        <w:t> </w:t>
      </w:r>
      <w:r>
        <w:rPr>
          <w:i/>
          <w:sz w:val="28"/>
        </w:rPr>
        <w:t>значений.</w:t>
      </w:r>
    </w:p>
    <w:p>
      <w:pPr>
        <w:spacing w:before="2"/>
        <w:ind w:left="193" w:right="607" w:firstLine="710"/>
        <w:jc w:val="both"/>
        <w:rPr>
          <w:i/>
          <w:sz w:val="28"/>
        </w:rPr>
      </w:pPr>
      <w:r>
        <w:rPr>
          <w:b/>
          <w:i/>
          <w:sz w:val="28"/>
        </w:rPr>
        <w:t>Ключевые слова: </w:t>
      </w:r>
      <w:r>
        <w:rPr>
          <w:i/>
          <w:sz w:val="28"/>
        </w:rPr>
        <w:t>фитодобавки, «Кардиофил», «Фитохол», изоляционный </w:t>
      </w:r>
      <w:r>
        <w:rPr>
          <w:i/>
          <w:sz w:val="28"/>
        </w:rPr>
        <w:t>стресс, биохимические показатели.</w:t>
      </w:r>
    </w:p>
    <w:p>
      <w:pPr>
        <w:pStyle w:val="BodyText"/>
        <w:spacing w:before="4"/>
        <w:ind w:left="0"/>
        <w:jc w:val="left"/>
        <w:rPr>
          <w:i/>
        </w:rPr>
      </w:pPr>
    </w:p>
    <w:p>
      <w:pPr>
        <w:pStyle w:val="Heading1"/>
        <w:ind w:left="438" w:right="853" w:hanging="2"/>
      </w:pPr>
      <w:r>
        <w:rPr/>
        <w:t>THE INFLUENCE </w:t>
      </w:r>
      <w:r>
        <w:rPr>
          <w:spacing w:val="-3"/>
        </w:rPr>
        <w:t>OF </w:t>
      </w:r>
      <w:r>
        <w:rPr/>
        <w:t>FHYTOPREPARATION “CARDIOPHYL” </w:t>
      </w:r>
      <w:r>
        <w:rPr>
          <w:spacing w:val="-3"/>
        </w:rPr>
        <w:t>AND </w:t>
      </w:r>
      <w:r>
        <w:rPr/>
        <w:t>“PHYTOHOL”</w:t>
      </w:r>
      <w:r>
        <w:rPr>
          <w:spacing w:val="-15"/>
        </w:rPr>
        <w:t> </w:t>
      </w:r>
      <w:r>
        <w:rPr/>
        <w:t>ON</w:t>
      </w:r>
      <w:r>
        <w:rPr>
          <w:spacing w:val="-14"/>
        </w:rPr>
        <w:t> </w:t>
      </w:r>
      <w:r>
        <w:rPr/>
        <w:t>THE</w:t>
      </w:r>
      <w:r>
        <w:rPr>
          <w:spacing w:val="-14"/>
        </w:rPr>
        <w:t> </w:t>
      </w:r>
      <w:r>
        <w:rPr/>
        <w:t>BIOCHEMICAL</w:t>
      </w:r>
      <w:r>
        <w:rPr>
          <w:spacing w:val="-12"/>
        </w:rPr>
        <w:t> </w:t>
      </w:r>
      <w:r>
        <w:rPr/>
        <w:t>INDICES</w:t>
      </w:r>
      <w:r>
        <w:rPr>
          <w:spacing w:val="-17"/>
        </w:rPr>
        <w:t> </w:t>
      </w:r>
      <w:r>
        <w:rPr>
          <w:spacing w:val="-3"/>
        </w:rPr>
        <w:t>OF</w:t>
      </w:r>
      <w:r>
        <w:rPr>
          <w:spacing w:val="-16"/>
        </w:rPr>
        <w:t> </w:t>
      </w:r>
      <w:r>
        <w:rPr/>
        <w:t>BLOOD</w:t>
      </w:r>
      <w:r>
        <w:rPr>
          <w:spacing w:val="-15"/>
        </w:rPr>
        <w:t> </w:t>
      </w:r>
      <w:r>
        <w:rPr>
          <w:spacing w:val="-3"/>
        </w:rPr>
        <w:t>OF</w:t>
      </w:r>
      <w:r>
        <w:rPr>
          <w:spacing w:val="-12"/>
        </w:rPr>
        <w:t> </w:t>
      </w:r>
      <w:r>
        <w:rPr/>
        <w:t>CATS WITH ISOLATION</w:t>
      </w:r>
      <w:r>
        <w:rPr>
          <w:spacing w:val="-14"/>
        </w:rPr>
        <w:t> </w:t>
      </w:r>
      <w:r>
        <w:rPr/>
        <w:t>STRESS</w:t>
      </w:r>
    </w:p>
    <w:p>
      <w:pPr>
        <w:pStyle w:val="BodyText"/>
        <w:spacing w:line="316" w:lineRule="exact"/>
        <w:ind w:left="4370"/>
      </w:pPr>
      <w:r>
        <w:rPr/>
        <w:t>Lysenko A.</w:t>
      </w:r>
    </w:p>
    <w:p>
      <w:pPr>
        <w:spacing w:line="240" w:lineRule="auto" w:before="0"/>
        <w:ind w:left="193" w:right="601" w:firstLine="710"/>
        <w:jc w:val="both"/>
        <w:rPr>
          <w:i/>
          <w:sz w:val="28"/>
        </w:rPr>
      </w:pPr>
      <w:r>
        <w:rPr>
          <w:i/>
          <w:sz w:val="28"/>
        </w:rPr>
        <w:t>The article presents data on the study of the influence of the Cardiophil and </w:t>
      </w:r>
      <w:r>
        <w:rPr>
          <w:i/>
          <w:sz w:val="28"/>
        </w:rPr>
        <w:t>Phytohol</w:t>
      </w:r>
      <w:r>
        <w:rPr>
          <w:i/>
          <w:spacing w:val="-28"/>
          <w:sz w:val="28"/>
        </w:rPr>
        <w:t> </w:t>
      </w:r>
      <w:r>
        <w:rPr>
          <w:i/>
          <w:sz w:val="28"/>
        </w:rPr>
        <w:t>phyto-additives</w:t>
      </w:r>
      <w:r>
        <w:rPr>
          <w:i/>
          <w:spacing w:val="-26"/>
          <w:sz w:val="28"/>
        </w:rPr>
        <w:t> </w:t>
      </w:r>
      <w:r>
        <w:rPr>
          <w:i/>
          <w:sz w:val="28"/>
        </w:rPr>
        <w:t>on</w:t>
      </w:r>
      <w:r>
        <w:rPr>
          <w:i/>
          <w:spacing w:val="-27"/>
          <w:sz w:val="28"/>
        </w:rPr>
        <w:t> </w:t>
      </w:r>
      <w:r>
        <w:rPr>
          <w:i/>
          <w:sz w:val="28"/>
        </w:rPr>
        <w:t>the</w:t>
      </w:r>
      <w:r>
        <w:rPr>
          <w:i/>
          <w:spacing w:val="-27"/>
          <w:sz w:val="28"/>
        </w:rPr>
        <w:t> </w:t>
      </w:r>
      <w:r>
        <w:rPr>
          <w:i/>
          <w:sz w:val="28"/>
        </w:rPr>
        <w:t>biochemical</w:t>
      </w:r>
      <w:r>
        <w:rPr>
          <w:i/>
          <w:spacing w:val="-27"/>
          <w:sz w:val="28"/>
        </w:rPr>
        <w:t> </w:t>
      </w:r>
      <w:r>
        <w:rPr>
          <w:i/>
          <w:sz w:val="28"/>
        </w:rPr>
        <w:t>parameters</w:t>
      </w:r>
      <w:r>
        <w:rPr>
          <w:i/>
          <w:spacing w:val="-25"/>
          <w:sz w:val="28"/>
        </w:rPr>
        <w:t> </w:t>
      </w:r>
      <w:r>
        <w:rPr>
          <w:i/>
          <w:sz w:val="28"/>
        </w:rPr>
        <w:t>of</w:t>
      </w:r>
      <w:r>
        <w:rPr>
          <w:i/>
          <w:spacing w:val="-27"/>
          <w:sz w:val="28"/>
        </w:rPr>
        <w:t> </w:t>
      </w:r>
      <w:r>
        <w:rPr>
          <w:i/>
          <w:sz w:val="28"/>
        </w:rPr>
        <w:t>cats'</w:t>
      </w:r>
      <w:r>
        <w:rPr>
          <w:i/>
          <w:spacing w:val="-25"/>
          <w:sz w:val="28"/>
        </w:rPr>
        <w:t> </w:t>
      </w:r>
      <w:r>
        <w:rPr>
          <w:i/>
          <w:sz w:val="28"/>
        </w:rPr>
        <w:t>blood</w:t>
      </w:r>
      <w:r>
        <w:rPr>
          <w:i/>
          <w:spacing w:val="-27"/>
          <w:sz w:val="28"/>
        </w:rPr>
        <w:t> </w:t>
      </w:r>
      <w:r>
        <w:rPr>
          <w:i/>
          <w:sz w:val="28"/>
        </w:rPr>
        <w:t>under</w:t>
      </w:r>
      <w:r>
        <w:rPr>
          <w:i/>
          <w:spacing w:val="-26"/>
          <w:sz w:val="28"/>
        </w:rPr>
        <w:t> </w:t>
      </w:r>
      <w:r>
        <w:rPr>
          <w:i/>
          <w:sz w:val="28"/>
        </w:rPr>
        <w:t>conditions of isolation stress. It is established that </w:t>
      </w:r>
      <w:r>
        <w:rPr>
          <w:i/>
          <w:spacing w:val="-3"/>
          <w:sz w:val="28"/>
        </w:rPr>
        <w:t>in </w:t>
      </w:r>
      <w:r>
        <w:rPr>
          <w:i/>
          <w:sz w:val="28"/>
        </w:rPr>
        <w:t>stress conditions animals </w:t>
      </w:r>
      <w:r>
        <w:rPr>
          <w:i/>
          <w:spacing w:val="-3"/>
          <w:sz w:val="28"/>
        </w:rPr>
        <w:t>have </w:t>
      </w:r>
      <w:r>
        <w:rPr>
          <w:i/>
          <w:sz w:val="28"/>
        </w:rPr>
        <w:t>a stress reaction, which is accompanied by an increase in heart rate and respiratory rate, </w:t>
      </w:r>
      <w:r>
        <w:rPr>
          <w:i/>
          <w:spacing w:val="-3"/>
          <w:sz w:val="28"/>
        </w:rPr>
        <w:t>as well as </w:t>
      </w:r>
      <w:r>
        <w:rPr>
          <w:i/>
          <w:sz w:val="28"/>
        </w:rPr>
        <w:t>the development of hypertension, which causes post-loading on the cardiovascular system and subsequently leads </w:t>
      </w:r>
      <w:r>
        <w:rPr>
          <w:i/>
          <w:spacing w:val="-3"/>
          <w:sz w:val="28"/>
        </w:rPr>
        <w:t>to </w:t>
      </w:r>
      <w:r>
        <w:rPr>
          <w:i/>
          <w:sz w:val="28"/>
        </w:rPr>
        <w:t>changes in blood vessels and causes cardiovascular disease. vascular and pulmonary insufficiency, namely in cats blood increased urea </w:t>
      </w:r>
      <w:r>
        <w:rPr>
          <w:i/>
          <w:spacing w:val="-3"/>
          <w:sz w:val="28"/>
        </w:rPr>
        <w:t>by 26%, </w:t>
      </w:r>
      <w:r>
        <w:rPr>
          <w:i/>
          <w:sz w:val="28"/>
        </w:rPr>
        <w:t>creatinine </w:t>
      </w:r>
      <w:r>
        <w:rPr>
          <w:i/>
          <w:spacing w:val="-3"/>
          <w:sz w:val="28"/>
        </w:rPr>
        <w:t>by 11%, </w:t>
      </w:r>
      <w:r>
        <w:rPr>
          <w:i/>
          <w:sz w:val="28"/>
        </w:rPr>
        <w:t>total protein </w:t>
      </w:r>
      <w:r>
        <w:rPr>
          <w:i/>
          <w:spacing w:val="-3"/>
          <w:sz w:val="28"/>
        </w:rPr>
        <w:t>by 10.5%, </w:t>
      </w:r>
      <w:r>
        <w:rPr>
          <w:i/>
          <w:sz w:val="28"/>
        </w:rPr>
        <w:t>glucose </w:t>
      </w:r>
      <w:r>
        <w:rPr>
          <w:i/>
          <w:spacing w:val="-3"/>
          <w:sz w:val="28"/>
        </w:rPr>
        <w:t>by </w:t>
      </w:r>
      <w:r>
        <w:rPr>
          <w:i/>
          <w:spacing w:val="-4"/>
          <w:sz w:val="28"/>
        </w:rPr>
        <w:t>17.5%, </w:t>
      </w:r>
      <w:r>
        <w:rPr>
          <w:i/>
          <w:sz w:val="28"/>
        </w:rPr>
        <w:t>LDH (lactate dehydrogenase) by </w:t>
      </w:r>
      <w:r>
        <w:rPr>
          <w:i/>
          <w:spacing w:val="-3"/>
          <w:sz w:val="28"/>
        </w:rPr>
        <w:t>11.5%, at </w:t>
      </w:r>
      <w:r>
        <w:rPr>
          <w:i/>
          <w:sz w:val="28"/>
        </w:rPr>
        <w:t>the same time decreased the activity of enzymes ACAT </w:t>
      </w:r>
      <w:r>
        <w:rPr>
          <w:i/>
          <w:spacing w:val="-3"/>
          <w:sz w:val="28"/>
        </w:rPr>
        <w:t>by </w:t>
      </w:r>
      <w:r>
        <w:rPr>
          <w:i/>
          <w:spacing w:val="-5"/>
          <w:sz w:val="28"/>
        </w:rPr>
        <w:t>20%, </w:t>
      </w:r>
      <w:r>
        <w:rPr>
          <w:i/>
          <w:sz w:val="28"/>
        </w:rPr>
        <w:t>ALAT by </w:t>
      </w:r>
      <w:r>
        <w:rPr>
          <w:i/>
          <w:spacing w:val="-3"/>
          <w:sz w:val="28"/>
        </w:rPr>
        <w:t>9.4%, </w:t>
      </w:r>
      <w:r>
        <w:rPr>
          <w:i/>
          <w:sz w:val="28"/>
        </w:rPr>
        <w:t>alkali phosphatase 9% 9% creatine and tryhletsyrydiv</w:t>
      </w:r>
      <w:r>
        <w:rPr>
          <w:i/>
          <w:spacing w:val="-28"/>
          <w:sz w:val="28"/>
        </w:rPr>
        <w:t> </w:t>
      </w:r>
      <w:r>
        <w:rPr>
          <w:i/>
          <w:spacing w:val="-4"/>
          <w:sz w:val="28"/>
        </w:rPr>
        <w:t>9%,</w:t>
      </w:r>
      <w:r>
        <w:rPr>
          <w:i/>
          <w:spacing w:val="-18"/>
          <w:sz w:val="28"/>
        </w:rPr>
        <w:t> </w:t>
      </w:r>
      <w:r>
        <w:rPr>
          <w:i/>
          <w:sz w:val="28"/>
        </w:rPr>
        <w:t>3%</w:t>
      </w:r>
      <w:r>
        <w:rPr>
          <w:i/>
          <w:spacing w:val="-33"/>
          <w:sz w:val="28"/>
        </w:rPr>
        <w:t> </w:t>
      </w:r>
      <w:r>
        <w:rPr>
          <w:i/>
          <w:sz w:val="28"/>
        </w:rPr>
        <w:t>sodium.</w:t>
      </w:r>
      <w:r>
        <w:rPr>
          <w:i/>
          <w:spacing w:val="-26"/>
          <w:sz w:val="28"/>
        </w:rPr>
        <w:t> </w:t>
      </w:r>
      <w:r>
        <w:rPr>
          <w:i/>
          <w:sz w:val="28"/>
        </w:rPr>
        <w:t>Such</w:t>
      </w:r>
      <w:r>
        <w:rPr>
          <w:i/>
          <w:spacing w:val="-24"/>
          <w:sz w:val="28"/>
        </w:rPr>
        <w:t> </w:t>
      </w:r>
      <w:r>
        <w:rPr>
          <w:i/>
          <w:sz w:val="28"/>
        </w:rPr>
        <w:t>changes</w:t>
      </w:r>
      <w:r>
        <w:rPr>
          <w:i/>
          <w:spacing w:val="-23"/>
          <w:sz w:val="28"/>
        </w:rPr>
        <w:t> </w:t>
      </w:r>
      <w:r>
        <w:rPr>
          <w:i/>
          <w:spacing w:val="-3"/>
          <w:sz w:val="28"/>
        </w:rPr>
        <w:t>in</w:t>
      </w:r>
      <w:r>
        <w:rPr>
          <w:i/>
          <w:spacing w:val="-24"/>
          <w:sz w:val="28"/>
        </w:rPr>
        <w:t> </w:t>
      </w:r>
      <w:r>
        <w:rPr>
          <w:i/>
          <w:sz w:val="28"/>
        </w:rPr>
        <w:t>the</w:t>
      </w:r>
      <w:r>
        <w:rPr>
          <w:i/>
          <w:spacing w:val="-24"/>
          <w:sz w:val="28"/>
        </w:rPr>
        <w:t> </w:t>
      </w:r>
      <w:r>
        <w:rPr>
          <w:i/>
          <w:sz w:val="28"/>
        </w:rPr>
        <w:t>biochemical</w:t>
      </w:r>
      <w:r>
        <w:rPr>
          <w:i/>
          <w:spacing w:val="-28"/>
          <w:sz w:val="28"/>
        </w:rPr>
        <w:t> </w:t>
      </w:r>
      <w:r>
        <w:rPr>
          <w:i/>
          <w:sz w:val="28"/>
        </w:rPr>
        <w:t>parameters</w:t>
      </w:r>
      <w:r>
        <w:rPr>
          <w:i/>
          <w:spacing w:val="-22"/>
          <w:sz w:val="28"/>
        </w:rPr>
        <w:t> </w:t>
      </w:r>
      <w:r>
        <w:rPr>
          <w:i/>
          <w:sz w:val="28"/>
        </w:rPr>
        <w:t>of</w:t>
      </w:r>
      <w:r>
        <w:rPr>
          <w:i/>
          <w:spacing w:val="-28"/>
          <w:sz w:val="28"/>
        </w:rPr>
        <w:t> </w:t>
      </w:r>
      <w:r>
        <w:rPr>
          <w:i/>
          <w:sz w:val="28"/>
        </w:rPr>
        <w:t>the</w:t>
      </w:r>
      <w:r>
        <w:rPr>
          <w:i/>
          <w:spacing w:val="-24"/>
          <w:sz w:val="28"/>
        </w:rPr>
        <w:t> </w:t>
      </w:r>
      <w:r>
        <w:rPr>
          <w:i/>
          <w:sz w:val="28"/>
        </w:rPr>
        <w:t>blood are</w:t>
      </w:r>
      <w:r>
        <w:rPr>
          <w:i/>
          <w:spacing w:val="-24"/>
          <w:sz w:val="28"/>
        </w:rPr>
        <w:t> </w:t>
      </w:r>
      <w:r>
        <w:rPr>
          <w:i/>
          <w:sz w:val="28"/>
        </w:rPr>
        <w:t>explained</w:t>
      </w:r>
      <w:r>
        <w:rPr>
          <w:i/>
          <w:spacing w:val="-28"/>
          <w:sz w:val="28"/>
        </w:rPr>
        <w:t> </w:t>
      </w:r>
      <w:r>
        <w:rPr>
          <w:i/>
          <w:sz w:val="28"/>
        </w:rPr>
        <w:t>by</w:t>
      </w:r>
      <w:r>
        <w:rPr>
          <w:i/>
          <w:spacing w:val="-24"/>
          <w:sz w:val="28"/>
        </w:rPr>
        <w:t> </w:t>
      </w:r>
      <w:r>
        <w:rPr>
          <w:i/>
          <w:sz w:val="28"/>
        </w:rPr>
        <w:t>the</w:t>
      </w:r>
      <w:r>
        <w:rPr>
          <w:i/>
          <w:spacing w:val="-23"/>
          <w:sz w:val="28"/>
        </w:rPr>
        <w:t> </w:t>
      </w:r>
      <w:r>
        <w:rPr>
          <w:i/>
          <w:sz w:val="28"/>
        </w:rPr>
        <w:t>fact</w:t>
      </w:r>
      <w:r>
        <w:rPr>
          <w:i/>
          <w:spacing w:val="-24"/>
          <w:sz w:val="28"/>
        </w:rPr>
        <w:t> </w:t>
      </w:r>
      <w:r>
        <w:rPr>
          <w:i/>
          <w:sz w:val="28"/>
        </w:rPr>
        <w:t>that</w:t>
      </w:r>
      <w:r>
        <w:rPr>
          <w:i/>
          <w:spacing w:val="-24"/>
          <w:sz w:val="28"/>
        </w:rPr>
        <w:t> </w:t>
      </w:r>
      <w:r>
        <w:rPr>
          <w:i/>
          <w:sz w:val="28"/>
        </w:rPr>
        <w:t>the</w:t>
      </w:r>
      <w:r>
        <w:rPr>
          <w:i/>
          <w:spacing w:val="-24"/>
          <w:sz w:val="28"/>
        </w:rPr>
        <w:t> </w:t>
      </w:r>
      <w:r>
        <w:rPr>
          <w:i/>
          <w:sz w:val="28"/>
        </w:rPr>
        <w:t>adaptogenic</w:t>
      </w:r>
      <w:r>
        <w:rPr>
          <w:i/>
          <w:spacing w:val="-23"/>
          <w:sz w:val="28"/>
        </w:rPr>
        <w:t> </w:t>
      </w:r>
      <w:r>
        <w:rPr>
          <w:i/>
          <w:sz w:val="28"/>
        </w:rPr>
        <w:t>action</w:t>
      </w:r>
      <w:r>
        <w:rPr>
          <w:i/>
          <w:spacing w:val="-25"/>
          <w:sz w:val="28"/>
        </w:rPr>
        <w:t> </w:t>
      </w:r>
      <w:r>
        <w:rPr>
          <w:i/>
          <w:spacing w:val="-3"/>
          <w:sz w:val="28"/>
        </w:rPr>
        <w:t>of</w:t>
      </w:r>
      <w:r>
        <w:rPr>
          <w:i/>
          <w:spacing w:val="-24"/>
          <w:sz w:val="28"/>
        </w:rPr>
        <w:t> </w:t>
      </w:r>
      <w:r>
        <w:rPr>
          <w:i/>
          <w:sz w:val="28"/>
        </w:rPr>
        <w:t>the</w:t>
      </w:r>
      <w:r>
        <w:rPr>
          <w:i/>
          <w:spacing w:val="-27"/>
          <w:sz w:val="28"/>
        </w:rPr>
        <w:t> </w:t>
      </w:r>
      <w:r>
        <w:rPr>
          <w:i/>
          <w:sz w:val="28"/>
        </w:rPr>
        <w:t>phyto-additives</w:t>
      </w:r>
      <w:r>
        <w:rPr>
          <w:i/>
          <w:spacing w:val="-23"/>
          <w:sz w:val="28"/>
        </w:rPr>
        <w:t> </w:t>
      </w:r>
      <w:r>
        <w:rPr>
          <w:i/>
          <w:sz w:val="28"/>
        </w:rPr>
        <w:t>improved</w:t>
      </w:r>
      <w:r>
        <w:rPr>
          <w:i/>
          <w:spacing w:val="-24"/>
          <w:sz w:val="28"/>
        </w:rPr>
        <w:t> </w:t>
      </w:r>
      <w:r>
        <w:rPr>
          <w:i/>
          <w:sz w:val="28"/>
        </w:rPr>
        <w:t>the function </w:t>
      </w:r>
      <w:r>
        <w:rPr>
          <w:i/>
          <w:spacing w:val="-3"/>
          <w:sz w:val="28"/>
        </w:rPr>
        <w:t>of </w:t>
      </w:r>
      <w:r>
        <w:rPr>
          <w:i/>
          <w:sz w:val="28"/>
        </w:rPr>
        <w:t>the </w:t>
      </w:r>
      <w:r>
        <w:rPr>
          <w:i/>
          <w:spacing w:val="-3"/>
          <w:sz w:val="28"/>
        </w:rPr>
        <w:t>liver (Biloxinetic, </w:t>
      </w:r>
      <w:r>
        <w:rPr>
          <w:i/>
          <w:sz w:val="28"/>
        </w:rPr>
        <w:t>lipolytic, etc.), which led to a decrease in the lipomobilizing effect in the animals of the experimental group. </w:t>
      </w:r>
      <w:r>
        <w:rPr>
          <w:i/>
          <w:spacing w:val="-4"/>
          <w:sz w:val="28"/>
        </w:rPr>
        <w:t>This </w:t>
      </w:r>
      <w:r>
        <w:rPr>
          <w:i/>
          <w:spacing w:val="-3"/>
          <w:sz w:val="28"/>
        </w:rPr>
        <w:t>is </w:t>
      </w:r>
      <w:r>
        <w:rPr>
          <w:i/>
          <w:sz w:val="28"/>
        </w:rPr>
        <w:t>indicated </w:t>
      </w:r>
      <w:r>
        <w:rPr>
          <w:i/>
          <w:spacing w:val="-3"/>
          <w:sz w:val="28"/>
        </w:rPr>
        <w:t>by </w:t>
      </w:r>
      <w:r>
        <w:rPr>
          <w:i/>
          <w:sz w:val="28"/>
        </w:rPr>
        <w:t>a decrease in triglycerides and creatine phosphokinase. This indicates a decrease in</w:t>
      </w:r>
      <w:r>
        <w:rPr>
          <w:i/>
          <w:spacing w:val="-43"/>
          <w:sz w:val="28"/>
        </w:rPr>
        <w:t> </w:t>
      </w:r>
      <w:r>
        <w:rPr>
          <w:i/>
          <w:sz w:val="28"/>
        </w:rPr>
        <w:t>the stress</w:t>
      </w:r>
      <w:r>
        <w:rPr>
          <w:i/>
          <w:spacing w:val="-7"/>
          <w:sz w:val="28"/>
        </w:rPr>
        <w:t> </w:t>
      </w:r>
      <w:r>
        <w:rPr>
          <w:i/>
          <w:sz w:val="28"/>
        </w:rPr>
        <w:t>response</w:t>
      </w:r>
      <w:r>
        <w:rPr>
          <w:i/>
          <w:spacing w:val="-3"/>
          <w:sz w:val="28"/>
        </w:rPr>
        <w:t> </w:t>
      </w:r>
      <w:r>
        <w:rPr>
          <w:i/>
          <w:sz w:val="28"/>
        </w:rPr>
        <w:t>of</w:t>
      </w:r>
      <w:r>
        <w:rPr>
          <w:i/>
          <w:spacing w:val="-9"/>
          <w:sz w:val="28"/>
        </w:rPr>
        <w:t> </w:t>
      </w:r>
      <w:r>
        <w:rPr>
          <w:i/>
          <w:sz w:val="28"/>
        </w:rPr>
        <w:t>the</w:t>
      </w:r>
      <w:r>
        <w:rPr>
          <w:i/>
          <w:spacing w:val="-3"/>
          <w:sz w:val="28"/>
        </w:rPr>
        <w:t> </w:t>
      </w:r>
      <w:r>
        <w:rPr>
          <w:i/>
          <w:sz w:val="28"/>
        </w:rPr>
        <w:t>experimental</w:t>
      </w:r>
      <w:r>
        <w:rPr>
          <w:i/>
          <w:spacing w:val="-9"/>
          <w:sz w:val="28"/>
        </w:rPr>
        <w:t> </w:t>
      </w:r>
      <w:r>
        <w:rPr>
          <w:i/>
          <w:sz w:val="28"/>
        </w:rPr>
        <w:t>animals,</w:t>
      </w:r>
      <w:r>
        <w:rPr>
          <w:i/>
          <w:spacing w:val="-3"/>
          <w:sz w:val="28"/>
        </w:rPr>
        <w:t> as</w:t>
      </w:r>
      <w:r>
        <w:rPr>
          <w:i/>
          <w:spacing w:val="-2"/>
          <w:sz w:val="28"/>
        </w:rPr>
        <w:t> </w:t>
      </w:r>
      <w:r>
        <w:rPr>
          <w:i/>
          <w:spacing w:val="-3"/>
          <w:sz w:val="28"/>
        </w:rPr>
        <w:t>well</w:t>
      </w:r>
      <w:r>
        <w:rPr>
          <w:i/>
          <w:spacing w:val="-5"/>
          <w:sz w:val="28"/>
        </w:rPr>
        <w:t> </w:t>
      </w:r>
      <w:r>
        <w:rPr>
          <w:i/>
          <w:spacing w:val="-3"/>
          <w:sz w:val="28"/>
        </w:rPr>
        <w:t>as</w:t>
      </w:r>
      <w:r>
        <w:rPr>
          <w:i/>
          <w:spacing w:val="-2"/>
          <w:sz w:val="28"/>
        </w:rPr>
        <w:t> </w:t>
      </w:r>
      <w:r>
        <w:rPr>
          <w:i/>
          <w:sz w:val="28"/>
        </w:rPr>
        <w:t>an</w:t>
      </w:r>
      <w:r>
        <w:rPr>
          <w:i/>
          <w:spacing w:val="-9"/>
          <w:sz w:val="28"/>
        </w:rPr>
        <w:t> </w:t>
      </w:r>
      <w:r>
        <w:rPr>
          <w:i/>
          <w:sz w:val="28"/>
        </w:rPr>
        <w:t>improvement</w:t>
      </w:r>
      <w:r>
        <w:rPr>
          <w:i/>
          <w:spacing w:val="-4"/>
          <w:sz w:val="28"/>
        </w:rPr>
        <w:t> </w:t>
      </w:r>
      <w:r>
        <w:rPr>
          <w:i/>
          <w:sz w:val="28"/>
        </w:rPr>
        <w:t>in</w:t>
      </w:r>
      <w:r>
        <w:rPr>
          <w:i/>
          <w:spacing w:val="-8"/>
          <w:sz w:val="28"/>
        </w:rPr>
        <w:t> </w:t>
      </w:r>
      <w:r>
        <w:rPr>
          <w:i/>
          <w:sz w:val="28"/>
        </w:rPr>
        <w:t>the</w:t>
      </w:r>
      <w:r>
        <w:rPr>
          <w:i/>
          <w:spacing w:val="-8"/>
          <w:sz w:val="28"/>
        </w:rPr>
        <w:t> </w:t>
      </w:r>
      <w:r>
        <w:rPr>
          <w:i/>
          <w:sz w:val="28"/>
        </w:rPr>
        <w:t>function of the urinary system, in particular the </w:t>
      </w:r>
      <w:r>
        <w:rPr>
          <w:i/>
          <w:spacing w:val="-3"/>
          <w:sz w:val="28"/>
        </w:rPr>
        <w:t>kidneys. </w:t>
      </w:r>
      <w:r>
        <w:rPr>
          <w:i/>
          <w:sz w:val="28"/>
        </w:rPr>
        <w:t>It should </w:t>
      </w:r>
      <w:r>
        <w:rPr>
          <w:i/>
          <w:spacing w:val="-3"/>
          <w:sz w:val="28"/>
        </w:rPr>
        <w:t>be </w:t>
      </w:r>
      <w:r>
        <w:rPr>
          <w:i/>
          <w:sz w:val="28"/>
        </w:rPr>
        <w:t>noted that all the above biochemical</w:t>
      </w:r>
      <w:r>
        <w:rPr>
          <w:i/>
          <w:spacing w:val="-14"/>
          <w:sz w:val="28"/>
        </w:rPr>
        <w:t> </w:t>
      </w:r>
      <w:r>
        <w:rPr>
          <w:i/>
          <w:sz w:val="28"/>
        </w:rPr>
        <w:t>parameters</w:t>
      </w:r>
      <w:r>
        <w:rPr>
          <w:i/>
          <w:spacing w:val="-12"/>
          <w:sz w:val="28"/>
        </w:rPr>
        <w:t> </w:t>
      </w:r>
      <w:r>
        <w:rPr>
          <w:i/>
          <w:sz w:val="28"/>
        </w:rPr>
        <w:t>of</w:t>
      </w:r>
      <w:r>
        <w:rPr>
          <w:i/>
          <w:spacing w:val="-14"/>
          <w:sz w:val="28"/>
        </w:rPr>
        <w:t> </w:t>
      </w:r>
      <w:r>
        <w:rPr>
          <w:i/>
          <w:sz w:val="28"/>
        </w:rPr>
        <w:t>blood</w:t>
      </w:r>
      <w:r>
        <w:rPr>
          <w:i/>
          <w:spacing w:val="-13"/>
          <w:sz w:val="28"/>
        </w:rPr>
        <w:t> </w:t>
      </w:r>
      <w:r>
        <w:rPr>
          <w:i/>
          <w:sz w:val="28"/>
        </w:rPr>
        <w:t>fluctuated</w:t>
      </w:r>
      <w:r>
        <w:rPr>
          <w:i/>
          <w:spacing w:val="-17"/>
          <w:sz w:val="28"/>
        </w:rPr>
        <w:t> </w:t>
      </w:r>
      <w:r>
        <w:rPr>
          <w:i/>
          <w:sz w:val="28"/>
        </w:rPr>
        <w:t>within</w:t>
      </w:r>
      <w:r>
        <w:rPr>
          <w:i/>
          <w:spacing w:val="-9"/>
          <w:sz w:val="28"/>
        </w:rPr>
        <w:t> </w:t>
      </w:r>
      <w:r>
        <w:rPr>
          <w:i/>
          <w:sz w:val="28"/>
        </w:rPr>
        <w:t>physiological</w:t>
      </w:r>
      <w:r>
        <w:rPr>
          <w:i/>
          <w:spacing w:val="-14"/>
          <w:sz w:val="28"/>
        </w:rPr>
        <w:t> </w:t>
      </w:r>
      <w:r>
        <w:rPr>
          <w:i/>
          <w:sz w:val="28"/>
        </w:rPr>
        <w:t>normative</w:t>
      </w:r>
      <w:r>
        <w:rPr>
          <w:i/>
          <w:spacing w:val="-12"/>
          <w:sz w:val="28"/>
        </w:rPr>
        <w:t> </w:t>
      </w:r>
      <w:r>
        <w:rPr>
          <w:i/>
          <w:sz w:val="28"/>
        </w:rPr>
        <w:t>values.</w:t>
      </w:r>
    </w:p>
    <w:p>
      <w:pPr>
        <w:spacing w:before="4"/>
        <w:ind w:left="193" w:right="607" w:firstLine="710"/>
        <w:jc w:val="both"/>
        <w:rPr>
          <w:i/>
          <w:sz w:val="28"/>
        </w:rPr>
      </w:pPr>
      <w:r>
        <w:rPr>
          <w:b/>
          <w:i/>
          <w:sz w:val="28"/>
        </w:rPr>
        <w:t>Key</w:t>
      </w:r>
      <w:r>
        <w:rPr>
          <w:b/>
          <w:i/>
          <w:spacing w:val="-33"/>
          <w:sz w:val="28"/>
        </w:rPr>
        <w:t> </w:t>
      </w:r>
      <w:r>
        <w:rPr>
          <w:b/>
          <w:i/>
          <w:sz w:val="28"/>
        </w:rPr>
        <w:t>words:</w:t>
      </w:r>
      <w:r>
        <w:rPr>
          <w:b/>
          <w:i/>
          <w:spacing w:val="-29"/>
          <w:sz w:val="28"/>
        </w:rPr>
        <w:t> </w:t>
      </w:r>
      <w:r>
        <w:rPr>
          <w:i/>
          <w:sz w:val="28"/>
        </w:rPr>
        <w:t>herbal</w:t>
      </w:r>
      <w:r>
        <w:rPr>
          <w:i/>
          <w:spacing w:val="-34"/>
          <w:sz w:val="28"/>
        </w:rPr>
        <w:t> </w:t>
      </w:r>
      <w:r>
        <w:rPr>
          <w:i/>
          <w:sz w:val="28"/>
        </w:rPr>
        <w:t>supplements,</w:t>
      </w:r>
      <w:r>
        <w:rPr>
          <w:i/>
          <w:spacing w:val="-31"/>
          <w:sz w:val="28"/>
        </w:rPr>
        <w:t> </w:t>
      </w:r>
      <w:r>
        <w:rPr>
          <w:i/>
          <w:sz w:val="28"/>
        </w:rPr>
        <w:t>Cardiofil,</w:t>
      </w:r>
      <w:r>
        <w:rPr>
          <w:i/>
          <w:spacing w:val="-28"/>
          <w:sz w:val="28"/>
        </w:rPr>
        <w:t> </w:t>
      </w:r>
      <w:r>
        <w:rPr>
          <w:i/>
          <w:spacing w:val="-3"/>
          <w:sz w:val="28"/>
        </w:rPr>
        <w:t>Phytohol,</w:t>
      </w:r>
      <w:r>
        <w:rPr>
          <w:i/>
          <w:spacing w:val="-31"/>
          <w:sz w:val="28"/>
        </w:rPr>
        <w:t> </w:t>
      </w:r>
      <w:r>
        <w:rPr>
          <w:i/>
          <w:sz w:val="28"/>
        </w:rPr>
        <w:t>isolation</w:t>
      </w:r>
      <w:r>
        <w:rPr>
          <w:i/>
          <w:spacing w:val="-34"/>
          <w:sz w:val="28"/>
        </w:rPr>
        <w:t> </w:t>
      </w:r>
      <w:r>
        <w:rPr>
          <w:i/>
          <w:sz w:val="28"/>
        </w:rPr>
        <w:t>stress,</w:t>
      </w:r>
      <w:r>
        <w:rPr>
          <w:i/>
          <w:spacing w:val="-31"/>
          <w:sz w:val="28"/>
        </w:rPr>
        <w:t> </w:t>
      </w:r>
      <w:r>
        <w:rPr>
          <w:i/>
          <w:sz w:val="28"/>
        </w:rPr>
        <w:t>biochemical </w:t>
      </w:r>
      <w:r>
        <w:rPr>
          <w:i/>
          <w:sz w:val="28"/>
        </w:rPr>
        <w:t>parameters.</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left="250" w:right="0"/>
        <w:jc w:val="both"/>
      </w:pPr>
      <w:r>
        <w:rPr/>
        <w:t>УДК</w:t>
      </w:r>
      <w:r>
        <w:rPr>
          <w:spacing w:val="-2"/>
        </w:rPr>
        <w:t> </w:t>
      </w:r>
      <w:r>
        <w:rPr/>
        <w:t>636.2:618.591.11</w:t>
        <w:tab/>
        <w:t>DOI:</w:t>
      </w:r>
      <w:r>
        <w:rPr>
          <w:spacing w:val="-1"/>
        </w:rPr>
        <w:t> </w:t>
      </w:r>
      <w:r>
        <w:rPr/>
        <w:t>10.37000/abbsl.2020.96.05</w:t>
      </w:r>
    </w:p>
    <w:p>
      <w:pPr>
        <w:pStyle w:val="BodyText"/>
        <w:spacing w:before="2"/>
        <w:ind w:left="0"/>
        <w:jc w:val="left"/>
        <w:rPr>
          <w:b/>
          <w:sz w:val="24"/>
        </w:rPr>
      </w:pPr>
    </w:p>
    <w:p>
      <w:pPr>
        <w:spacing w:before="0"/>
        <w:ind w:left="242" w:right="603" w:firstLine="0"/>
        <w:jc w:val="center"/>
        <w:rPr>
          <w:b/>
          <w:sz w:val="28"/>
        </w:rPr>
      </w:pPr>
      <w:r>
        <w:rPr>
          <w:b/>
          <w:sz w:val="28"/>
        </w:rPr>
        <w:t>СТАН Т- і В- КЛІТИННОЇ ЛАНОК ІМУНІТЕТУ КОРІВ . ХВОРИХ НА СУБКЛІНІЧНУ ФОРМУ МАСТИТУ. ЗА ВИКОРИСТАННЯ</w:t>
      </w:r>
    </w:p>
    <w:p>
      <w:pPr>
        <w:spacing w:line="322" w:lineRule="exact" w:before="0"/>
        <w:ind w:left="232" w:right="603" w:firstLine="0"/>
        <w:jc w:val="center"/>
        <w:rPr>
          <w:b/>
          <w:sz w:val="28"/>
        </w:rPr>
      </w:pPr>
      <w:r>
        <w:rPr>
          <w:b/>
          <w:sz w:val="28"/>
        </w:rPr>
        <w:t>ЛІПОСОМАЛЬНОГО ПРЕПАРАТУ</w:t>
      </w:r>
    </w:p>
    <w:p>
      <w:pPr>
        <w:spacing w:line="319" w:lineRule="exact" w:before="0"/>
        <w:ind w:left="799" w:right="603" w:firstLine="0"/>
        <w:jc w:val="center"/>
        <w:rPr>
          <w:b/>
          <w:sz w:val="28"/>
        </w:rPr>
      </w:pPr>
      <w:r>
        <w:rPr>
          <w:b/>
          <w:sz w:val="28"/>
        </w:rPr>
        <w:t>В. Чепурна, Т. Супрович</w:t>
      </w:r>
    </w:p>
    <w:p>
      <w:pPr>
        <w:spacing w:line="319" w:lineRule="exact" w:before="0"/>
        <w:ind w:left="796" w:right="603" w:firstLine="0"/>
        <w:jc w:val="center"/>
        <w:rPr>
          <w:i/>
          <w:sz w:val="28"/>
        </w:rPr>
      </w:pPr>
      <w:r>
        <w:rPr>
          <w:i/>
          <w:sz w:val="28"/>
        </w:rPr>
        <w:t>Подільський державний аграрно-технічний університет</w:t>
      </w:r>
    </w:p>
    <w:p>
      <w:pPr>
        <w:pStyle w:val="Heading1"/>
        <w:spacing w:line="319" w:lineRule="exact" w:before="5"/>
        <w:ind w:left="797"/>
      </w:pPr>
      <w:r>
        <w:rPr/>
        <w:t>О. Віщур</w:t>
      </w:r>
    </w:p>
    <w:p>
      <w:pPr>
        <w:spacing w:line="319" w:lineRule="exact" w:before="0"/>
        <w:ind w:left="796" w:right="603" w:firstLine="0"/>
        <w:jc w:val="center"/>
        <w:rPr>
          <w:i/>
          <w:sz w:val="28"/>
        </w:rPr>
      </w:pPr>
      <w:r>
        <w:rPr>
          <w:sz w:val="28"/>
        </w:rPr>
        <w:t>²</w:t>
      </w:r>
      <w:r>
        <w:rPr>
          <w:i/>
          <w:sz w:val="28"/>
        </w:rPr>
        <w:t>Інститут біології тварин НААН</w:t>
      </w:r>
    </w:p>
    <w:p>
      <w:pPr>
        <w:pStyle w:val="Heading1"/>
        <w:spacing w:line="320" w:lineRule="exact" w:before="4"/>
        <w:ind w:left="798"/>
      </w:pPr>
      <w:r>
        <w:rPr/>
        <w:t>В. Мізик</w:t>
      </w:r>
    </w:p>
    <w:p>
      <w:pPr>
        <w:spacing w:line="320" w:lineRule="exact" w:before="0"/>
        <w:ind w:left="796" w:right="603" w:firstLine="0"/>
        <w:jc w:val="center"/>
        <w:rPr>
          <w:i/>
          <w:sz w:val="28"/>
        </w:rPr>
      </w:pPr>
      <w:r>
        <w:rPr>
          <w:i/>
          <w:sz w:val="28"/>
        </w:rPr>
        <w:t>Подільський державний аграрно-технічний університет</w:t>
      </w:r>
    </w:p>
    <w:p>
      <w:pPr>
        <w:pStyle w:val="BodyText"/>
        <w:spacing w:before="4"/>
        <w:ind w:left="0"/>
        <w:jc w:val="left"/>
        <w:rPr>
          <w:i/>
        </w:rPr>
      </w:pPr>
    </w:p>
    <w:p>
      <w:pPr>
        <w:spacing w:before="0"/>
        <w:ind w:left="250" w:right="616" w:firstLine="566"/>
        <w:jc w:val="both"/>
        <w:rPr>
          <w:i/>
          <w:sz w:val="28"/>
        </w:rPr>
      </w:pPr>
      <w:r>
        <w:rPr>
          <w:i/>
          <w:sz w:val="28"/>
        </w:rPr>
        <w:t>Наведено результати експериментальних досліджень впливу нового </w:t>
      </w:r>
      <w:r>
        <w:rPr>
          <w:i/>
          <w:sz w:val="28"/>
        </w:rPr>
        <w:t>комплексного ліпосомального препарату, виготовленого на основі рослинної сировини – звіробій продірявлений (Hypericum perforatum L.), на показники </w:t>
      </w:r>
      <w:r>
        <w:rPr>
          <w:i/>
          <w:spacing w:val="6"/>
          <w:sz w:val="28"/>
        </w:rPr>
        <w:t>Т- </w:t>
      </w:r>
      <w:r>
        <w:rPr>
          <w:i/>
          <w:sz w:val="28"/>
        </w:rPr>
        <w:t>і В-клітинної</w:t>
      </w:r>
      <w:r>
        <w:rPr>
          <w:i/>
          <w:spacing w:val="-11"/>
          <w:sz w:val="28"/>
        </w:rPr>
        <w:t> </w:t>
      </w:r>
      <w:r>
        <w:rPr>
          <w:i/>
          <w:sz w:val="28"/>
        </w:rPr>
        <w:t>ланок</w:t>
      </w:r>
      <w:r>
        <w:rPr>
          <w:i/>
          <w:spacing w:val="-10"/>
          <w:sz w:val="28"/>
        </w:rPr>
        <w:t> </w:t>
      </w:r>
      <w:r>
        <w:rPr>
          <w:i/>
          <w:sz w:val="28"/>
        </w:rPr>
        <w:t>імунітету</w:t>
      </w:r>
      <w:r>
        <w:rPr>
          <w:i/>
          <w:spacing w:val="-13"/>
          <w:sz w:val="28"/>
        </w:rPr>
        <w:t> </w:t>
      </w:r>
      <w:r>
        <w:rPr>
          <w:i/>
          <w:sz w:val="28"/>
        </w:rPr>
        <w:t>крові</w:t>
      </w:r>
      <w:r>
        <w:rPr>
          <w:i/>
          <w:spacing w:val="-15"/>
          <w:sz w:val="28"/>
        </w:rPr>
        <w:t> </w:t>
      </w:r>
      <w:r>
        <w:rPr>
          <w:i/>
          <w:sz w:val="28"/>
        </w:rPr>
        <w:t>корів,</w:t>
      </w:r>
      <w:r>
        <w:rPr>
          <w:i/>
          <w:spacing w:val="-8"/>
          <w:sz w:val="28"/>
        </w:rPr>
        <w:t> </w:t>
      </w:r>
      <w:r>
        <w:rPr>
          <w:i/>
          <w:sz w:val="28"/>
        </w:rPr>
        <w:t>хворих</w:t>
      </w:r>
      <w:r>
        <w:rPr>
          <w:i/>
          <w:spacing w:val="-13"/>
          <w:sz w:val="28"/>
        </w:rPr>
        <w:t> </w:t>
      </w:r>
      <w:r>
        <w:rPr>
          <w:i/>
          <w:sz w:val="28"/>
        </w:rPr>
        <w:t>на</w:t>
      </w:r>
      <w:r>
        <w:rPr>
          <w:i/>
          <w:spacing w:val="-14"/>
          <w:sz w:val="28"/>
        </w:rPr>
        <w:t> </w:t>
      </w:r>
      <w:r>
        <w:rPr>
          <w:i/>
          <w:sz w:val="28"/>
        </w:rPr>
        <w:t>субклінічну</w:t>
      </w:r>
      <w:r>
        <w:rPr>
          <w:i/>
          <w:spacing w:val="-13"/>
          <w:sz w:val="28"/>
        </w:rPr>
        <w:t> </w:t>
      </w:r>
      <w:r>
        <w:rPr>
          <w:i/>
          <w:sz w:val="28"/>
        </w:rPr>
        <w:t>форму</w:t>
      </w:r>
      <w:r>
        <w:rPr>
          <w:i/>
          <w:spacing w:val="-13"/>
          <w:sz w:val="28"/>
        </w:rPr>
        <w:t> </w:t>
      </w:r>
      <w:r>
        <w:rPr>
          <w:i/>
          <w:sz w:val="28"/>
        </w:rPr>
        <w:t>маститу. Встановлено, що у хворих корів на 3-тю добу після введення препарату спостерігали зростання загальної кількості </w:t>
      </w:r>
      <w:r>
        <w:rPr>
          <w:i/>
          <w:spacing w:val="3"/>
          <w:sz w:val="28"/>
        </w:rPr>
        <w:t>Т- </w:t>
      </w:r>
      <w:r>
        <w:rPr>
          <w:i/>
          <w:sz w:val="28"/>
        </w:rPr>
        <w:t>і В-лімфоцитів до рівня величин цього показника у клінічно здорових тварин. Загальна кількість Т-лімфоцитів (активних і теофілін-резистентних) і В-лімфоцитів у крові корів дослідної групи на 9-ту добу після введення препарату була більша (P&lt;0,05), ніж у контрольній. При цьому, кількість Тh-РУЛ і ЕАС-РУЛ з низькою щільністю рецепторів у крові корів дослідної групи була більша (Р&lt;0,01), а «нульових», недиференційованих у функціональному відношенні клітин – менша (Р&lt;0,01), порівняно до</w:t>
      </w:r>
      <w:r>
        <w:rPr>
          <w:i/>
          <w:spacing w:val="1"/>
          <w:sz w:val="28"/>
        </w:rPr>
        <w:t> </w:t>
      </w:r>
      <w:r>
        <w:rPr>
          <w:i/>
          <w:sz w:val="28"/>
        </w:rPr>
        <w:t>контролю.</w:t>
      </w:r>
    </w:p>
    <w:p>
      <w:pPr>
        <w:pStyle w:val="BodyText"/>
        <w:spacing w:before="1"/>
        <w:ind w:left="250" w:right="627" w:firstLine="566"/>
      </w:pPr>
      <w:r>
        <w:rPr>
          <w:b/>
        </w:rPr>
        <w:t>Ключові слова: </w:t>
      </w:r>
      <w:r>
        <w:rPr/>
        <w:t>велика рогата худоба, кров, субклінічний мастит, лейкоцити, Т- і В-лімфоцити, соматичні клітини.</w:t>
      </w:r>
    </w:p>
    <w:p>
      <w:pPr>
        <w:pStyle w:val="BodyText"/>
        <w:spacing w:before="11"/>
        <w:ind w:left="0"/>
        <w:jc w:val="left"/>
        <w:rPr>
          <w:sz w:val="27"/>
        </w:rPr>
      </w:pPr>
    </w:p>
    <w:p>
      <w:pPr>
        <w:pStyle w:val="BodyText"/>
        <w:ind w:left="250" w:right="612" w:firstLine="566"/>
      </w:pPr>
      <w:r>
        <w:rPr>
          <w:b/>
        </w:rPr>
        <w:t>Постановка проблеми та аналіз останніх досліджень. </w:t>
      </w:r>
      <w:r>
        <w:rPr/>
        <w:t>Молочне тваринництво є однією з провідних галузей сільськогосподарського виробництва, покликаного повністю задовольнити потреби людей в продуктах харчування тваринного походження. У зв'язку з цим велике значення надається якості виробленого молока [1, 2]. За останніх 20 років виробіток молока зріс на 131,6 млн. т. або 26,9 %. Середній річний надій на корову складає 8000 –10000 кг. Оцінка рівня захворюваності маститами в усьому світі за доступними літературними даними показує, що дана хвороба спостерігається у 48 корів з кожних</w:t>
      </w:r>
      <w:r>
        <w:rPr>
          <w:spacing w:val="-12"/>
        </w:rPr>
        <w:t> </w:t>
      </w:r>
      <w:r>
        <w:rPr/>
        <w:t>100</w:t>
      </w:r>
      <w:r>
        <w:rPr>
          <w:spacing w:val="-8"/>
        </w:rPr>
        <w:t> </w:t>
      </w:r>
      <w:r>
        <w:rPr/>
        <w:t>голів,</w:t>
      </w:r>
      <w:r>
        <w:rPr>
          <w:spacing w:val="-5"/>
        </w:rPr>
        <w:t> </w:t>
      </w:r>
      <w:r>
        <w:rPr/>
        <w:t>з</w:t>
      </w:r>
      <w:r>
        <w:rPr>
          <w:spacing w:val="-7"/>
        </w:rPr>
        <w:t> </w:t>
      </w:r>
      <w:r>
        <w:rPr/>
        <w:t>яких</w:t>
      </w:r>
      <w:r>
        <w:rPr>
          <w:spacing w:val="-7"/>
        </w:rPr>
        <w:t> </w:t>
      </w:r>
      <w:r>
        <w:rPr/>
        <w:t>у</w:t>
      </w:r>
      <w:r>
        <w:rPr>
          <w:spacing w:val="-12"/>
        </w:rPr>
        <w:t> </w:t>
      </w:r>
      <w:r>
        <w:rPr/>
        <w:t>39</w:t>
      </w:r>
      <w:r>
        <w:rPr>
          <w:spacing w:val="-8"/>
        </w:rPr>
        <w:t> </w:t>
      </w:r>
      <w:r>
        <w:rPr/>
        <w:t>виявляється</w:t>
      </w:r>
      <w:r>
        <w:rPr>
          <w:spacing w:val="-6"/>
        </w:rPr>
        <w:t> </w:t>
      </w:r>
      <w:r>
        <w:rPr/>
        <w:t>субклінічний</w:t>
      </w:r>
      <w:r>
        <w:rPr>
          <w:spacing w:val="-8"/>
        </w:rPr>
        <w:t> </w:t>
      </w:r>
      <w:r>
        <w:rPr/>
        <w:t>перебіг</w:t>
      </w:r>
      <w:r>
        <w:rPr>
          <w:spacing w:val="-7"/>
        </w:rPr>
        <w:t> </w:t>
      </w:r>
      <w:r>
        <w:rPr/>
        <w:t>захворювання,</w:t>
      </w:r>
      <w:r>
        <w:rPr>
          <w:spacing w:val="-6"/>
        </w:rPr>
        <w:t> </w:t>
      </w:r>
      <w:r>
        <w:rPr/>
        <w:t>а у</w:t>
      </w:r>
      <w:r>
        <w:rPr>
          <w:spacing w:val="-20"/>
        </w:rPr>
        <w:t> </w:t>
      </w:r>
      <w:r>
        <w:rPr/>
        <w:t>9</w:t>
      </w:r>
      <w:r>
        <w:rPr>
          <w:spacing w:val="-11"/>
        </w:rPr>
        <w:t> </w:t>
      </w:r>
      <w:r>
        <w:rPr/>
        <w:t>тварин</w:t>
      </w:r>
      <w:r>
        <w:rPr>
          <w:spacing w:val="-14"/>
        </w:rPr>
        <w:t> </w:t>
      </w:r>
      <w:r>
        <w:rPr/>
        <w:t>–</w:t>
      </w:r>
      <w:r>
        <w:rPr>
          <w:spacing w:val="-15"/>
        </w:rPr>
        <w:t> </w:t>
      </w:r>
      <w:r>
        <w:rPr/>
        <w:t>клінічний.</w:t>
      </w:r>
      <w:r>
        <w:rPr>
          <w:spacing w:val="-13"/>
        </w:rPr>
        <w:t> </w:t>
      </w:r>
      <w:r>
        <w:rPr/>
        <w:t>В</w:t>
      </w:r>
      <w:r>
        <w:rPr>
          <w:spacing w:val="-18"/>
        </w:rPr>
        <w:t> </w:t>
      </w:r>
      <w:r>
        <w:rPr/>
        <w:t>Європейському</w:t>
      </w:r>
      <w:r>
        <w:rPr>
          <w:spacing w:val="-15"/>
        </w:rPr>
        <w:t> </w:t>
      </w:r>
      <w:r>
        <w:rPr/>
        <w:t>Союзі</w:t>
      </w:r>
      <w:r>
        <w:rPr>
          <w:spacing w:val="-20"/>
        </w:rPr>
        <w:t> </w:t>
      </w:r>
      <w:r>
        <w:rPr/>
        <w:t>кількість</w:t>
      </w:r>
      <w:r>
        <w:rPr>
          <w:spacing w:val="-12"/>
        </w:rPr>
        <w:t> </w:t>
      </w:r>
      <w:r>
        <w:rPr/>
        <w:t>хворих</w:t>
      </w:r>
      <w:r>
        <w:rPr>
          <w:spacing w:val="-20"/>
        </w:rPr>
        <w:t> </w:t>
      </w:r>
      <w:r>
        <w:rPr/>
        <w:t>на</w:t>
      </w:r>
      <w:r>
        <w:rPr>
          <w:spacing w:val="-14"/>
        </w:rPr>
        <w:t> </w:t>
      </w:r>
      <w:r>
        <w:rPr/>
        <w:t>мастит</w:t>
      </w:r>
      <w:r>
        <w:rPr>
          <w:spacing w:val="-17"/>
        </w:rPr>
        <w:t> </w:t>
      </w:r>
      <w:r>
        <w:rPr/>
        <w:t>корів оцінюється в 6,9 млн. голів, що складає біля 30 % усього дійного стада </w:t>
      </w:r>
      <w:r>
        <w:rPr>
          <w:spacing w:val="3"/>
        </w:rPr>
        <w:t>[3, </w:t>
      </w:r>
      <w:r>
        <w:rPr/>
        <w:t>4]. За даними</w:t>
      </w:r>
      <w:r>
        <w:rPr>
          <w:spacing w:val="-14"/>
        </w:rPr>
        <w:t> </w:t>
      </w:r>
      <w:r>
        <w:rPr/>
        <w:t>вітчизняних</w:t>
      </w:r>
      <w:r>
        <w:rPr>
          <w:spacing w:val="-18"/>
        </w:rPr>
        <w:t> </w:t>
      </w:r>
      <w:r>
        <w:rPr/>
        <w:t>авторів,</w:t>
      </w:r>
      <w:r>
        <w:rPr>
          <w:spacing w:val="-12"/>
        </w:rPr>
        <w:t> </w:t>
      </w:r>
      <w:r>
        <w:rPr/>
        <w:t>захворювання</w:t>
      </w:r>
      <w:r>
        <w:rPr>
          <w:spacing w:val="-12"/>
        </w:rPr>
        <w:t> </w:t>
      </w:r>
      <w:r>
        <w:rPr/>
        <w:t>корів</w:t>
      </w:r>
      <w:r>
        <w:rPr>
          <w:spacing w:val="-16"/>
        </w:rPr>
        <w:t> </w:t>
      </w:r>
      <w:r>
        <w:rPr/>
        <w:t>на</w:t>
      </w:r>
      <w:r>
        <w:rPr>
          <w:spacing w:val="-13"/>
        </w:rPr>
        <w:t> </w:t>
      </w:r>
      <w:r>
        <w:rPr/>
        <w:t>мастит</w:t>
      </w:r>
      <w:r>
        <w:rPr>
          <w:spacing w:val="-15"/>
        </w:rPr>
        <w:t> </w:t>
      </w:r>
      <w:r>
        <w:rPr/>
        <w:t>охоплює</w:t>
      </w:r>
      <w:r>
        <w:rPr>
          <w:spacing w:val="-14"/>
        </w:rPr>
        <w:t> </w:t>
      </w:r>
      <w:r>
        <w:rPr/>
        <w:t>від</w:t>
      </w:r>
      <w:r>
        <w:rPr>
          <w:spacing w:val="-11"/>
        </w:rPr>
        <w:t> </w:t>
      </w:r>
      <w:r>
        <w:rPr/>
        <w:t>10</w:t>
      </w:r>
      <w:r>
        <w:rPr>
          <w:spacing w:val="-14"/>
        </w:rPr>
        <w:t> </w:t>
      </w:r>
      <w:r>
        <w:rPr/>
        <w:t>до</w:t>
      </w:r>
      <w:r>
        <w:rPr>
          <w:spacing w:val="-13"/>
        </w:rPr>
        <w:t> </w:t>
      </w:r>
      <w:r>
        <w:rPr/>
        <w:t>70</w:t>
      </w:r>
    </w:p>
    <w:p>
      <w:pPr>
        <w:pStyle w:val="BodyText"/>
        <w:spacing w:before="1"/>
        <w:ind w:left="250" w:right="619"/>
      </w:pPr>
      <w:r>
        <w:rPr/>
        <w:t>% поголів’я, а 8–16 % корів хворіють 2 рази і більше протягом лактації </w:t>
      </w:r>
      <w:r>
        <w:rPr>
          <w:spacing w:val="2"/>
        </w:rPr>
        <w:t>[5, </w:t>
      </w:r>
      <w:r>
        <w:rPr/>
        <w:t>6]. Виникнення маститу залежить не лише </w:t>
      </w:r>
      <w:r>
        <w:rPr>
          <w:spacing w:val="-3"/>
        </w:rPr>
        <w:t>від </w:t>
      </w:r>
      <w:r>
        <w:rPr/>
        <w:t>хвороботворного агенту та його потенційної здатності викликати патологічний процес, а й значною мірою від імунобіологічної реактивності організму тварини [7–10]. З даних літератури відомо, </w:t>
      </w:r>
      <w:r>
        <w:rPr>
          <w:spacing w:val="23"/>
        </w:rPr>
        <w:t> </w:t>
      </w:r>
      <w:r>
        <w:rPr/>
        <w:t>що </w:t>
      </w:r>
      <w:r>
        <w:rPr>
          <w:spacing w:val="21"/>
        </w:rPr>
        <w:t> </w:t>
      </w:r>
      <w:r>
        <w:rPr/>
        <w:t>за </w:t>
      </w:r>
      <w:r>
        <w:rPr>
          <w:spacing w:val="14"/>
        </w:rPr>
        <w:t> </w:t>
      </w:r>
      <w:r>
        <w:rPr/>
        <w:t>дії </w:t>
      </w:r>
      <w:r>
        <w:rPr>
          <w:spacing w:val="16"/>
        </w:rPr>
        <w:t> </w:t>
      </w:r>
      <w:r>
        <w:rPr/>
        <w:t>стрес-факторів </w:t>
      </w:r>
      <w:r>
        <w:rPr>
          <w:spacing w:val="24"/>
        </w:rPr>
        <w:t> </w:t>
      </w:r>
      <w:r>
        <w:rPr/>
        <w:t>у </w:t>
      </w:r>
      <w:r>
        <w:rPr>
          <w:spacing w:val="17"/>
        </w:rPr>
        <w:t> </w:t>
      </w:r>
      <w:r>
        <w:rPr/>
        <w:t>корів, </w:t>
      </w:r>
      <w:r>
        <w:rPr>
          <w:spacing w:val="24"/>
        </w:rPr>
        <w:t> </w:t>
      </w:r>
      <w:r>
        <w:rPr/>
        <w:t>хворих </w:t>
      </w:r>
      <w:r>
        <w:rPr>
          <w:spacing w:val="16"/>
        </w:rPr>
        <w:t> </w:t>
      </w:r>
      <w:r>
        <w:rPr/>
        <w:t>на </w:t>
      </w:r>
      <w:r>
        <w:rPr>
          <w:spacing w:val="23"/>
        </w:rPr>
        <w:t> </w:t>
      </w:r>
      <w:r>
        <w:rPr/>
        <w:t>мастит, </w:t>
      </w:r>
      <w:r>
        <w:rPr>
          <w:spacing w:val="23"/>
        </w:rPr>
        <w:t> </w:t>
      </w:r>
      <w:r>
        <w:rPr/>
        <w:t>зменшується</w:t>
      </w:r>
    </w:p>
    <w:p>
      <w:pPr>
        <w:spacing w:after="0"/>
        <w:sectPr>
          <w:pgSz w:w="11910" w:h="16840"/>
          <w:pgMar w:header="713" w:footer="778" w:top="1140" w:bottom="960" w:left="940" w:right="520"/>
        </w:sectPr>
      </w:pPr>
    </w:p>
    <w:p>
      <w:pPr>
        <w:pStyle w:val="BodyText"/>
        <w:spacing w:before="92"/>
        <w:ind w:left="250" w:right="611"/>
      </w:pPr>
      <w:r>
        <w:rPr/>
        <w:t>кількість лімфоцитів у крові й підвищується рівень кортизолу в плазмі крові [5, 6]. При лікуванні хворих корів у більшості випадків перевага надається застосуванню антибіотиків і сульфаніламідних препаратів шляхом інтрацистернального введення. Найбільш негативним наслідком застосування антибіотиків при лікуванні корів хворих на мастит, є наявність їх залишків у збірному молоці, що погіршує його технологічні властивості та шкодить здоров'ю людей [7]. З огляду на це за останні роки значно розширились наукові дослідження з використання ліпосомальних препаратів, які у своєму складі не містять антибіотиків, сприяють профілактиці рецидиву захворювання, та максимальному відновленню молочної продуктивності [17, 18]. Ліпосоми – сферичні ліпідні везикули, що зазвичай містять різні фосфоліпіди, специфічні глікопептиди, а також холестерин, який є стероїдним компонентом практично всіх клітинних мембран [11]. Ліпосоми отримують з природних ліпідів, і тому вони нетоксичні, не викликають небажаних імунних реакцій, підлягають біологічній деградації, тобто руйнуються під дією звичайних ензимів, які присутні в організмі і тому їх можна вважати ідеальними переносниками лікарських препаратів [11–13]. Незважаючи на наявність у літературі значної кількості наукових праць, присвячених вивченню етіології, патогенезу, профілактиці та лікуванню різних форм маститів у корів, залишається ще маловивченим питання біохімічних особливостей імунобіологічної реактивності корів, хворих на мастит, за умов застосування нових комплексних ліпосомальних препаратів, які володіють імуномодулюючими властивостями і не містять антибіотиків.</w:t>
      </w:r>
    </w:p>
    <w:p>
      <w:pPr>
        <w:pStyle w:val="BodyText"/>
        <w:spacing w:before="3"/>
        <w:ind w:left="250" w:right="622" w:firstLine="566"/>
      </w:pPr>
      <w:r>
        <w:rPr>
          <w:b/>
        </w:rPr>
        <w:t>Мета дослідження </w:t>
      </w:r>
      <w:r>
        <w:rPr/>
        <w:t>полягала у з’ясуванні дії нового комплексного ліпосомального препарату, розробленого Інститутом біології тварин НААН, на кількість і функціональну активність Т- і В-лімфоцитів крові корів, хворих на субклінічну форму маститу.</w:t>
      </w:r>
    </w:p>
    <w:p>
      <w:pPr>
        <w:pStyle w:val="BodyText"/>
        <w:ind w:left="250" w:right="614" w:firstLine="566"/>
      </w:pPr>
      <w:r>
        <w:rPr>
          <w:b/>
        </w:rPr>
        <w:t>Матеріали і методи досліджень. </w:t>
      </w:r>
      <w:r>
        <w:rPr/>
        <w:t>Експериментальні дослідження проведено у ТОВ «Лани Віньковеччини» Хмельницької області, на двох групах корів,</w:t>
      </w:r>
      <w:r>
        <w:rPr>
          <w:spacing w:val="-13"/>
        </w:rPr>
        <w:t> </w:t>
      </w:r>
      <w:r>
        <w:rPr/>
        <w:t>які</w:t>
      </w:r>
      <w:r>
        <w:rPr>
          <w:spacing w:val="-20"/>
        </w:rPr>
        <w:t> </w:t>
      </w:r>
      <w:r>
        <w:rPr/>
        <w:t>за</w:t>
      </w:r>
      <w:r>
        <w:rPr>
          <w:spacing w:val="-13"/>
        </w:rPr>
        <w:t> </w:t>
      </w:r>
      <w:r>
        <w:rPr/>
        <w:t>принципом</w:t>
      </w:r>
      <w:r>
        <w:rPr>
          <w:spacing w:val="-14"/>
        </w:rPr>
        <w:t> </w:t>
      </w:r>
      <w:r>
        <w:rPr/>
        <w:t>аналогів</w:t>
      </w:r>
      <w:r>
        <w:rPr>
          <w:spacing w:val="-17"/>
        </w:rPr>
        <w:t> </w:t>
      </w:r>
      <w:r>
        <w:rPr/>
        <w:t>були</w:t>
      </w:r>
      <w:r>
        <w:rPr>
          <w:spacing w:val="-15"/>
        </w:rPr>
        <w:t> </w:t>
      </w:r>
      <w:r>
        <w:rPr/>
        <w:t>розділені</w:t>
      </w:r>
      <w:r>
        <w:rPr>
          <w:spacing w:val="-20"/>
        </w:rPr>
        <w:t> </w:t>
      </w:r>
      <w:r>
        <w:rPr/>
        <w:t>на</w:t>
      </w:r>
      <w:r>
        <w:rPr>
          <w:spacing w:val="-9"/>
        </w:rPr>
        <w:t> </w:t>
      </w:r>
      <w:r>
        <w:rPr/>
        <w:t>контрольну</w:t>
      </w:r>
      <w:r>
        <w:rPr>
          <w:spacing w:val="-20"/>
        </w:rPr>
        <w:t> </w:t>
      </w:r>
      <w:r>
        <w:rPr/>
        <w:t>(здорові</w:t>
      </w:r>
      <w:r>
        <w:rPr>
          <w:spacing w:val="-19"/>
        </w:rPr>
        <w:t> </w:t>
      </w:r>
      <w:r>
        <w:rPr/>
        <w:t>тварини) та дослідну групи (з ознаками субклінічного маститу) по 10 тварин у кожній. Для визначення здорової та ураженої чверті вим’я використовували каліфорнійський маститний тест </w:t>
      </w:r>
      <w:r>
        <w:rPr>
          <w:spacing w:val="3"/>
        </w:rPr>
        <w:t>[12, </w:t>
      </w:r>
      <w:r>
        <w:rPr/>
        <w:t>15]. Коровам дослідної групи інтрацистернально в уражені чверті вимені тричі з інтервалом 24 години вводили ліпосомальний препарат – перша доба 10 см³, наступні дві доби 5 см³. У здорові чверті молочної залози профілактично вводили половину лікувальної дози. Перед застосуванням препарату з усіх чвертей вимені видоювали молоко та продезінфіковували дійку. Після введення препарату проводили масаж молочної залози для його рівномірного розподілу. Корови були переведені на ручне доїння. Новий комплексний ліпосомальний препарат містить у своєму складі: витяжку </w:t>
      </w:r>
      <w:r>
        <w:rPr>
          <w:spacing w:val="-3"/>
        </w:rPr>
        <w:t>із </w:t>
      </w:r>
      <w:r>
        <w:rPr/>
        <w:t>звіробою продірявленого, вітаміни </w:t>
      </w:r>
      <w:r>
        <w:rPr>
          <w:spacing w:val="-3"/>
        </w:rPr>
        <w:t>А, </w:t>
      </w:r>
      <w:r>
        <w:rPr/>
        <w:t>D</w:t>
      </w:r>
      <w:r>
        <w:rPr>
          <w:vertAlign w:val="subscript"/>
        </w:rPr>
        <w:t>3</w:t>
      </w:r>
      <w:r>
        <w:rPr>
          <w:vertAlign w:val="baseline"/>
        </w:rPr>
        <w:t>, Е, лецитин, твін – це антибактеріальний препарат, активний щодо грампозитивних бактерій, в тому числі таких </w:t>
      </w:r>
      <w:r>
        <w:rPr>
          <w:spacing w:val="3"/>
          <w:vertAlign w:val="baseline"/>
        </w:rPr>
        <w:t>як </w:t>
      </w:r>
      <w:r>
        <w:rPr>
          <w:i/>
          <w:vertAlign w:val="baseline"/>
        </w:rPr>
        <w:t>Streptococcus pyogenes </w:t>
      </w:r>
      <w:r>
        <w:rPr>
          <w:vertAlign w:val="baseline"/>
        </w:rPr>
        <w:t>и </w:t>
      </w:r>
      <w:r>
        <w:rPr>
          <w:i/>
          <w:vertAlign w:val="baseline"/>
        </w:rPr>
        <w:t>Streptococcus agalactiae</w:t>
      </w:r>
      <w:r>
        <w:rPr>
          <w:vertAlign w:val="baseline"/>
        </w:rPr>
        <w:t>. Протизапальну дію обумовлено наявністю в препараті флавоноїдів.</w:t>
      </w:r>
      <w:r>
        <w:rPr>
          <w:spacing w:val="26"/>
          <w:vertAlign w:val="baseline"/>
        </w:rPr>
        <w:t> </w:t>
      </w:r>
      <w:r>
        <w:rPr>
          <w:vertAlign w:val="baseline"/>
        </w:rPr>
        <w:t>Має</w:t>
      </w:r>
    </w:p>
    <w:p>
      <w:pPr>
        <w:spacing w:after="0"/>
        <w:sectPr>
          <w:pgSz w:w="11910" w:h="16840"/>
          <w:pgMar w:header="713" w:footer="778" w:top="1140" w:bottom="960" w:left="940" w:right="520"/>
        </w:sectPr>
      </w:pPr>
    </w:p>
    <w:p>
      <w:pPr>
        <w:pStyle w:val="BodyText"/>
        <w:spacing w:before="92"/>
        <w:ind w:left="250" w:right="611"/>
      </w:pPr>
      <w:r>
        <w:rPr/>
        <w:t>здатність загоювати поверхню рани і стимулює регенерацію тканин. Кров для проведення</w:t>
      </w:r>
      <w:r>
        <w:rPr>
          <w:spacing w:val="-9"/>
        </w:rPr>
        <w:t> </w:t>
      </w:r>
      <w:r>
        <w:rPr/>
        <w:t>імунологічних</w:t>
      </w:r>
      <w:r>
        <w:rPr>
          <w:spacing w:val="-19"/>
        </w:rPr>
        <w:t> </w:t>
      </w:r>
      <w:r>
        <w:rPr/>
        <w:t>досліджень</w:t>
      </w:r>
      <w:r>
        <w:rPr>
          <w:spacing w:val="-15"/>
        </w:rPr>
        <w:t> </w:t>
      </w:r>
      <w:r>
        <w:rPr/>
        <w:t>у</w:t>
      </w:r>
      <w:r>
        <w:rPr>
          <w:spacing w:val="-13"/>
        </w:rPr>
        <w:t> </w:t>
      </w:r>
      <w:r>
        <w:rPr/>
        <w:t>корів</w:t>
      </w:r>
      <w:r>
        <w:rPr>
          <w:spacing w:val="-11"/>
        </w:rPr>
        <w:t> </w:t>
      </w:r>
      <w:r>
        <w:rPr/>
        <w:t>відбирали</w:t>
      </w:r>
      <w:r>
        <w:rPr>
          <w:spacing w:val="-14"/>
        </w:rPr>
        <w:t> </w:t>
      </w:r>
      <w:r>
        <w:rPr/>
        <w:t>до</w:t>
      </w:r>
      <w:r>
        <w:rPr>
          <w:spacing w:val="-13"/>
        </w:rPr>
        <w:t> </w:t>
      </w:r>
      <w:r>
        <w:rPr/>
        <w:t>ранішньої</w:t>
      </w:r>
      <w:r>
        <w:rPr>
          <w:spacing w:val="-18"/>
        </w:rPr>
        <w:t> </w:t>
      </w:r>
      <w:r>
        <w:rPr/>
        <w:t>годівлі</w:t>
      </w:r>
      <w:r>
        <w:rPr>
          <w:spacing w:val="-18"/>
        </w:rPr>
        <w:t> </w:t>
      </w:r>
      <w:r>
        <w:rPr/>
        <w:t>на 1-шу добу (перед введенням препарату) і на 3-тю та 9-ту доби після його застосування. У стабілізованій гепарином крові визначали загальну кількість лейкоцитів, Т-лімфоцитів (Е-РУЛ) – у реакції спонтанного розеткоутворення з еритроцитами</w:t>
      </w:r>
      <w:r>
        <w:rPr>
          <w:spacing w:val="-8"/>
        </w:rPr>
        <w:t> </w:t>
      </w:r>
      <w:r>
        <w:rPr/>
        <w:t>барана</w:t>
      </w:r>
      <w:r>
        <w:rPr>
          <w:spacing w:val="-8"/>
        </w:rPr>
        <w:t> </w:t>
      </w:r>
      <w:r>
        <w:rPr/>
        <w:t>(Jondal</w:t>
      </w:r>
      <w:r>
        <w:rPr>
          <w:spacing w:val="-13"/>
        </w:rPr>
        <w:t> </w:t>
      </w:r>
      <w:r>
        <w:rPr/>
        <w:t>M.</w:t>
      </w:r>
      <w:r>
        <w:rPr>
          <w:spacing w:val="-6"/>
        </w:rPr>
        <w:t> </w:t>
      </w:r>
      <w:r>
        <w:rPr/>
        <w:t>et</w:t>
      </w:r>
      <w:r>
        <w:rPr>
          <w:spacing w:val="-8"/>
        </w:rPr>
        <w:t> </w:t>
      </w:r>
      <w:r>
        <w:rPr/>
        <w:t>al.,</w:t>
      </w:r>
      <w:r>
        <w:rPr>
          <w:spacing w:val="-6"/>
        </w:rPr>
        <w:t> </w:t>
      </w:r>
      <w:r>
        <w:rPr/>
        <w:t>1972)</w:t>
      </w:r>
      <w:r>
        <w:rPr>
          <w:spacing w:val="-10"/>
        </w:rPr>
        <w:t> </w:t>
      </w:r>
      <w:r>
        <w:rPr/>
        <w:t>у</w:t>
      </w:r>
      <w:r>
        <w:rPr>
          <w:spacing w:val="-12"/>
        </w:rPr>
        <w:t> </w:t>
      </w:r>
      <w:r>
        <w:rPr/>
        <w:t>модифікації</w:t>
      </w:r>
      <w:r>
        <w:rPr>
          <w:spacing w:val="-13"/>
        </w:rPr>
        <w:t> </w:t>
      </w:r>
      <w:r>
        <w:rPr/>
        <w:t>О.</w:t>
      </w:r>
      <w:r>
        <w:rPr>
          <w:spacing w:val="7"/>
        </w:rPr>
        <w:t> </w:t>
      </w:r>
      <w:r>
        <w:rPr/>
        <w:t>І.</w:t>
      </w:r>
      <w:r>
        <w:rPr>
          <w:spacing w:val="-1"/>
        </w:rPr>
        <w:t> </w:t>
      </w:r>
      <w:r>
        <w:rPr/>
        <w:t>Віщур</w:t>
      </w:r>
      <w:r>
        <w:rPr>
          <w:spacing w:val="-8"/>
        </w:rPr>
        <w:t> </w:t>
      </w:r>
      <w:r>
        <w:rPr>
          <w:spacing w:val="2"/>
        </w:rPr>
        <w:t>зі</w:t>
      </w:r>
      <w:r>
        <w:rPr>
          <w:spacing w:val="-13"/>
        </w:rPr>
        <w:t> </w:t>
      </w:r>
      <w:r>
        <w:rPr/>
        <w:t>співавт. (2008),</w:t>
      </w:r>
      <w:r>
        <w:rPr>
          <w:spacing w:val="-15"/>
        </w:rPr>
        <w:t> </w:t>
      </w:r>
      <w:r>
        <w:rPr/>
        <w:t>їх</w:t>
      </w:r>
      <w:r>
        <w:rPr>
          <w:spacing w:val="-26"/>
        </w:rPr>
        <w:t> </w:t>
      </w:r>
      <w:r>
        <w:rPr/>
        <w:t>субпопуляції</w:t>
      </w:r>
      <w:r>
        <w:rPr>
          <w:spacing w:val="-21"/>
        </w:rPr>
        <w:t> </w:t>
      </w:r>
      <w:r>
        <w:rPr/>
        <w:t>–</w:t>
      </w:r>
      <w:r>
        <w:rPr>
          <w:spacing w:val="-21"/>
        </w:rPr>
        <w:t> </w:t>
      </w:r>
      <w:r>
        <w:rPr/>
        <w:t>Т-хелпери</w:t>
      </w:r>
      <w:r>
        <w:rPr>
          <w:spacing w:val="-17"/>
        </w:rPr>
        <w:t> </w:t>
      </w:r>
      <w:r>
        <w:rPr/>
        <w:t>(ТФР</w:t>
      </w:r>
      <w:r>
        <w:rPr>
          <w:spacing w:val="-18"/>
        </w:rPr>
        <w:t> </w:t>
      </w:r>
      <w:r>
        <w:rPr/>
        <w:t>Т-лімфоцити;</w:t>
      </w:r>
      <w:r>
        <w:rPr>
          <w:spacing w:val="-21"/>
        </w:rPr>
        <w:t> </w:t>
      </w:r>
      <w:r>
        <w:rPr/>
        <w:t>Суровас</w:t>
      </w:r>
      <w:r>
        <w:rPr>
          <w:spacing w:val="-20"/>
        </w:rPr>
        <w:t> </w:t>
      </w:r>
      <w:r>
        <w:rPr/>
        <w:t>В.</w:t>
      </w:r>
      <w:r>
        <w:rPr>
          <w:spacing w:val="-19"/>
        </w:rPr>
        <w:t> </w:t>
      </w:r>
      <w:r>
        <w:rPr/>
        <w:t>М.</w:t>
      </w:r>
      <w:r>
        <w:rPr>
          <w:spacing w:val="-19"/>
        </w:rPr>
        <w:t> </w:t>
      </w:r>
      <w:r>
        <w:rPr>
          <w:spacing w:val="2"/>
        </w:rPr>
        <w:t>зі</w:t>
      </w:r>
      <w:r>
        <w:rPr>
          <w:spacing w:val="-26"/>
        </w:rPr>
        <w:t> </w:t>
      </w:r>
      <w:r>
        <w:rPr/>
        <w:t>співавт., 1980); кількість «активних» Т-РУЛ (Wansbrough-Jones М. et al., 1979); кількість Т-клітин з переважно супресорною активністю (ТФЧ; Т-лімфоцити) — шляхом віднімання числа теофілінрезистентних Т-клітин (ТФР) від загальної кількості Т-лімфоцитів, В-лімфоцити (ЕАС-РУЛ) – у реакції комплементарного розеткоутворення з еритроцитами барана (Чернушенко Е. Ф. зі співавт., 1979). При підрахунку кількості Т- і В-лімфоцитів та їх регуляторних субпопуляцій на фіксованих і фарбованих мазках крові визначали лімфоцити </w:t>
      </w:r>
      <w:r>
        <w:rPr>
          <w:spacing w:val="-3"/>
        </w:rPr>
        <w:t>із </w:t>
      </w:r>
      <w:r>
        <w:rPr/>
        <w:t>низькою </w:t>
      </w:r>
      <w:r>
        <w:rPr>
          <w:spacing w:val="2"/>
        </w:rPr>
        <w:t>(3–5) </w:t>
      </w:r>
      <w:r>
        <w:rPr/>
        <w:t>і середньою (6–10) щільністю рецепторів, а також недиференційовані у функціональному відношенні лімфоцити. Одержані дані опрацьовано методами тривіальної статистики програмного пакету Microsoft</w:t>
      </w:r>
      <w:r>
        <w:rPr>
          <w:spacing w:val="-10"/>
        </w:rPr>
        <w:t> </w:t>
      </w:r>
      <w:r>
        <w:rPr/>
        <w:t>Excel.</w:t>
      </w:r>
    </w:p>
    <w:p>
      <w:pPr>
        <w:pStyle w:val="BodyText"/>
        <w:ind w:left="250" w:right="618" w:firstLine="566"/>
      </w:pPr>
      <w:r>
        <w:rPr>
          <w:b/>
        </w:rPr>
        <w:t>Результати досліджень. </w:t>
      </w:r>
      <w:r>
        <w:rPr/>
        <w:t>Важливе значення при визначенні імунного статусу організму має вивчення кількісного складу Т- і В-лімфоцитів, як провідних імунокомпетентних клітин крові, оскільки вони характеризують рівень захисних сил організму тварин, стан специфічного імунітету та зберігають чутливість до антигенів збудника хвороби навіть при прихованій формі перебігу [14]. Результати досліджень кількості лейкоцитів, Т- і В- лімфоцитів у периферичній крові корів наведені у табл.1. Встановлено, що захворювання корів на субклінічний мастит призводить до зростання кількості лейкоцитів у крові. Зокрема у хворих корів кількість лейкоцитів до введення і на 3-тю добу після введення досліджуваного препарату була відповідно на 45,2</w:t>
      </w:r>
    </w:p>
    <w:p>
      <w:pPr>
        <w:pStyle w:val="BodyText"/>
        <w:spacing w:before="2"/>
        <w:ind w:left="250" w:right="611"/>
      </w:pPr>
      <w:r>
        <w:rPr/>
        <w:t>% (Р&lt;0,01) і 34,2 % (Р&lt;0,05) більша, </w:t>
      </w:r>
      <w:r>
        <w:rPr>
          <w:spacing w:val="-3"/>
        </w:rPr>
        <w:t>ніж </w:t>
      </w:r>
      <w:r>
        <w:rPr/>
        <w:t>у клінічно здорових тварин. При</w:t>
      </w:r>
      <w:r>
        <w:rPr>
          <w:spacing w:val="-37"/>
        </w:rPr>
        <w:t> </w:t>
      </w:r>
      <w:r>
        <w:rPr/>
        <w:t>цьому у хворих корів констатовано зменшення кількості </w:t>
      </w:r>
      <w:r>
        <w:rPr>
          <w:spacing w:val="3"/>
        </w:rPr>
        <w:t>Т- </w:t>
      </w:r>
      <w:r>
        <w:rPr/>
        <w:t>і В-лімфоцитів у периферичній крові. Зокрема, у корів з субклінічним маститом зафіксовано зменшення (Р&lt;0,05) кількості Т-лімфоцитів (загальних і теофілінрезистентних), що спричинило зниження (Р&lt;0,05) імунорегуляторного індексу. Щодо ступеня диференціації вказаних імунокомпетентних клітин, то зміни їх кількості у крові хворих корів відбувалися на тлі зменшення (45,2±1,02 (%) проти 50,2±1,74 (%), (Р&lt;0,05)) ТЕ-РУЛ </w:t>
      </w:r>
      <w:r>
        <w:rPr>
          <w:spacing w:val="-3"/>
        </w:rPr>
        <w:t>із </w:t>
      </w:r>
      <w:r>
        <w:rPr/>
        <w:t>низькою щільністю рецепторів і збільшення «нульових», недиференційованих у функціональному відношенні загальних і теофілінрезистентних Т-лімфоцитів (41,6±1,47(%) проти 37,2±0,62 (%), (Р&lt;0,05)). Подібні зміни виявлено при дослідженні кількості ТА-РУЛ і антигензв’язуючих В-лімфоцитів крові. Проте різниці порівняно до контролю були не</w:t>
      </w:r>
      <w:r>
        <w:rPr>
          <w:spacing w:val="2"/>
        </w:rPr>
        <w:t> </w:t>
      </w:r>
      <w:r>
        <w:rPr/>
        <w:t>вірогідні.</w:t>
      </w:r>
    </w:p>
    <w:p>
      <w:pPr>
        <w:pStyle w:val="BodyText"/>
        <w:spacing w:before="1"/>
        <w:ind w:left="250" w:right="619" w:firstLine="652"/>
      </w:pPr>
      <w:r>
        <w:rPr/>
        <w:t>Важливе діагностичне значення за умов захворювання має визначення співвідношення між теофілінрезистентними (Th) і теофілінчутливими (Тs) Т- лімфоцитами крові – імунорегуляторний індекс (ІРІ) [14]. У корів, хворих на СМ, зафіксовано зниження ІРІ (2,71±0,17 проти 3,48±0,1, (P&lt;0,05)) .</w:t>
      </w:r>
    </w:p>
    <w:p>
      <w:pPr>
        <w:spacing w:after="0"/>
        <w:sectPr>
          <w:pgSz w:w="11910" w:h="16840"/>
          <w:pgMar w:header="713" w:footer="778" w:top="1140" w:bottom="960" w:left="940" w:right="520"/>
        </w:sectPr>
      </w:pPr>
    </w:p>
    <w:p>
      <w:pPr>
        <w:pStyle w:val="BodyText"/>
        <w:spacing w:before="92" w:after="9"/>
        <w:ind w:left="250" w:right="616" w:firstLine="566"/>
      </w:pPr>
      <w:r>
        <w:rPr/>
        <w:t>Таблиця 1. Відносна кількість Т- і В-лімфоцитів та їх субпопуляцій у крові корів (М</w:t>
      </w:r>
      <w:r>
        <w:rPr>
          <w:rFonts w:ascii="Symbol" w:hAnsi="Symbol"/>
        </w:rPr>
        <w:t></w:t>
      </w:r>
      <w:r>
        <w:rPr/>
        <w:t>m; n=10)</w:t>
      </w:r>
    </w:p>
    <w:tbl>
      <w:tblPr>
        <w:tblW w:w="0" w:type="auto"/>
        <w:jc w:val="left"/>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1"/>
        <w:gridCol w:w="1287"/>
        <w:gridCol w:w="2079"/>
        <w:gridCol w:w="2258"/>
        <w:gridCol w:w="2108"/>
      </w:tblGrid>
      <w:tr>
        <w:trPr>
          <w:trHeight w:val="273" w:hRule="atLeast"/>
        </w:trPr>
        <w:tc>
          <w:tcPr>
            <w:tcW w:w="1911" w:type="dxa"/>
            <w:vMerge w:val="restart"/>
          </w:tcPr>
          <w:p>
            <w:pPr>
              <w:pStyle w:val="TableParagraph"/>
              <w:spacing w:before="6"/>
              <w:rPr>
                <w:sz w:val="35"/>
              </w:rPr>
            </w:pPr>
          </w:p>
          <w:p>
            <w:pPr>
              <w:pStyle w:val="TableParagraph"/>
              <w:spacing w:before="1"/>
              <w:ind w:left="431"/>
              <w:rPr>
                <w:sz w:val="24"/>
              </w:rPr>
            </w:pPr>
            <w:r>
              <w:rPr>
                <w:sz w:val="24"/>
              </w:rPr>
              <w:t>Показники</w:t>
            </w:r>
          </w:p>
        </w:tc>
        <w:tc>
          <w:tcPr>
            <w:tcW w:w="1287" w:type="dxa"/>
            <w:vMerge w:val="restart"/>
          </w:tcPr>
          <w:p>
            <w:pPr>
              <w:pStyle w:val="TableParagraph"/>
              <w:spacing w:before="5"/>
              <w:rPr>
                <w:sz w:val="23"/>
              </w:rPr>
            </w:pPr>
          </w:p>
          <w:p>
            <w:pPr>
              <w:pStyle w:val="TableParagraph"/>
              <w:spacing w:line="242" w:lineRule="auto"/>
              <w:ind w:left="326" w:right="229" w:firstLine="33"/>
              <w:rPr>
                <w:sz w:val="24"/>
              </w:rPr>
            </w:pPr>
            <w:r>
              <w:rPr>
                <w:sz w:val="24"/>
              </w:rPr>
              <w:t>Групи тварин</w:t>
            </w:r>
          </w:p>
        </w:tc>
        <w:tc>
          <w:tcPr>
            <w:tcW w:w="6445" w:type="dxa"/>
            <w:gridSpan w:val="3"/>
          </w:tcPr>
          <w:p>
            <w:pPr>
              <w:pStyle w:val="TableParagraph"/>
              <w:spacing w:line="253" w:lineRule="exact"/>
              <w:ind w:left="2262" w:right="2195"/>
              <w:jc w:val="center"/>
              <w:rPr>
                <w:sz w:val="24"/>
              </w:rPr>
            </w:pPr>
            <w:r>
              <w:rPr>
                <w:sz w:val="24"/>
              </w:rPr>
              <w:t>Період досліджень</w:t>
            </w:r>
          </w:p>
        </w:tc>
      </w:tr>
      <w:tr>
        <w:trPr>
          <w:trHeight w:val="830" w:hRule="atLeast"/>
        </w:trPr>
        <w:tc>
          <w:tcPr>
            <w:tcW w:w="1911" w:type="dxa"/>
            <w:vMerge/>
            <w:tcBorders>
              <w:top w:val="nil"/>
            </w:tcBorders>
          </w:tcPr>
          <w:p>
            <w:pPr>
              <w:rPr>
                <w:sz w:val="2"/>
                <w:szCs w:val="2"/>
              </w:rPr>
            </w:pPr>
          </w:p>
        </w:tc>
        <w:tc>
          <w:tcPr>
            <w:tcW w:w="1287" w:type="dxa"/>
            <w:vMerge/>
            <w:tcBorders>
              <w:top w:val="nil"/>
            </w:tcBorders>
          </w:tcPr>
          <w:p>
            <w:pPr>
              <w:rPr>
                <w:sz w:val="2"/>
                <w:szCs w:val="2"/>
              </w:rPr>
            </w:pPr>
          </w:p>
        </w:tc>
        <w:tc>
          <w:tcPr>
            <w:tcW w:w="2079" w:type="dxa"/>
          </w:tcPr>
          <w:p>
            <w:pPr>
              <w:pStyle w:val="TableParagraph"/>
              <w:spacing w:line="242" w:lineRule="auto"/>
              <w:ind w:left="571" w:right="342" w:hanging="96"/>
              <w:rPr>
                <w:sz w:val="24"/>
              </w:rPr>
            </w:pPr>
            <w:r>
              <w:rPr>
                <w:sz w:val="24"/>
              </w:rPr>
              <w:t>до введення препарату</w:t>
            </w:r>
          </w:p>
        </w:tc>
        <w:tc>
          <w:tcPr>
            <w:tcW w:w="2258" w:type="dxa"/>
          </w:tcPr>
          <w:p>
            <w:pPr>
              <w:pStyle w:val="TableParagraph"/>
              <w:spacing w:line="242" w:lineRule="auto"/>
              <w:ind w:left="691" w:firstLine="28"/>
              <w:rPr>
                <w:sz w:val="24"/>
              </w:rPr>
            </w:pPr>
            <w:r>
              <w:rPr>
                <w:sz w:val="24"/>
              </w:rPr>
              <w:t>3-тя доба лікування</w:t>
            </w:r>
          </w:p>
        </w:tc>
        <w:tc>
          <w:tcPr>
            <w:tcW w:w="2108" w:type="dxa"/>
          </w:tcPr>
          <w:p>
            <w:pPr>
              <w:pStyle w:val="TableParagraph"/>
              <w:spacing w:line="268" w:lineRule="exact"/>
              <w:ind w:left="423" w:right="329"/>
              <w:jc w:val="center"/>
              <w:rPr>
                <w:sz w:val="24"/>
              </w:rPr>
            </w:pPr>
            <w:r>
              <w:rPr>
                <w:sz w:val="24"/>
              </w:rPr>
              <w:t>9-та доба від</w:t>
            </w:r>
          </w:p>
          <w:p>
            <w:pPr>
              <w:pStyle w:val="TableParagraph"/>
              <w:spacing w:line="274" w:lineRule="exact" w:before="8"/>
              <w:ind w:left="594" w:right="495" w:firstLine="6"/>
              <w:jc w:val="center"/>
              <w:rPr>
                <w:sz w:val="24"/>
              </w:rPr>
            </w:pPr>
            <w:r>
              <w:rPr>
                <w:sz w:val="24"/>
              </w:rPr>
              <w:t>початку </w:t>
            </w:r>
            <w:r>
              <w:rPr>
                <w:spacing w:val="-1"/>
                <w:sz w:val="24"/>
              </w:rPr>
              <w:t>лікування</w:t>
            </w:r>
          </w:p>
        </w:tc>
      </w:tr>
      <w:tr>
        <w:trPr>
          <w:trHeight w:val="289" w:hRule="atLeast"/>
        </w:trPr>
        <w:tc>
          <w:tcPr>
            <w:tcW w:w="1911" w:type="dxa"/>
            <w:vMerge w:val="restart"/>
            <w:tcBorders>
              <w:bottom w:val="single" w:sz="6" w:space="0" w:color="000000"/>
            </w:tcBorders>
          </w:tcPr>
          <w:p>
            <w:pPr>
              <w:pStyle w:val="TableParagraph"/>
              <w:spacing w:before="150"/>
              <w:ind w:left="206"/>
              <w:rPr>
                <w:sz w:val="24"/>
              </w:rPr>
            </w:pPr>
            <w:r>
              <w:rPr>
                <w:sz w:val="24"/>
              </w:rPr>
              <w:t>Лейкоцити, Г/л</w:t>
            </w:r>
          </w:p>
        </w:tc>
        <w:tc>
          <w:tcPr>
            <w:tcW w:w="1287" w:type="dxa"/>
          </w:tcPr>
          <w:p>
            <w:pPr>
              <w:pStyle w:val="TableParagraph"/>
              <w:spacing w:line="269" w:lineRule="exact" w:before="1"/>
              <w:ind w:right="514"/>
              <w:jc w:val="right"/>
              <w:rPr>
                <w:sz w:val="24"/>
              </w:rPr>
            </w:pPr>
            <w:r>
              <w:rPr>
                <w:sz w:val="24"/>
              </w:rPr>
              <w:t>К</w:t>
            </w:r>
          </w:p>
        </w:tc>
        <w:tc>
          <w:tcPr>
            <w:tcW w:w="6445" w:type="dxa"/>
            <w:gridSpan w:val="3"/>
          </w:tcPr>
          <w:p>
            <w:pPr>
              <w:pStyle w:val="TableParagraph"/>
              <w:spacing w:line="270" w:lineRule="exact"/>
              <w:ind w:left="2262" w:right="2187"/>
              <w:jc w:val="center"/>
              <w:rPr>
                <w:sz w:val="24"/>
              </w:rPr>
            </w:pPr>
            <w:r>
              <w:rPr>
                <w:sz w:val="24"/>
              </w:rPr>
              <w:t>7,3</w:t>
            </w:r>
            <w:r>
              <w:rPr>
                <w:rFonts w:ascii="Symbol" w:hAnsi="Symbol"/>
                <w:sz w:val="24"/>
              </w:rPr>
              <w:t></w:t>
            </w:r>
            <w:r>
              <w:rPr>
                <w:sz w:val="24"/>
              </w:rPr>
              <w:t>0,58</w:t>
            </w:r>
          </w:p>
        </w:tc>
      </w:tr>
      <w:tr>
        <w:trPr>
          <w:trHeight w:val="294" w:hRule="atLeast"/>
        </w:trPr>
        <w:tc>
          <w:tcPr>
            <w:tcW w:w="1911" w:type="dxa"/>
            <w:vMerge/>
            <w:tcBorders>
              <w:top w:val="nil"/>
              <w:bottom w:val="single" w:sz="6" w:space="0" w:color="000000"/>
            </w:tcBorders>
          </w:tcPr>
          <w:p>
            <w:pPr>
              <w:rPr>
                <w:sz w:val="2"/>
                <w:szCs w:val="2"/>
              </w:rPr>
            </w:pPr>
          </w:p>
        </w:tc>
        <w:tc>
          <w:tcPr>
            <w:tcW w:w="1287" w:type="dxa"/>
          </w:tcPr>
          <w:p>
            <w:pPr>
              <w:pStyle w:val="TableParagraph"/>
              <w:spacing w:line="275" w:lineRule="exact"/>
              <w:ind w:right="515"/>
              <w:jc w:val="right"/>
              <w:rPr>
                <w:sz w:val="24"/>
              </w:rPr>
            </w:pPr>
            <w:r>
              <w:rPr>
                <w:sz w:val="24"/>
              </w:rPr>
              <w:t>Д</w:t>
            </w:r>
          </w:p>
        </w:tc>
        <w:tc>
          <w:tcPr>
            <w:tcW w:w="2079" w:type="dxa"/>
            <w:tcBorders>
              <w:bottom w:val="single" w:sz="6" w:space="0" w:color="000000"/>
            </w:tcBorders>
          </w:tcPr>
          <w:p>
            <w:pPr>
              <w:pStyle w:val="TableParagraph"/>
              <w:spacing w:line="275" w:lineRule="exact"/>
              <w:ind w:left="438" w:right="319"/>
              <w:jc w:val="center"/>
              <w:rPr>
                <w:sz w:val="24"/>
              </w:rPr>
            </w:pPr>
            <w:r>
              <w:rPr>
                <w:sz w:val="24"/>
              </w:rPr>
              <w:t>10,6 </w:t>
            </w:r>
            <w:r>
              <w:rPr>
                <w:rFonts w:ascii="Symbol" w:hAnsi="Symbol"/>
                <w:sz w:val="24"/>
              </w:rPr>
              <w:t></w:t>
            </w:r>
            <w:r>
              <w:rPr>
                <w:sz w:val="24"/>
              </w:rPr>
              <w:t>0,53**</w:t>
            </w:r>
          </w:p>
        </w:tc>
        <w:tc>
          <w:tcPr>
            <w:tcW w:w="2258" w:type="dxa"/>
            <w:tcBorders>
              <w:bottom w:val="single" w:sz="6" w:space="0" w:color="000000"/>
            </w:tcBorders>
          </w:tcPr>
          <w:p>
            <w:pPr>
              <w:pStyle w:val="TableParagraph"/>
              <w:spacing w:line="275" w:lineRule="exact"/>
              <w:ind w:left="691" w:right="544"/>
              <w:jc w:val="center"/>
              <w:rPr>
                <w:sz w:val="24"/>
              </w:rPr>
            </w:pPr>
            <w:r>
              <w:rPr>
                <w:sz w:val="24"/>
              </w:rPr>
              <w:t>9,8</w:t>
            </w:r>
            <w:r>
              <w:rPr>
                <w:rFonts w:ascii="Symbol" w:hAnsi="Symbol"/>
                <w:sz w:val="24"/>
              </w:rPr>
              <w:t></w:t>
            </w:r>
            <w:r>
              <w:rPr>
                <w:sz w:val="24"/>
              </w:rPr>
              <w:t>0,54*</w:t>
            </w:r>
          </w:p>
        </w:tc>
        <w:tc>
          <w:tcPr>
            <w:tcW w:w="2108" w:type="dxa"/>
            <w:tcBorders>
              <w:bottom w:val="single" w:sz="6" w:space="0" w:color="000000"/>
            </w:tcBorders>
          </w:tcPr>
          <w:p>
            <w:pPr>
              <w:pStyle w:val="TableParagraph"/>
              <w:spacing w:line="275" w:lineRule="exact"/>
              <w:ind w:left="423" w:right="322"/>
              <w:jc w:val="center"/>
              <w:rPr>
                <w:sz w:val="24"/>
              </w:rPr>
            </w:pPr>
            <w:r>
              <w:rPr>
                <w:sz w:val="24"/>
              </w:rPr>
              <w:t>8,0</w:t>
            </w:r>
            <w:r>
              <w:rPr>
                <w:rFonts w:ascii="Symbol" w:hAnsi="Symbol"/>
                <w:sz w:val="24"/>
              </w:rPr>
              <w:t></w:t>
            </w:r>
            <w:r>
              <w:rPr>
                <w:sz w:val="24"/>
              </w:rPr>
              <w:t>0,71˚</w:t>
            </w:r>
          </w:p>
        </w:tc>
      </w:tr>
      <w:tr>
        <w:trPr>
          <w:trHeight w:val="272"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3"/>
              <w:ind w:left="482"/>
              <w:rPr>
                <w:sz w:val="24"/>
              </w:rPr>
            </w:pPr>
            <w:r>
              <w:rPr>
                <w:sz w:val="24"/>
              </w:rPr>
              <w:t>ТЕ-РУЛ,0</w:t>
            </w:r>
          </w:p>
        </w:tc>
        <w:tc>
          <w:tcPr>
            <w:tcW w:w="1287" w:type="dxa"/>
            <w:tcBorders>
              <w:left w:val="single" w:sz="6" w:space="0" w:color="000000"/>
              <w:bottom w:val="single" w:sz="6" w:space="0" w:color="000000"/>
              <w:right w:val="single" w:sz="6" w:space="0" w:color="000000"/>
            </w:tcBorders>
          </w:tcPr>
          <w:p>
            <w:pPr>
              <w:pStyle w:val="TableParagraph"/>
              <w:spacing w:line="253" w:lineRule="exact"/>
              <w:ind w:right="512"/>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2744" w:right="2674"/>
              <w:jc w:val="center"/>
              <w:rPr>
                <w:sz w:val="24"/>
              </w:rPr>
            </w:pPr>
            <w:r>
              <w:rPr>
                <w:sz w:val="24"/>
              </w:rPr>
              <w:t>37,2±0,62</w:t>
            </w:r>
          </w:p>
        </w:tc>
      </w:tr>
      <w:tr>
        <w:trPr>
          <w:trHeight w:val="277"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0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501" w:right="430"/>
              <w:jc w:val="center"/>
              <w:rPr>
                <w:sz w:val="24"/>
              </w:rPr>
            </w:pPr>
            <w:r>
              <w:rPr>
                <w:sz w:val="24"/>
              </w:rPr>
              <w:t>41,6±1,47*</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19" w:right="332"/>
              <w:jc w:val="center"/>
              <w:rPr>
                <w:sz w:val="24"/>
              </w:rPr>
            </w:pPr>
            <w:r>
              <w:rPr>
                <w:sz w:val="24"/>
              </w:rPr>
              <w:t>32,0±0,82**˚˚˚</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08" w:right="313"/>
              <w:jc w:val="center"/>
              <w:rPr>
                <w:sz w:val="24"/>
              </w:rPr>
            </w:pPr>
            <w:r>
              <w:rPr>
                <w:sz w:val="24"/>
              </w:rPr>
              <w:t>34,5±0,67*˚˚</w:t>
            </w:r>
          </w:p>
        </w:tc>
      </w:tr>
      <w:tr>
        <w:trPr>
          <w:trHeight w:val="273"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21" w:right="639"/>
              <w:jc w:val="center"/>
              <w:rPr>
                <w:sz w:val="24"/>
              </w:rPr>
            </w:pPr>
            <w:r>
              <w:rPr>
                <w:sz w:val="24"/>
              </w:rPr>
              <w:t>3–5</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2"/>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2744" w:right="2674"/>
              <w:jc w:val="center"/>
              <w:rPr>
                <w:sz w:val="24"/>
              </w:rPr>
            </w:pPr>
            <w:r>
              <w:rPr>
                <w:sz w:val="24"/>
              </w:rPr>
              <w:t>50,2±1,74</w:t>
            </w:r>
          </w:p>
        </w:tc>
      </w:tr>
      <w:tr>
        <w:trPr>
          <w:trHeight w:val="277"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0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501" w:right="430"/>
              <w:jc w:val="center"/>
              <w:rPr>
                <w:sz w:val="24"/>
              </w:rPr>
            </w:pPr>
            <w:r>
              <w:rPr>
                <w:sz w:val="24"/>
              </w:rPr>
              <w:t>45,2±1,02*</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19" w:right="332"/>
              <w:jc w:val="center"/>
              <w:rPr>
                <w:sz w:val="24"/>
              </w:rPr>
            </w:pPr>
            <w:r>
              <w:rPr>
                <w:sz w:val="24"/>
              </w:rPr>
              <w:t>50,6±1,03˚˚</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04" w:right="313"/>
              <w:jc w:val="center"/>
              <w:rPr>
                <w:sz w:val="24"/>
              </w:rPr>
            </w:pPr>
            <w:r>
              <w:rPr>
                <w:sz w:val="24"/>
              </w:rPr>
              <w:t>53,2±0,43˚˚˚</w:t>
            </w:r>
          </w:p>
        </w:tc>
      </w:tr>
      <w:tr>
        <w:trPr>
          <w:trHeight w:val="277"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21" w:right="644"/>
              <w:jc w:val="center"/>
              <w:rPr>
                <w:sz w:val="24"/>
              </w:rPr>
            </w:pPr>
            <w:r>
              <w:rPr>
                <w:sz w:val="24"/>
              </w:rPr>
              <w:t>6–10</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2"/>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44" w:right="2674"/>
              <w:jc w:val="center"/>
              <w:rPr>
                <w:sz w:val="24"/>
              </w:rPr>
            </w:pPr>
            <w:r>
              <w:rPr>
                <w:sz w:val="24"/>
              </w:rPr>
              <w:t>12,3±0,47</w:t>
            </w:r>
          </w:p>
        </w:tc>
      </w:tr>
      <w:tr>
        <w:trPr>
          <w:trHeight w:val="272"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0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97" w:right="430"/>
              <w:jc w:val="center"/>
              <w:rPr>
                <w:sz w:val="24"/>
              </w:rPr>
            </w:pPr>
            <w:r>
              <w:rPr>
                <w:sz w:val="24"/>
              </w:rPr>
              <w:t>12,2±1,09</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19" w:right="329"/>
              <w:jc w:val="center"/>
              <w:rPr>
                <w:sz w:val="24"/>
              </w:rPr>
            </w:pPr>
            <w:r>
              <w:rPr>
                <w:sz w:val="24"/>
              </w:rPr>
              <w:t>13,3±0,28</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06" w:right="313"/>
              <w:jc w:val="center"/>
              <w:rPr>
                <w:sz w:val="24"/>
              </w:rPr>
            </w:pPr>
            <w:r>
              <w:rPr>
                <w:sz w:val="24"/>
              </w:rPr>
              <w:t>12,2±0,63</w:t>
            </w:r>
          </w:p>
        </w:tc>
      </w:tr>
      <w:tr>
        <w:trPr>
          <w:trHeight w:val="277"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9"/>
              <w:jc w:val="center"/>
              <w:rPr>
                <w:sz w:val="24"/>
              </w:rPr>
            </w:pPr>
            <w:r>
              <w:rPr>
                <w:sz w:val="24"/>
              </w:rPr>
              <w:t>М</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2"/>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39" w:right="2674"/>
              <w:jc w:val="center"/>
              <w:rPr>
                <w:sz w:val="24"/>
              </w:rPr>
            </w:pPr>
            <w:r>
              <w:rPr>
                <w:sz w:val="24"/>
              </w:rPr>
              <w:t>0,3±0,21</w:t>
            </w:r>
          </w:p>
        </w:tc>
      </w:tr>
      <w:tr>
        <w:trPr>
          <w:trHeight w:val="272"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0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501" w:right="430"/>
              <w:jc w:val="center"/>
              <w:rPr>
                <w:sz w:val="24"/>
              </w:rPr>
            </w:pPr>
            <w:r>
              <w:rPr>
                <w:sz w:val="24"/>
              </w:rPr>
              <w:t>1,0±0,32</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90"/>
              <w:jc w:val="center"/>
              <w:rPr>
                <w:sz w:val="24"/>
              </w:rPr>
            </w:pPr>
            <w:r>
              <w:rPr>
                <w:sz w:val="24"/>
              </w:rPr>
              <w:t>0</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94"/>
              <w:jc w:val="center"/>
              <w:rPr>
                <w:sz w:val="24"/>
              </w:rPr>
            </w:pPr>
            <w:r>
              <w:rPr>
                <w:sz w:val="24"/>
              </w:rPr>
              <w:t>0</w:t>
            </w:r>
          </w:p>
        </w:tc>
      </w:tr>
      <w:tr>
        <w:trPr>
          <w:trHeight w:val="278"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5"/>
              <w:jc w:val="center"/>
              <w:rPr>
                <w:sz w:val="24"/>
              </w:rPr>
            </w:pPr>
            <w:r>
              <w:rPr>
                <w:w w:val="99"/>
                <w:sz w:val="24"/>
              </w:rPr>
              <w:t>%</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2"/>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44" w:right="2674"/>
              <w:jc w:val="center"/>
              <w:rPr>
                <w:sz w:val="24"/>
              </w:rPr>
            </w:pPr>
            <w:r>
              <w:rPr>
                <w:sz w:val="24"/>
              </w:rPr>
              <w:t>62,8±1,12</w:t>
            </w:r>
          </w:p>
        </w:tc>
      </w:tr>
      <w:tr>
        <w:trPr>
          <w:trHeight w:val="277"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0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501" w:right="430"/>
              <w:jc w:val="center"/>
              <w:rPr>
                <w:sz w:val="24"/>
              </w:rPr>
            </w:pPr>
            <w:r>
              <w:rPr>
                <w:sz w:val="24"/>
              </w:rPr>
              <w:t>58,4±1,18*</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19" w:right="326"/>
              <w:jc w:val="center"/>
              <w:rPr>
                <w:sz w:val="24"/>
              </w:rPr>
            </w:pPr>
            <w:r>
              <w:rPr>
                <w:sz w:val="24"/>
              </w:rPr>
              <w:t>64,5±1,47˚</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08" w:right="312"/>
              <w:jc w:val="center"/>
              <w:rPr>
                <w:sz w:val="24"/>
              </w:rPr>
            </w:pPr>
            <w:r>
              <w:rPr>
                <w:sz w:val="24"/>
              </w:rPr>
              <w:t>65,4±1,74˚</w:t>
            </w:r>
          </w:p>
        </w:tc>
      </w:tr>
      <w:tr>
        <w:trPr>
          <w:trHeight w:val="272"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458"/>
              <w:rPr>
                <w:sz w:val="24"/>
              </w:rPr>
            </w:pPr>
            <w:r>
              <w:rPr>
                <w:sz w:val="24"/>
              </w:rPr>
              <w:t>ТА-РУЛ,0</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2744" w:right="2674"/>
              <w:jc w:val="center"/>
              <w:rPr>
                <w:sz w:val="24"/>
              </w:rPr>
            </w:pPr>
            <w:r>
              <w:rPr>
                <w:sz w:val="24"/>
              </w:rPr>
              <w:t>58,6±1,81</w:t>
            </w:r>
          </w:p>
        </w:tc>
      </w:tr>
      <w:tr>
        <w:trPr>
          <w:trHeight w:val="277"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96" w:right="430"/>
              <w:jc w:val="center"/>
              <w:rPr>
                <w:sz w:val="24"/>
              </w:rPr>
            </w:pPr>
            <w:r>
              <w:rPr>
                <w:sz w:val="24"/>
              </w:rPr>
              <w:t>62,3±1,17</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347" w:right="332"/>
              <w:jc w:val="center"/>
              <w:rPr>
                <w:sz w:val="24"/>
              </w:rPr>
            </w:pPr>
            <w:r>
              <w:rPr>
                <w:sz w:val="24"/>
              </w:rPr>
              <w:t>55,1±0,83*˚˚˚</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346" w:right="313"/>
              <w:jc w:val="center"/>
              <w:rPr>
                <w:sz w:val="24"/>
              </w:rPr>
            </w:pPr>
            <w:r>
              <w:rPr>
                <w:sz w:val="24"/>
              </w:rPr>
              <w:t>56,6±1,8˚</w:t>
            </w:r>
          </w:p>
        </w:tc>
      </w:tr>
      <w:tr>
        <w:trPr>
          <w:trHeight w:val="277"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21" w:right="649"/>
              <w:jc w:val="center"/>
              <w:rPr>
                <w:sz w:val="24"/>
              </w:rPr>
            </w:pPr>
            <w:r>
              <w:rPr>
                <w:sz w:val="24"/>
              </w:rPr>
              <w:t>3–5</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44" w:right="2674"/>
              <w:jc w:val="center"/>
              <w:rPr>
                <w:sz w:val="24"/>
              </w:rPr>
            </w:pPr>
            <w:r>
              <w:rPr>
                <w:sz w:val="24"/>
              </w:rPr>
              <w:t>32,0±0,47</w:t>
            </w:r>
          </w:p>
        </w:tc>
      </w:tr>
      <w:tr>
        <w:trPr>
          <w:trHeight w:val="272"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96" w:right="430"/>
              <w:jc w:val="center"/>
              <w:rPr>
                <w:sz w:val="24"/>
              </w:rPr>
            </w:pPr>
            <w:r>
              <w:rPr>
                <w:sz w:val="24"/>
              </w:rPr>
              <w:t>31,4±0,57</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354" w:right="332"/>
              <w:jc w:val="center"/>
              <w:rPr>
                <w:sz w:val="24"/>
              </w:rPr>
            </w:pPr>
            <w:r>
              <w:rPr>
                <w:sz w:val="24"/>
              </w:rPr>
              <w:t>33,4±0,87</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346" w:right="313"/>
              <w:jc w:val="center"/>
              <w:rPr>
                <w:sz w:val="24"/>
              </w:rPr>
            </w:pPr>
            <w:r>
              <w:rPr>
                <w:sz w:val="24"/>
              </w:rPr>
              <w:t>36,4±0,78˚˚˚</w:t>
            </w:r>
          </w:p>
        </w:tc>
      </w:tr>
      <w:tr>
        <w:trPr>
          <w:trHeight w:val="278"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16" w:right="649"/>
              <w:jc w:val="center"/>
              <w:rPr>
                <w:sz w:val="24"/>
              </w:rPr>
            </w:pPr>
            <w:r>
              <w:rPr>
                <w:sz w:val="24"/>
              </w:rPr>
              <w:t>6–10</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39" w:right="2674"/>
              <w:jc w:val="center"/>
              <w:rPr>
                <w:sz w:val="24"/>
              </w:rPr>
            </w:pPr>
            <w:r>
              <w:rPr>
                <w:sz w:val="24"/>
              </w:rPr>
              <w:t>5,0±0,79</w:t>
            </w:r>
          </w:p>
        </w:tc>
      </w:tr>
      <w:tr>
        <w:trPr>
          <w:trHeight w:val="272"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501" w:right="430"/>
              <w:jc w:val="center"/>
              <w:rPr>
                <w:sz w:val="24"/>
              </w:rPr>
            </w:pPr>
            <w:r>
              <w:rPr>
                <w:sz w:val="24"/>
              </w:rPr>
              <w:t>6,3±0,47</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354" w:right="332"/>
              <w:jc w:val="center"/>
              <w:rPr>
                <w:sz w:val="24"/>
              </w:rPr>
            </w:pPr>
            <w:r>
              <w:rPr>
                <w:sz w:val="24"/>
              </w:rPr>
              <w:t>8,0±0,67*</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349" w:right="313"/>
              <w:jc w:val="center"/>
              <w:rPr>
                <w:sz w:val="24"/>
              </w:rPr>
            </w:pPr>
            <w:r>
              <w:rPr>
                <w:sz w:val="24"/>
              </w:rPr>
              <w:t>7,6±0,57*</w:t>
            </w:r>
          </w:p>
        </w:tc>
      </w:tr>
      <w:tr>
        <w:trPr>
          <w:trHeight w:val="277"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65"/>
              <w:jc w:val="center"/>
              <w:rPr>
                <w:sz w:val="24"/>
              </w:rPr>
            </w:pPr>
            <w:r>
              <w:rPr>
                <w:w w:val="99"/>
                <w:sz w:val="24"/>
              </w:rPr>
              <w:t>%</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44" w:right="2674"/>
              <w:jc w:val="center"/>
              <w:rPr>
                <w:sz w:val="24"/>
              </w:rPr>
            </w:pPr>
            <w:r>
              <w:rPr>
                <w:sz w:val="24"/>
              </w:rPr>
              <w:t>40,4±1,79</w:t>
            </w:r>
          </w:p>
        </w:tc>
      </w:tr>
      <w:tr>
        <w:trPr>
          <w:trHeight w:val="277"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97" w:right="430"/>
              <w:jc w:val="center"/>
              <w:rPr>
                <w:sz w:val="24"/>
              </w:rPr>
            </w:pPr>
            <w:r>
              <w:rPr>
                <w:sz w:val="24"/>
              </w:rPr>
              <w:t>37,7±1,87</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354" w:right="332"/>
              <w:jc w:val="center"/>
              <w:rPr>
                <w:sz w:val="24"/>
              </w:rPr>
            </w:pPr>
            <w:r>
              <w:rPr>
                <w:sz w:val="24"/>
              </w:rPr>
              <w:t>41,4±1,47</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342" w:right="313"/>
              <w:jc w:val="center"/>
              <w:rPr>
                <w:sz w:val="24"/>
              </w:rPr>
            </w:pPr>
            <w:r>
              <w:rPr>
                <w:sz w:val="24"/>
              </w:rPr>
              <w:t>44,4±1,57˚</w:t>
            </w:r>
          </w:p>
        </w:tc>
      </w:tr>
      <w:tr>
        <w:trPr>
          <w:trHeight w:val="273"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486"/>
              <w:rPr>
                <w:sz w:val="24"/>
              </w:rPr>
            </w:pPr>
            <w:r>
              <w:rPr>
                <w:sz w:val="24"/>
              </w:rPr>
              <w:t>Тh-РУЛ,0</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2744" w:right="2674"/>
              <w:jc w:val="center"/>
              <w:rPr>
                <w:sz w:val="24"/>
              </w:rPr>
            </w:pPr>
            <w:r>
              <w:rPr>
                <w:sz w:val="24"/>
              </w:rPr>
              <w:t>51,2±1,63</w:t>
            </w:r>
          </w:p>
        </w:tc>
      </w:tr>
      <w:tr>
        <w:trPr>
          <w:trHeight w:val="277"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501" w:right="430"/>
              <w:jc w:val="center"/>
              <w:rPr>
                <w:sz w:val="24"/>
              </w:rPr>
            </w:pPr>
            <w:r>
              <w:rPr>
                <w:sz w:val="24"/>
              </w:rPr>
              <w:t>57,3±1,76*</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352" w:right="332"/>
              <w:jc w:val="center"/>
              <w:rPr>
                <w:sz w:val="24"/>
              </w:rPr>
            </w:pPr>
            <w:r>
              <w:rPr>
                <w:sz w:val="24"/>
              </w:rPr>
              <w:t>48,2±0,78˚˚˚</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346" w:right="313"/>
              <w:jc w:val="center"/>
              <w:rPr>
                <w:sz w:val="24"/>
              </w:rPr>
            </w:pPr>
            <w:r>
              <w:rPr>
                <w:sz w:val="24"/>
              </w:rPr>
              <w:t>47,6±1,75˚˚</w:t>
            </w:r>
          </w:p>
        </w:tc>
      </w:tr>
      <w:tr>
        <w:trPr>
          <w:trHeight w:val="277"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21" w:right="649"/>
              <w:jc w:val="center"/>
              <w:rPr>
                <w:sz w:val="24"/>
              </w:rPr>
            </w:pPr>
            <w:r>
              <w:rPr>
                <w:sz w:val="24"/>
              </w:rPr>
              <w:t>3–5</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44" w:right="2674"/>
              <w:jc w:val="center"/>
              <w:rPr>
                <w:sz w:val="24"/>
              </w:rPr>
            </w:pPr>
            <w:r>
              <w:rPr>
                <w:sz w:val="24"/>
              </w:rPr>
              <w:t>41,2±1,58</w:t>
            </w:r>
          </w:p>
        </w:tc>
      </w:tr>
      <w:tr>
        <w:trPr>
          <w:trHeight w:val="273"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96" w:right="430"/>
              <w:jc w:val="center"/>
              <w:rPr>
                <w:sz w:val="24"/>
              </w:rPr>
            </w:pPr>
            <w:r>
              <w:rPr>
                <w:sz w:val="24"/>
              </w:rPr>
              <w:t>36,2±0,75</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352" w:right="332"/>
              <w:jc w:val="center"/>
              <w:rPr>
                <w:sz w:val="24"/>
              </w:rPr>
            </w:pPr>
            <w:r>
              <w:rPr>
                <w:sz w:val="24"/>
              </w:rPr>
              <w:t>41,4±0,79˚˚˚</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336" w:right="313"/>
              <w:jc w:val="center"/>
              <w:rPr>
                <w:sz w:val="24"/>
              </w:rPr>
            </w:pPr>
            <w:r>
              <w:rPr>
                <w:sz w:val="24"/>
              </w:rPr>
              <w:t>46,2±0,83˚˚˚</w:t>
            </w:r>
          </w:p>
        </w:tc>
      </w:tr>
      <w:tr>
        <w:trPr>
          <w:trHeight w:val="277"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16" w:right="649"/>
              <w:jc w:val="center"/>
              <w:rPr>
                <w:sz w:val="24"/>
              </w:rPr>
            </w:pPr>
            <w:r>
              <w:rPr>
                <w:sz w:val="24"/>
              </w:rPr>
              <w:t>6–10</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39" w:right="2674"/>
              <w:jc w:val="center"/>
              <w:rPr>
                <w:sz w:val="24"/>
              </w:rPr>
            </w:pPr>
            <w:r>
              <w:rPr>
                <w:sz w:val="24"/>
              </w:rPr>
              <w:t>6,7±0,37</w:t>
            </w:r>
          </w:p>
        </w:tc>
      </w:tr>
      <w:tr>
        <w:trPr>
          <w:trHeight w:val="273"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97" w:right="430"/>
              <w:jc w:val="center"/>
              <w:rPr>
                <w:sz w:val="24"/>
              </w:rPr>
            </w:pPr>
            <w:r>
              <w:rPr>
                <w:sz w:val="24"/>
              </w:rPr>
              <w:t>6,5±0,4</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359" w:right="332"/>
              <w:jc w:val="center"/>
              <w:rPr>
                <w:sz w:val="24"/>
              </w:rPr>
            </w:pPr>
            <w:r>
              <w:rPr>
                <w:sz w:val="24"/>
              </w:rPr>
              <w:t>7,4±0,41</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344" w:right="313"/>
              <w:jc w:val="center"/>
              <w:rPr>
                <w:sz w:val="24"/>
              </w:rPr>
            </w:pPr>
            <w:r>
              <w:rPr>
                <w:sz w:val="24"/>
              </w:rPr>
              <w:t>6,2±0,42</w:t>
            </w:r>
          </w:p>
        </w:tc>
      </w:tr>
      <w:tr>
        <w:trPr>
          <w:trHeight w:val="277" w:hRule="atLeast"/>
        </w:trPr>
        <w:tc>
          <w:tcPr>
            <w:tcW w:w="1911" w:type="dxa"/>
            <w:vMerge w:val="restart"/>
            <w:tcBorders>
              <w:top w:val="single" w:sz="6" w:space="0" w:color="000000"/>
              <w:left w:val="single" w:sz="6" w:space="0" w:color="000000"/>
              <w:right w:val="single" w:sz="6" w:space="0" w:color="000000"/>
            </w:tcBorders>
          </w:tcPr>
          <w:p>
            <w:pPr>
              <w:pStyle w:val="TableParagraph"/>
              <w:spacing w:before="78"/>
              <w:ind w:left="65"/>
              <w:jc w:val="center"/>
              <w:rPr>
                <w:sz w:val="24"/>
              </w:rPr>
            </w:pPr>
            <w:r>
              <w:rPr>
                <w:w w:val="99"/>
                <w:sz w:val="24"/>
              </w:rPr>
              <w:t>%</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44" w:right="2674"/>
              <w:jc w:val="center"/>
              <w:rPr>
                <w:sz w:val="24"/>
              </w:rPr>
            </w:pPr>
            <w:r>
              <w:rPr>
                <w:sz w:val="24"/>
              </w:rPr>
              <w:t>48,8±1,43</w:t>
            </w:r>
          </w:p>
        </w:tc>
      </w:tr>
      <w:tr>
        <w:trPr>
          <w:trHeight w:val="277" w:hRule="atLeast"/>
        </w:trPr>
        <w:tc>
          <w:tcPr>
            <w:tcW w:w="1911" w:type="dxa"/>
            <w:vMerge/>
            <w:tcBorders>
              <w:top w:val="nil"/>
              <w:left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501" w:right="430"/>
              <w:jc w:val="center"/>
              <w:rPr>
                <w:sz w:val="24"/>
              </w:rPr>
            </w:pPr>
            <w:r>
              <w:rPr>
                <w:sz w:val="24"/>
              </w:rPr>
              <w:t>42,7±1,56*</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352" w:right="332"/>
              <w:jc w:val="center"/>
              <w:rPr>
                <w:sz w:val="24"/>
              </w:rPr>
            </w:pPr>
            <w:r>
              <w:rPr>
                <w:sz w:val="24"/>
              </w:rPr>
              <w:t>50,8±1,58˚˚</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337" w:right="313"/>
              <w:jc w:val="center"/>
              <w:rPr>
                <w:sz w:val="24"/>
              </w:rPr>
            </w:pPr>
            <w:r>
              <w:rPr>
                <w:sz w:val="24"/>
              </w:rPr>
              <w:t>52,4±0,75˚˚˚</w:t>
            </w:r>
          </w:p>
        </w:tc>
      </w:tr>
      <w:tr>
        <w:trPr>
          <w:trHeight w:val="273" w:hRule="atLeast"/>
        </w:trPr>
        <w:tc>
          <w:tcPr>
            <w:tcW w:w="1911" w:type="dxa"/>
            <w:vMerge w:val="restart"/>
            <w:tcBorders>
              <w:left w:val="single" w:sz="6" w:space="0" w:color="000000"/>
              <w:right w:val="single" w:sz="6" w:space="0" w:color="000000"/>
            </w:tcBorders>
          </w:tcPr>
          <w:p>
            <w:pPr>
              <w:pStyle w:val="TableParagraph"/>
              <w:spacing w:line="268" w:lineRule="exact"/>
              <w:ind w:left="299"/>
              <w:rPr>
                <w:sz w:val="24"/>
              </w:rPr>
            </w:pPr>
            <w:r>
              <w:rPr>
                <w:sz w:val="24"/>
              </w:rPr>
              <w:t>Тs супресори</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2744" w:right="2674"/>
              <w:jc w:val="center"/>
              <w:rPr>
                <w:sz w:val="24"/>
              </w:rPr>
            </w:pPr>
            <w:r>
              <w:rPr>
                <w:sz w:val="24"/>
              </w:rPr>
              <w:t>14,0±0,61</w:t>
            </w:r>
          </w:p>
        </w:tc>
      </w:tr>
      <w:tr>
        <w:trPr>
          <w:trHeight w:val="278" w:hRule="atLeast"/>
        </w:trPr>
        <w:tc>
          <w:tcPr>
            <w:tcW w:w="1911" w:type="dxa"/>
            <w:vMerge/>
            <w:tcBorders>
              <w:top w:val="nil"/>
              <w:left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3"/>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501" w:right="425"/>
              <w:jc w:val="center"/>
              <w:rPr>
                <w:sz w:val="24"/>
              </w:rPr>
            </w:pPr>
            <w:r>
              <w:rPr>
                <w:sz w:val="24"/>
              </w:rPr>
              <w:t>15,7±0,75</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19" w:right="329"/>
              <w:jc w:val="center"/>
              <w:rPr>
                <w:sz w:val="24"/>
              </w:rPr>
            </w:pPr>
            <w:r>
              <w:rPr>
                <w:sz w:val="24"/>
              </w:rPr>
              <w:t>13,7±0,58</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01" w:right="313"/>
              <w:jc w:val="center"/>
              <w:rPr>
                <w:sz w:val="24"/>
              </w:rPr>
            </w:pPr>
            <w:r>
              <w:rPr>
                <w:sz w:val="24"/>
              </w:rPr>
              <w:t>13,05±1,08</w:t>
            </w:r>
          </w:p>
        </w:tc>
      </w:tr>
      <w:tr>
        <w:trPr>
          <w:trHeight w:val="277" w:hRule="atLeast"/>
        </w:trPr>
        <w:tc>
          <w:tcPr>
            <w:tcW w:w="1911" w:type="dxa"/>
            <w:vMerge w:val="restart"/>
            <w:tcBorders>
              <w:bottom w:val="single" w:sz="6" w:space="0" w:color="000000"/>
              <w:right w:val="single" w:sz="6" w:space="0" w:color="000000"/>
            </w:tcBorders>
          </w:tcPr>
          <w:p>
            <w:pPr>
              <w:pStyle w:val="TableParagraph"/>
              <w:spacing w:before="78"/>
              <w:ind w:left="816" w:right="749"/>
              <w:jc w:val="center"/>
              <w:rPr>
                <w:sz w:val="24"/>
              </w:rPr>
            </w:pPr>
            <w:r>
              <w:rPr>
                <w:sz w:val="24"/>
              </w:rPr>
              <w:t>ІРІ</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39" w:right="2674"/>
              <w:jc w:val="center"/>
              <w:rPr>
                <w:sz w:val="24"/>
              </w:rPr>
            </w:pPr>
            <w:r>
              <w:rPr>
                <w:sz w:val="24"/>
              </w:rPr>
              <w:t>3,48±0,1</w:t>
            </w:r>
          </w:p>
        </w:tc>
      </w:tr>
      <w:tr>
        <w:trPr>
          <w:trHeight w:val="272" w:hRule="atLeast"/>
        </w:trPr>
        <w:tc>
          <w:tcPr>
            <w:tcW w:w="1911" w:type="dxa"/>
            <w:vMerge/>
            <w:tcBorders>
              <w:top w:val="nil"/>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501" w:right="430"/>
              <w:jc w:val="center"/>
              <w:rPr>
                <w:sz w:val="24"/>
              </w:rPr>
            </w:pPr>
            <w:r>
              <w:rPr>
                <w:sz w:val="24"/>
              </w:rPr>
              <w:t>2,71±0,17*</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19" w:right="331"/>
              <w:jc w:val="center"/>
              <w:rPr>
                <w:sz w:val="24"/>
              </w:rPr>
            </w:pPr>
            <w:r>
              <w:rPr>
                <w:sz w:val="24"/>
              </w:rPr>
              <w:t>3,7±0,29˚</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04" w:right="313"/>
              <w:jc w:val="center"/>
              <w:rPr>
                <w:sz w:val="24"/>
              </w:rPr>
            </w:pPr>
            <w:r>
              <w:rPr>
                <w:sz w:val="24"/>
              </w:rPr>
              <w:t>4,01±0,22˚˚˚</w:t>
            </w:r>
          </w:p>
        </w:tc>
      </w:tr>
      <w:tr>
        <w:trPr>
          <w:trHeight w:val="277"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1"/>
              <w:ind w:left="381"/>
              <w:rPr>
                <w:sz w:val="24"/>
              </w:rPr>
            </w:pPr>
            <w:r>
              <w:rPr>
                <w:sz w:val="24"/>
              </w:rPr>
              <w:t>ЕАС-РУЛ,0</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44" w:right="2674"/>
              <w:jc w:val="center"/>
              <w:rPr>
                <w:sz w:val="24"/>
              </w:rPr>
            </w:pPr>
            <w:r>
              <w:rPr>
                <w:sz w:val="24"/>
              </w:rPr>
              <w:t>60,0±1,68</w:t>
            </w:r>
          </w:p>
        </w:tc>
      </w:tr>
      <w:tr>
        <w:trPr>
          <w:trHeight w:val="273"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96" w:right="430"/>
              <w:jc w:val="center"/>
              <w:rPr>
                <w:sz w:val="24"/>
              </w:rPr>
            </w:pPr>
            <w:r>
              <w:rPr>
                <w:sz w:val="24"/>
              </w:rPr>
              <w:t>62,1±0,51</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19" w:right="332"/>
              <w:jc w:val="center"/>
              <w:rPr>
                <w:sz w:val="24"/>
              </w:rPr>
            </w:pPr>
            <w:r>
              <w:rPr>
                <w:sz w:val="24"/>
              </w:rPr>
              <w:t>57,5±0,89˚˚˚</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408" w:right="313"/>
              <w:jc w:val="center"/>
              <w:rPr>
                <w:sz w:val="24"/>
              </w:rPr>
            </w:pPr>
            <w:r>
              <w:rPr>
                <w:sz w:val="24"/>
              </w:rPr>
              <w:t>54,2±0,97*˚˚˚</w:t>
            </w:r>
          </w:p>
        </w:tc>
      </w:tr>
      <w:tr>
        <w:trPr>
          <w:trHeight w:val="277"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11" w:right="649"/>
              <w:jc w:val="center"/>
              <w:rPr>
                <w:sz w:val="24"/>
              </w:rPr>
            </w:pPr>
            <w:r>
              <w:rPr>
                <w:sz w:val="24"/>
              </w:rPr>
              <w:t>3–5</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2744" w:right="2674"/>
              <w:jc w:val="center"/>
              <w:rPr>
                <w:sz w:val="24"/>
              </w:rPr>
            </w:pPr>
            <w:r>
              <w:rPr>
                <w:sz w:val="24"/>
              </w:rPr>
              <w:t>35,4±0,87</w:t>
            </w:r>
          </w:p>
        </w:tc>
      </w:tr>
      <w:tr>
        <w:trPr>
          <w:trHeight w:val="278"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96" w:right="430"/>
              <w:jc w:val="center"/>
              <w:rPr>
                <w:sz w:val="24"/>
              </w:rPr>
            </w:pPr>
            <w:r>
              <w:rPr>
                <w:sz w:val="24"/>
              </w:rPr>
              <w:t>33,4±0,87</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19" w:right="330"/>
              <w:jc w:val="center"/>
              <w:rPr>
                <w:sz w:val="24"/>
              </w:rPr>
            </w:pPr>
            <w:r>
              <w:rPr>
                <w:sz w:val="24"/>
              </w:rPr>
              <w:t>35,3±0,81</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04" w:right="313"/>
              <w:jc w:val="center"/>
              <w:rPr>
                <w:sz w:val="24"/>
              </w:rPr>
            </w:pPr>
            <w:r>
              <w:rPr>
                <w:sz w:val="24"/>
              </w:rPr>
              <w:t>38,5±0,8*˚˚</w:t>
            </w:r>
          </w:p>
        </w:tc>
      </w:tr>
      <w:tr>
        <w:trPr>
          <w:trHeight w:val="273"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716" w:right="649"/>
              <w:jc w:val="center"/>
              <w:rPr>
                <w:sz w:val="24"/>
              </w:rPr>
            </w:pPr>
            <w:r>
              <w:rPr>
                <w:sz w:val="24"/>
              </w:rPr>
              <w:t>6–10</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2739" w:right="2674"/>
              <w:jc w:val="center"/>
              <w:rPr>
                <w:sz w:val="24"/>
              </w:rPr>
            </w:pPr>
            <w:r>
              <w:rPr>
                <w:sz w:val="24"/>
              </w:rPr>
              <w:t>4,6±0,47</w:t>
            </w:r>
          </w:p>
        </w:tc>
      </w:tr>
      <w:tr>
        <w:trPr>
          <w:trHeight w:val="277"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501" w:right="430"/>
              <w:jc w:val="center"/>
              <w:rPr>
                <w:sz w:val="24"/>
              </w:rPr>
            </w:pPr>
            <w:r>
              <w:rPr>
                <w:sz w:val="24"/>
              </w:rPr>
              <w:t>4,5±0,47</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19" w:right="327"/>
              <w:jc w:val="center"/>
              <w:rPr>
                <w:sz w:val="24"/>
              </w:rPr>
            </w:pPr>
            <w:r>
              <w:rPr>
                <w:sz w:val="24"/>
              </w:rPr>
              <w:t>7,2±0,43**˚˚</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08" w:right="310"/>
              <w:jc w:val="center"/>
              <w:rPr>
                <w:sz w:val="24"/>
              </w:rPr>
            </w:pPr>
            <w:r>
              <w:rPr>
                <w:sz w:val="24"/>
              </w:rPr>
              <w:t>5,2±0,48</w:t>
            </w:r>
          </w:p>
        </w:tc>
      </w:tr>
      <w:tr>
        <w:trPr>
          <w:trHeight w:val="272" w:hRule="atLeast"/>
        </w:trPr>
        <w:tc>
          <w:tcPr>
            <w:tcW w:w="1911" w:type="dxa"/>
            <w:vMerge w:val="restart"/>
            <w:tcBorders>
              <w:top w:val="single" w:sz="6" w:space="0" w:color="000000"/>
              <w:left w:val="single" w:sz="6" w:space="0" w:color="000000"/>
              <w:bottom w:val="single" w:sz="6" w:space="0" w:color="000000"/>
              <w:right w:val="single" w:sz="6" w:space="0" w:color="000000"/>
            </w:tcBorders>
          </w:tcPr>
          <w:p>
            <w:pPr>
              <w:pStyle w:val="TableParagraph"/>
              <w:spacing w:before="78"/>
              <w:ind w:left="65"/>
              <w:jc w:val="center"/>
              <w:rPr>
                <w:sz w:val="24"/>
              </w:rPr>
            </w:pPr>
            <w:r>
              <w:rPr>
                <w:w w:val="99"/>
                <w:sz w:val="24"/>
              </w:rPr>
              <w:t>%</w:t>
            </w: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3" w:lineRule="exact"/>
              <w:ind w:right="517"/>
              <w:jc w:val="right"/>
              <w:rPr>
                <w:sz w:val="24"/>
              </w:rPr>
            </w:pPr>
            <w:r>
              <w:rPr>
                <w:sz w:val="24"/>
              </w:rPr>
              <w:t>К</w:t>
            </w:r>
          </w:p>
        </w:tc>
        <w:tc>
          <w:tcPr>
            <w:tcW w:w="6445" w:type="dxa"/>
            <w:gridSpan w:val="3"/>
            <w:tcBorders>
              <w:top w:val="single" w:sz="6" w:space="0" w:color="000000"/>
              <w:left w:val="single" w:sz="6" w:space="0" w:color="000000"/>
              <w:bottom w:val="single" w:sz="6" w:space="0" w:color="000000"/>
              <w:right w:val="single" w:sz="6" w:space="0" w:color="000000"/>
            </w:tcBorders>
          </w:tcPr>
          <w:p>
            <w:pPr>
              <w:pStyle w:val="TableParagraph"/>
              <w:spacing w:line="253" w:lineRule="exact"/>
              <w:ind w:left="2744" w:right="2674"/>
              <w:jc w:val="center"/>
              <w:rPr>
                <w:sz w:val="24"/>
              </w:rPr>
            </w:pPr>
            <w:r>
              <w:rPr>
                <w:sz w:val="24"/>
              </w:rPr>
              <w:t>40,3±1,68</w:t>
            </w:r>
          </w:p>
        </w:tc>
      </w:tr>
      <w:tr>
        <w:trPr>
          <w:trHeight w:val="277" w:hRule="atLeast"/>
        </w:trPr>
        <w:tc>
          <w:tcPr>
            <w:tcW w:w="1911" w:type="dxa"/>
            <w:vMerge/>
            <w:tcBorders>
              <w:top w:val="nil"/>
              <w:left w:val="single" w:sz="6" w:space="0" w:color="000000"/>
              <w:bottom w:val="single" w:sz="6" w:space="0" w:color="000000"/>
              <w:right w:val="single" w:sz="6" w:space="0" w:color="000000"/>
            </w:tcBorders>
          </w:tcPr>
          <w:p>
            <w:pPr>
              <w:rPr>
                <w:sz w:val="2"/>
                <w:szCs w:val="2"/>
              </w:rPr>
            </w:pPr>
          </w:p>
        </w:tc>
        <w:tc>
          <w:tcPr>
            <w:tcW w:w="1287"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right="518"/>
              <w:jc w:val="right"/>
              <w:rPr>
                <w:sz w:val="24"/>
              </w:rPr>
            </w:pPr>
            <w:r>
              <w:rPr>
                <w:sz w:val="24"/>
              </w:rPr>
              <w:t>Д</w:t>
            </w:r>
          </w:p>
        </w:tc>
        <w:tc>
          <w:tcPr>
            <w:tcW w:w="2079"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97" w:right="430"/>
              <w:jc w:val="center"/>
              <w:rPr>
                <w:sz w:val="24"/>
              </w:rPr>
            </w:pPr>
            <w:r>
              <w:rPr>
                <w:sz w:val="24"/>
              </w:rPr>
              <w:t>37,9±0,87</w:t>
            </w:r>
          </w:p>
        </w:tc>
        <w:tc>
          <w:tcPr>
            <w:tcW w:w="225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19" w:right="329"/>
              <w:jc w:val="center"/>
              <w:rPr>
                <w:sz w:val="24"/>
              </w:rPr>
            </w:pPr>
            <w:r>
              <w:rPr>
                <w:sz w:val="24"/>
              </w:rPr>
              <w:t>42,5±1,81</w:t>
            </w:r>
          </w:p>
        </w:tc>
        <w:tc>
          <w:tcPr>
            <w:tcW w:w="2108" w:type="dxa"/>
            <w:tcBorders>
              <w:top w:val="single" w:sz="6" w:space="0" w:color="000000"/>
              <w:left w:val="single" w:sz="6" w:space="0" w:color="000000"/>
              <w:bottom w:val="single" w:sz="6" w:space="0" w:color="000000"/>
              <w:right w:val="single" w:sz="6" w:space="0" w:color="000000"/>
            </w:tcBorders>
          </w:tcPr>
          <w:p>
            <w:pPr>
              <w:pStyle w:val="TableParagraph"/>
              <w:spacing w:line="258" w:lineRule="exact"/>
              <w:ind w:left="408" w:right="312"/>
              <w:jc w:val="center"/>
              <w:rPr>
                <w:sz w:val="24"/>
              </w:rPr>
            </w:pPr>
            <w:r>
              <w:rPr>
                <w:sz w:val="24"/>
              </w:rPr>
              <w:t>43,7±1,87˚</w:t>
            </w:r>
          </w:p>
        </w:tc>
      </w:tr>
    </w:tbl>
    <w:p>
      <w:pPr>
        <w:spacing w:line="240" w:lineRule="auto" w:before="0"/>
        <w:ind w:left="250" w:right="611" w:firstLine="566"/>
        <w:jc w:val="both"/>
        <w:rPr>
          <w:sz w:val="22"/>
        </w:rPr>
      </w:pPr>
      <w:r>
        <w:rPr>
          <w:sz w:val="22"/>
        </w:rPr>
        <w:t>Примітка:˚ – Р&lt;0,05, ˚˚ – P&lt;0,01, ˚˚˚ – Р&lt;0,001 — вірогідність у тварин даної групи порівняно з показниками до введення препарату (1-ої доби експерименту); * – P&lt;0,05, ** – P&lt;0,01 – різниця вірогідна порівняно до показників контрольної групи.</w:t>
      </w:r>
    </w:p>
    <w:p>
      <w:pPr>
        <w:spacing w:after="0" w:line="240" w:lineRule="auto"/>
        <w:jc w:val="both"/>
        <w:rPr>
          <w:sz w:val="22"/>
        </w:rPr>
        <w:sectPr>
          <w:pgSz w:w="11910" w:h="16840"/>
          <w:pgMar w:header="713" w:footer="778" w:top="1140" w:bottom="960" w:left="940" w:right="520"/>
        </w:sectPr>
      </w:pPr>
    </w:p>
    <w:p>
      <w:pPr>
        <w:pStyle w:val="BodyText"/>
        <w:spacing w:before="6"/>
        <w:ind w:left="0"/>
        <w:jc w:val="left"/>
        <w:rPr>
          <w:sz w:val="22"/>
        </w:rPr>
      </w:pPr>
    </w:p>
    <w:p>
      <w:pPr>
        <w:pStyle w:val="BodyText"/>
        <w:spacing w:before="87"/>
        <w:ind w:left="250" w:right="616" w:firstLine="652"/>
      </w:pPr>
      <w:r>
        <w:rPr/>
        <w:t>Результати цих досліджень свідчать про те, що у корів, хворих на субклінічний мастит, клітинна ланка специфічної імунної відповіді реагувала збільшенням</w:t>
      </w:r>
      <w:r>
        <w:rPr>
          <w:spacing w:val="-6"/>
        </w:rPr>
        <w:t> </w:t>
      </w:r>
      <w:r>
        <w:rPr/>
        <w:t>абсолютної</w:t>
      </w:r>
      <w:r>
        <w:rPr>
          <w:spacing w:val="-12"/>
        </w:rPr>
        <w:t> </w:t>
      </w:r>
      <w:r>
        <w:rPr/>
        <w:t>кількості</w:t>
      </w:r>
      <w:r>
        <w:rPr>
          <w:spacing w:val="-12"/>
        </w:rPr>
        <w:t> </w:t>
      </w:r>
      <w:r>
        <w:rPr/>
        <w:t>лейкоцитів</w:t>
      </w:r>
      <w:r>
        <w:rPr>
          <w:spacing w:val="-9"/>
        </w:rPr>
        <w:t> </w:t>
      </w:r>
      <w:r>
        <w:rPr/>
        <w:t>і</w:t>
      </w:r>
      <w:r>
        <w:rPr>
          <w:spacing w:val="-13"/>
        </w:rPr>
        <w:t> </w:t>
      </w:r>
      <w:r>
        <w:rPr/>
        <w:t>зменшенням</w:t>
      </w:r>
      <w:r>
        <w:rPr>
          <w:spacing w:val="-5"/>
        </w:rPr>
        <w:t> </w:t>
      </w:r>
      <w:r>
        <w:rPr/>
        <w:t>відносної</w:t>
      </w:r>
      <w:r>
        <w:rPr>
          <w:spacing w:val="-12"/>
        </w:rPr>
        <w:t> </w:t>
      </w:r>
      <w:r>
        <w:rPr/>
        <w:t>кількості та</w:t>
      </w:r>
      <w:r>
        <w:rPr>
          <w:spacing w:val="-9"/>
        </w:rPr>
        <w:t> </w:t>
      </w:r>
      <w:r>
        <w:rPr/>
        <w:t>функціональної</w:t>
      </w:r>
      <w:r>
        <w:rPr>
          <w:spacing w:val="-13"/>
        </w:rPr>
        <w:t> </w:t>
      </w:r>
      <w:r>
        <w:rPr/>
        <w:t>активності</w:t>
      </w:r>
      <w:r>
        <w:rPr>
          <w:spacing w:val="-9"/>
        </w:rPr>
        <w:t> </w:t>
      </w:r>
      <w:r>
        <w:rPr/>
        <w:t>Т-лімфоцитів</w:t>
      </w:r>
      <w:r>
        <w:rPr>
          <w:spacing w:val="-10"/>
        </w:rPr>
        <w:t> </w:t>
      </w:r>
      <w:r>
        <w:rPr/>
        <w:t>(загальних</w:t>
      </w:r>
      <w:r>
        <w:rPr>
          <w:spacing w:val="-8"/>
        </w:rPr>
        <w:t> </w:t>
      </w:r>
      <w:r>
        <w:rPr/>
        <w:t>і</w:t>
      </w:r>
      <w:r>
        <w:rPr>
          <w:spacing w:val="-14"/>
        </w:rPr>
        <w:t> </w:t>
      </w:r>
      <w:r>
        <w:rPr/>
        <w:t>теофілін-резистентних) за рахунок перерозподілу рецепторного апарату імунокомпетентних клітин. </w:t>
      </w:r>
      <w:r>
        <w:rPr>
          <w:spacing w:val="-3"/>
        </w:rPr>
        <w:t>На </w:t>
      </w:r>
      <w:r>
        <w:rPr/>
        <w:t>такому фоні змін відмічається Т-лімфоцитопенія, яка виникає при СМ і може бути обумовлена зменшенням числа переадаптованих лімфоцитів у периферичній крові внаслідок їх міграції з судинного русла в лімфоїдну тканину.</w:t>
      </w:r>
    </w:p>
    <w:p>
      <w:pPr>
        <w:pStyle w:val="BodyText"/>
        <w:spacing w:before="3"/>
        <w:ind w:left="250" w:right="616" w:firstLine="652"/>
      </w:pPr>
      <w:r>
        <w:rPr/>
        <w:t>Інтрацистернальне введення коровам дослідної групи ліпосомального препарату сприяло нормалізації кількості Т- і В-лімфоцитів у крові. Про що вказує зростання загальної кількості Т- і В-лімфоцитів і підвищення ІРІ у крові корів дослідної групи до рівня величин цього показника у клінічно здорових тварин. При цьому, у крові корів дослідної групи на 3-тю і 9-ту доби експерименту кількість ТА-РУЛ і ЕАС-РУЛ з середньою щільністю рецепторів була більша (8,0±0,67(%) і 7,6±0,57(%) проти 5,0±0,79(%), (Р&lt;0,05)), а також (7,2±0,43(%) і 5,2±0,48(%) проти 4,6±0,47(%), (Р&lt;0,01)). А «нульових»,</w:t>
      </w:r>
    </w:p>
    <w:p>
      <w:pPr>
        <w:pStyle w:val="BodyText"/>
        <w:ind w:left="250" w:right="611"/>
      </w:pPr>
      <w:r>
        <w:rPr/>
        <w:t>недиференційованих у функціональному відношенні ТА-РУЛ – менша, порівняно до контролю (55,1±0,83(%) і 56,6±1,8(%) проти 58,6±1,81(%), (Р&lt;0,05)). Разом з цим необхідно зауважити, що вказані зміни кількості Т- і В- лімфоцитів у крові корів дослідної групи були виражені більшою мірою на 9-ту добу після введення препарату.</w:t>
      </w:r>
    </w:p>
    <w:p>
      <w:pPr>
        <w:pStyle w:val="BodyText"/>
        <w:ind w:left="250" w:right="613" w:firstLine="566"/>
      </w:pPr>
      <w:r>
        <w:rPr/>
        <w:t>Отже, отримані результати досліджень свідчать, що введення коровам, хворих на мастит з субклінічною формою перебігу, досліджуваного препарату спричиняє нормалізуючий вплив на Т- і В-клітинну ланку імунної відповіді організму. Про що вказує зниження абсолютної кількості лейкоцитів, збільшення кількості Т- і В-лімфоцитів крові та підвищення їх функціональної активності. Ці зміни ймовірно обумовлені комплексною стимулювальною дією складників препарату на процеси активації, кооперації і диференціації імунокомпетентних клітин у формуванні імунної відповіді в організмі корів, хворих на СМ. Лімфоцити – основна категорія імунокомпетентних клітин, які реагують</w:t>
      </w:r>
      <w:r>
        <w:rPr>
          <w:spacing w:val="-11"/>
        </w:rPr>
        <w:t> </w:t>
      </w:r>
      <w:r>
        <w:rPr/>
        <w:t>не</w:t>
      </w:r>
      <w:r>
        <w:rPr>
          <w:spacing w:val="-8"/>
        </w:rPr>
        <w:t> </w:t>
      </w:r>
      <w:r>
        <w:rPr/>
        <w:t>на</w:t>
      </w:r>
      <w:r>
        <w:rPr>
          <w:spacing w:val="-8"/>
        </w:rPr>
        <w:t> </w:t>
      </w:r>
      <w:r>
        <w:rPr/>
        <w:t>будь-які</w:t>
      </w:r>
      <w:r>
        <w:rPr>
          <w:spacing w:val="-13"/>
        </w:rPr>
        <w:t> </w:t>
      </w:r>
      <w:r>
        <w:rPr/>
        <w:t>антигени,</w:t>
      </w:r>
      <w:r>
        <w:rPr>
          <w:spacing w:val="-6"/>
        </w:rPr>
        <w:t> </w:t>
      </w:r>
      <w:r>
        <w:rPr/>
        <w:t>а</w:t>
      </w:r>
      <w:r>
        <w:rPr>
          <w:spacing w:val="-8"/>
        </w:rPr>
        <w:t> </w:t>
      </w:r>
      <w:r>
        <w:rPr/>
        <w:t>лише</w:t>
      </w:r>
      <w:r>
        <w:rPr>
          <w:spacing w:val="-8"/>
        </w:rPr>
        <w:t> </w:t>
      </w:r>
      <w:r>
        <w:rPr/>
        <w:t>на</w:t>
      </w:r>
      <w:r>
        <w:rPr>
          <w:spacing w:val="-8"/>
        </w:rPr>
        <w:t> </w:t>
      </w:r>
      <w:r>
        <w:rPr>
          <w:spacing w:val="-3"/>
        </w:rPr>
        <w:t>ті,</w:t>
      </w:r>
      <w:r>
        <w:rPr>
          <w:spacing w:val="-6"/>
        </w:rPr>
        <w:t> </w:t>
      </w:r>
      <w:r>
        <w:rPr/>
        <w:t>з</w:t>
      </w:r>
      <w:r>
        <w:rPr>
          <w:spacing w:val="-8"/>
        </w:rPr>
        <w:t> </w:t>
      </w:r>
      <w:r>
        <w:rPr/>
        <w:t>якими</w:t>
      </w:r>
      <w:r>
        <w:rPr>
          <w:spacing w:val="-8"/>
        </w:rPr>
        <w:t> </w:t>
      </w:r>
      <w:r>
        <w:rPr/>
        <w:t>організм</w:t>
      </w:r>
      <w:r>
        <w:rPr>
          <w:spacing w:val="-7"/>
        </w:rPr>
        <w:t> </w:t>
      </w:r>
      <w:r>
        <w:rPr/>
        <w:t>зустрічався.</w:t>
      </w:r>
      <w:r>
        <w:rPr>
          <w:spacing w:val="-6"/>
        </w:rPr>
        <w:t> </w:t>
      </w:r>
      <w:r>
        <w:rPr>
          <w:spacing w:val="-3"/>
        </w:rPr>
        <w:t>Це </w:t>
      </w:r>
      <w:r>
        <w:rPr/>
        <w:t>і обумовлює зростання їх кількості у крові корів за умов використання досліджуваного препарату [11,14]. Поряд з цим необхідно зауважити позитивний вплив препарату на функціональну активність імунокомпетентних клітин, що обумовлено версифікованим впливом біологічно-активних сполук у його складі на рецепторний апарат Т- і В-лімфоцитів</w:t>
      </w:r>
      <w:r>
        <w:rPr>
          <w:spacing w:val="-2"/>
        </w:rPr>
        <w:t> </w:t>
      </w:r>
      <w:r>
        <w:rPr/>
        <w:t>крові.</w:t>
      </w:r>
    </w:p>
    <w:p>
      <w:pPr>
        <w:pStyle w:val="BodyText"/>
        <w:spacing w:before="1"/>
        <w:ind w:left="250" w:right="622"/>
      </w:pPr>
      <w:r>
        <w:rPr>
          <w:b/>
        </w:rPr>
        <w:t>Висновки.</w:t>
      </w:r>
      <w:r>
        <w:rPr/>
        <w:t>Захворювання</w:t>
      </w:r>
      <w:r>
        <w:rPr>
          <w:spacing w:val="-16"/>
        </w:rPr>
        <w:t> </w:t>
      </w:r>
      <w:r>
        <w:rPr/>
        <w:t>корів</w:t>
      </w:r>
      <w:r>
        <w:rPr>
          <w:spacing w:val="-17"/>
        </w:rPr>
        <w:t> </w:t>
      </w:r>
      <w:r>
        <w:rPr/>
        <w:t>на</w:t>
      </w:r>
      <w:r>
        <w:rPr>
          <w:spacing w:val="-15"/>
        </w:rPr>
        <w:t> </w:t>
      </w:r>
      <w:r>
        <w:rPr/>
        <w:t>субклінічний</w:t>
      </w:r>
      <w:r>
        <w:rPr>
          <w:spacing w:val="-16"/>
        </w:rPr>
        <w:t> </w:t>
      </w:r>
      <w:r>
        <w:rPr/>
        <w:t>мастит</w:t>
      </w:r>
      <w:r>
        <w:rPr>
          <w:spacing w:val="-18"/>
        </w:rPr>
        <w:t> </w:t>
      </w:r>
      <w:r>
        <w:rPr/>
        <w:t>призводить</w:t>
      </w:r>
      <w:r>
        <w:rPr>
          <w:spacing w:val="-17"/>
        </w:rPr>
        <w:t> </w:t>
      </w:r>
      <w:r>
        <w:rPr/>
        <w:t>до</w:t>
      </w:r>
      <w:r>
        <w:rPr>
          <w:spacing w:val="-16"/>
        </w:rPr>
        <w:t> </w:t>
      </w:r>
      <w:r>
        <w:rPr/>
        <w:t>зростання кількості</w:t>
      </w:r>
      <w:r>
        <w:rPr>
          <w:spacing w:val="-22"/>
        </w:rPr>
        <w:t> </w:t>
      </w:r>
      <w:r>
        <w:rPr/>
        <w:t>лейкоцитів</w:t>
      </w:r>
      <w:r>
        <w:rPr>
          <w:spacing w:val="-15"/>
        </w:rPr>
        <w:t> </w:t>
      </w:r>
      <w:r>
        <w:rPr/>
        <w:t>у</w:t>
      </w:r>
      <w:r>
        <w:rPr>
          <w:spacing w:val="-21"/>
        </w:rPr>
        <w:t> </w:t>
      </w:r>
      <w:r>
        <w:rPr/>
        <w:t>крові.</w:t>
      </w:r>
      <w:r>
        <w:rPr>
          <w:spacing w:val="-11"/>
        </w:rPr>
        <w:t> </w:t>
      </w:r>
      <w:r>
        <w:rPr/>
        <w:t>При</w:t>
      </w:r>
      <w:r>
        <w:rPr>
          <w:spacing w:val="-17"/>
        </w:rPr>
        <w:t> </w:t>
      </w:r>
      <w:r>
        <w:rPr/>
        <w:t>цьому</w:t>
      </w:r>
      <w:r>
        <w:rPr>
          <w:spacing w:val="-17"/>
        </w:rPr>
        <w:t> </w:t>
      </w:r>
      <w:r>
        <w:rPr/>
        <w:t>у</w:t>
      </w:r>
      <w:r>
        <w:rPr>
          <w:spacing w:val="-17"/>
        </w:rPr>
        <w:t> </w:t>
      </w:r>
      <w:r>
        <w:rPr/>
        <w:t>хворих</w:t>
      </w:r>
      <w:r>
        <w:rPr>
          <w:spacing w:val="-22"/>
        </w:rPr>
        <w:t> </w:t>
      </w:r>
      <w:r>
        <w:rPr/>
        <w:t>корів</w:t>
      </w:r>
      <w:r>
        <w:rPr>
          <w:spacing w:val="-15"/>
        </w:rPr>
        <w:t> </w:t>
      </w:r>
      <w:r>
        <w:rPr/>
        <w:t>констатовано</w:t>
      </w:r>
      <w:r>
        <w:rPr>
          <w:spacing w:val="-17"/>
        </w:rPr>
        <w:t> </w:t>
      </w:r>
      <w:r>
        <w:rPr/>
        <w:t>зменшення кількості Т-активних і теофілін-резистентних Т-лімфоцитів крові та</w:t>
      </w:r>
      <w:r>
        <w:rPr>
          <w:spacing w:val="-50"/>
        </w:rPr>
        <w:t> </w:t>
      </w:r>
      <w:r>
        <w:rPr/>
        <w:t>збільшення</w:t>
      </w:r>
    </w:p>
    <w:p>
      <w:pPr>
        <w:pStyle w:val="BodyText"/>
        <w:ind w:left="250" w:right="615"/>
      </w:pPr>
      <w:r>
        <w:rPr/>
        <w:t>«нульових»,</w:t>
      </w:r>
      <w:r>
        <w:rPr>
          <w:spacing w:val="-14"/>
        </w:rPr>
        <w:t> </w:t>
      </w:r>
      <w:r>
        <w:rPr/>
        <w:t>недиференційованих</w:t>
      </w:r>
      <w:r>
        <w:rPr>
          <w:spacing w:val="-15"/>
        </w:rPr>
        <w:t> </w:t>
      </w:r>
      <w:r>
        <w:rPr/>
        <w:t>у</w:t>
      </w:r>
      <w:r>
        <w:rPr>
          <w:spacing w:val="-20"/>
        </w:rPr>
        <w:t> </w:t>
      </w:r>
      <w:r>
        <w:rPr/>
        <w:t>функціональному</w:t>
      </w:r>
      <w:r>
        <w:rPr>
          <w:spacing w:val="-19"/>
        </w:rPr>
        <w:t> </w:t>
      </w:r>
      <w:r>
        <w:rPr/>
        <w:t>відношенні</w:t>
      </w:r>
      <w:r>
        <w:rPr>
          <w:spacing w:val="-17"/>
        </w:rPr>
        <w:t> </w:t>
      </w:r>
      <w:r>
        <w:rPr/>
        <w:t>Т-лімфоцитів. Інтрацистернальне</w:t>
      </w:r>
      <w:r>
        <w:rPr>
          <w:spacing w:val="-10"/>
        </w:rPr>
        <w:t> </w:t>
      </w:r>
      <w:r>
        <w:rPr/>
        <w:t>введення</w:t>
      </w:r>
      <w:r>
        <w:rPr>
          <w:spacing w:val="-10"/>
        </w:rPr>
        <w:t> </w:t>
      </w:r>
      <w:r>
        <w:rPr/>
        <w:t>коровам,</w:t>
      </w:r>
      <w:r>
        <w:rPr>
          <w:spacing w:val="-7"/>
        </w:rPr>
        <w:t> </w:t>
      </w:r>
      <w:r>
        <w:rPr/>
        <w:t>хворих</w:t>
      </w:r>
      <w:r>
        <w:rPr>
          <w:spacing w:val="-14"/>
        </w:rPr>
        <w:t> </w:t>
      </w:r>
      <w:r>
        <w:rPr/>
        <w:t>на</w:t>
      </w:r>
      <w:r>
        <w:rPr>
          <w:spacing w:val="-10"/>
        </w:rPr>
        <w:t> </w:t>
      </w:r>
      <w:r>
        <w:rPr/>
        <w:t>мастит</w:t>
      </w:r>
      <w:r>
        <w:rPr>
          <w:spacing w:val="-11"/>
        </w:rPr>
        <w:t> </w:t>
      </w:r>
      <w:r>
        <w:rPr/>
        <w:t>з</w:t>
      </w:r>
      <w:r>
        <w:rPr>
          <w:spacing w:val="-10"/>
        </w:rPr>
        <w:t> </w:t>
      </w:r>
      <w:r>
        <w:rPr/>
        <w:t>субклінічною</w:t>
      </w:r>
      <w:r>
        <w:rPr>
          <w:spacing w:val="-11"/>
        </w:rPr>
        <w:t> </w:t>
      </w:r>
      <w:r>
        <w:rPr/>
        <w:t>формою перебігу,</w:t>
      </w:r>
      <w:r>
        <w:rPr>
          <w:spacing w:val="-22"/>
        </w:rPr>
        <w:t> </w:t>
      </w:r>
      <w:r>
        <w:rPr/>
        <w:t>нового</w:t>
      </w:r>
      <w:r>
        <w:rPr>
          <w:spacing w:val="-24"/>
        </w:rPr>
        <w:t> </w:t>
      </w:r>
      <w:r>
        <w:rPr/>
        <w:t>комплексного</w:t>
      </w:r>
      <w:r>
        <w:rPr>
          <w:spacing w:val="-23"/>
        </w:rPr>
        <w:t> </w:t>
      </w:r>
      <w:r>
        <w:rPr/>
        <w:t>ліпосомального</w:t>
      </w:r>
      <w:r>
        <w:rPr>
          <w:spacing w:val="-24"/>
        </w:rPr>
        <w:t> </w:t>
      </w:r>
      <w:r>
        <w:rPr/>
        <w:t>препарату</w:t>
      </w:r>
      <w:r>
        <w:rPr>
          <w:spacing w:val="-22"/>
        </w:rPr>
        <w:t> </w:t>
      </w:r>
      <w:r>
        <w:rPr/>
        <w:t>спричиняє</w:t>
      </w:r>
      <w:r>
        <w:rPr>
          <w:spacing w:val="-23"/>
        </w:rPr>
        <w:t> </w:t>
      </w:r>
      <w:r>
        <w:rPr/>
        <w:t>зменшення кількості    лейкоцитів,    збільшення    Т-лімфоцитів    (активних    і   </w:t>
      </w:r>
      <w:r>
        <w:rPr>
          <w:spacing w:val="29"/>
        </w:rPr>
        <w:t> </w:t>
      </w:r>
      <w:r>
        <w:rPr/>
        <w:t>теофілін-</w:t>
      </w:r>
    </w:p>
    <w:p>
      <w:pPr>
        <w:spacing w:after="0"/>
        <w:sectPr>
          <w:pgSz w:w="11910" w:h="16840"/>
          <w:pgMar w:header="713" w:footer="778" w:top="1140" w:bottom="960" w:left="940" w:right="520"/>
        </w:sectPr>
      </w:pPr>
    </w:p>
    <w:p>
      <w:pPr>
        <w:pStyle w:val="BodyText"/>
        <w:spacing w:before="92"/>
        <w:ind w:left="250"/>
        <w:jc w:val="left"/>
      </w:pPr>
      <w:r>
        <w:rPr/>
        <w:t>резистентних) і В-лімфоцитів та підвищує їх функціональну активність.</w:t>
      </w:r>
    </w:p>
    <w:p>
      <w:pPr>
        <w:pStyle w:val="BodyText"/>
        <w:spacing w:before="3"/>
        <w:ind w:left="0"/>
        <w:jc w:val="left"/>
      </w:pPr>
    </w:p>
    <w:p>
      <w:pPr>
        <w:pStyle w:val="Heading1"/>
        <w:spacing w:line="319" w:lineRule="exact" w:before="1"/>
        <w:ind w:left="245"/>
      </w:pPr>
      <w:r>
        <w:rPr/>
        <w:t>ЛІТЕРАТУРА</w:t>
      </w:r>
    </w:p>
    <w:p>
      <w:pPr>
        <w:pStyle w:val="ListParagraph"/>
        <w:numPr>
          <w:ilvl w:val="0"/>
          <w:numId w:val="10"/>
        </w:numPr>
        <w:tabs>
          <w:tab w:pos="1197" w:val="left" w:leader="none"/>
        </w:tabs>
        <w:spacing w:line="240" w:lineRule="auto" w:before="0" w:after="0"/>
        <w:ind w:left="250" w:right="616" w:firstLine="652"/>
        <w:jc w:val="both"/>
        <w:rPr>
          <w:sz w:val="28"/>
        </w:rPr>
      </w:pPr>
      <w:r>
        <w:rPr>
          <w:sz w:val="28"/>
        </w:rPr>
        <w:t>Petrov P., Zhukova Y., Yuriy D. The Effects of Dairy Management on Milk Quality Characteristics. Turkish Journal of Agriculture - Food Science and Technology. 2016. Vol. 4, Issue 9. P. 782–786. doi: </w:t>
      </w:r>
      <w:hyperlink r:id="rId39">
        <w:r>
          <w:rPr>
            <w:sz w:val="28"/>
          </w:rPr>
          <w:t>https://doi.org/10.24925/turjaf.</w:t>
        </w:r>
      </w:hyperlink>
      <w:hyperlink r:id="rId39">
        <w:r>
          <w:rPr>
            <w:sz w:val="28"/>
          </w:rPr>
          <w:t> v4i9.782-786.745</w:t>
        </w:r>
      </w:hyperlink>
    </w:p>
    <w:p>
      <w:pPr>
        <w:pStyle w:val="ListParagraph"/>
        <w:numPr>
          <w:ilvl w:val="0"/>
          <w:numId w:val="10"/>
        </w:numPr>
        <w:tabs>
          <w:tab w:pos="1202" w:val="left" w:leader="none"/>
        </w:tabs>
        <w:spacing w:line="240" w:lineRule="auto" w:before="1" w:after="0"/>
        <w:ind w:left="250" w:right="620" w:firstLine="652"/>
        <w:jc w:val="both"/>
        <w:rPr>
          <w:sz w:val="28"/>
        </w:rPr>
      </w:pPr>
      <w:r>
        <w:rPr>
          <w:sz w:val="28"/>
        </w:rPr>
        <w:t>Бородиня В. І., Гончаренко В. Б. Ефективність лікування корів, хворих субклінічним маститом, препаратами для внутріцистернального застосування. Наукові праці Південного філіалу Національного університету біоресурсів і природокористування України "Кримський агротехнологічний університет". Сер.: Ветеринарні науки. 2013. Вип.151. С.</w:t>
      </w:r>
      <w:r>
        <w:rPr>
          <w:spacing w:val="4"/>
          <w:sz w:val="28"/>
        </w:rPr>
        <w:t> </w:t>
      </w:r>
      <w:r>
        <w:rPr>
          <w:sz w:val="28"/>
        </w:rPr>
        <w:t>48–154.</w:t>
      </w:r>
    </w:p>
    <w:p>
      <w:pPr>
        <w:pStyle w:val="ListParagraph"/>
        <w:numPr>
          <w:ilvl w:val="0"/>
          <w:numId w:val="10"/>
        </w:numPr>
        <w:tabs>
          <w:tab w:pos="1202" w:val="left" w:leader="none"/>
        </w:tabs>
        <w:spacing w:line="240" w:lineRule="auto" w:before="0" w:after="0"/>
        <w:ind w:left="250" w:right="627" w:firstLine="652"/>
        <w:jc w:val="both"/>
        <w:rPr>
          <w:sz w:val="28"/>
        </w:rPr>
      </w:pPr>
      <w:r>
        <w:rPr>
          <w:sz w:val="28"/>
        </w:rPr>
        <w:t>Joshi S., Gokhale S. Status of Mastitis as an Emerging Disease in Improved and Periurban Dairy Farms in India. Annals of the New York Academy of Sciences. 2006. Vol. 1081, Issue 1. P. 74–83. doi: 10.1196/</w:t>
      </w:r>
      <w:r>
        <w:rPr>
          <w:spacing w:val="13"/>
          <w:sz w:val="28"/>
        </w:rPr>
        <w:t> </w:t>
      </w:r>
      <w:r>
        <w:rPr>
          <w:sz w:val="28"/>
        </w:rPr>
        <w:t>annals.1373.007</w:t>
      </w:r>
    </w:p>
    <w:p>
      <w:pPr>
        <w:pStyle w:val="ListParagraph"/>
        <w:numPr>
          <w:ilvl w:val="0"/>
          <w:numId w:val="10"/>
        </w:numPr>
        <w:tabs>
          <w:tab w:pos="1169" w:val="left" w:leader="none"/>
        </w:tabs>
        <w:spacing w:line="240" w:lineRule="auto" w:before="0" w:after="0"/>
        <w:ind w:left="250" w:right="616" w:firstLine="652"/>
        <w:jc w:val="both"/>
        <w:rPr>
          <w:sz w:val="28"/>
        </w:rPr>
      </w:pPr>
      <w:r>
        <w:rPr>
          <w:sz w:val="28"/>
        </w:rPr>
        <w:t>Rumar</w:t>
      </w:r>
      <w:r>
        <w:rPr>
          <w:spacing w:val="-19"/>
          <w:sz w:val="28"/>
        </w:rPr>
        <w:t> </w:t>
      </w:r>
      <w:r>
        <w:rPr>
          <w:spacing w:val="-3"/>
          <w:sz w:val="28"/>
        </w:rPr>
        <w:t>A.</w:t>
      </w:r>
      <w:r>
        <w:rPr>
          <w:spacing w:val="-20"/>
          <w:sz w:val="28"/>
        </w:rPr>
        <w:t> </w:t>
      </w:r>
      <w:r>
        <w:rPr>
          <w:sz w:val="28"/>
        </w:rPr>
        <w:t>V.,</w:t>
      </w:r>
      <w:r>
        <w:rPr>
          <w:spacing w:val="-20"/>
          <w:sz w:val="28"/>
        </w:rPr>
        <w:t> </w:t>
      </w:r>
      <w:r>
        <w:rPr>
          <w:sz w:val="28"/>
        </w:rPr>
        <w:t>Hamza</w:t>
      </w:r>
      <w:r>
        <w:rPr>
          <w:spacing w:val="-21"/>
          <w:sz w:val="28"/>
        </w:rPr>
        <w:t> </w:t>
      </w:r>
      <w:r>
        <w:rPr>
          <w:sz w:val="28"/>
        </w:rPr>
        <w:t>P.</w:t>
      </w:r>
      <w:r>
        <w:rPr>
          <w:spacing w:val="-16"/>
          <w:sz w:val="28"/>
        </w:rPr>
        <w:t> </w:t>
      </w:r>
      <w:r>
        <w:rPr>
          <w:sz w:val="28"/>
        </w:rPr>
        <w:t>A.,</w:t>
      </w:r>
      <w:r>
        <w:rPr>
          <w:spacing w:val="-20"/>
          <w:sz w:val="28"/>
        </w:rPr>
        <w:t> </w:t>
      </w:r>
      <w:r>
        <w:rPr>
          <w:sz w:val="28"/>
        </w:rPr>
        <w:t>Choudhuri</w:t>
      </w:r>
      <w:r>
        <w:rPr>
          <w:spacing w:val="-22"/>
          <w:sz w:val="28"/>
        </w:rPr>
        <w:t> </w:t>
      </w:r>
      <w:r>
        <w:rPr>
          <w:sz w:val="28"/>
        </w:rPr>
        <w:t>P.</w:t>
      </w:r>
      <w:r>
        <w:rPr>
          <w:spacing w:val="-16"/>
          <w:sz w:val="28"/>
        </w:rPr>
        <w:t> </w:t>
      </w:r>
      <w:r>
        <w:rPr>
          <w:sz w:val="28"/>
        </w:rPr>
        <w:t>C.</w:t>
      </w:r>
      <w:r>
        <w:rPr>
          <w:spacing w:val="-15"/>
          <w:sz w:val="28"/>
        </w:rPr>
        <w:t> </w:t>
      </w:r>
      <w:r>
        <w:rPr>
          <w:sz w:val="28"/>
        </w:rPr>
        <w:t>Economic</w:t>
      </w:r>
      <w:r>
        <w:rPr>
          <w:spacing w:val="-17"/>
          <w:sz w:val="28"/>
        </w:rPr>
        <w:t> </w:t>
      </w:r>
      <w:r>
        <w:rPr>
          <w:sz w:val="28"/>
        </w:rPr>
        <w:t>implications</w:t>
      </w:r>
      <w:r>
        <w:rPr>
          <w:spacing w:val="-16"/>
          <w:sz w:val="28"/>
        </w:rPr>
        <w:t> </w:t>
      </w:r>
      <w:r>
        <w:rPr>
          <w:sz w:val="28"/>
        </w:rPr>
        <w:t>of</w:t>
      </w:r>
      <w:r>
        <w:rPr>
          <w:spacing w:val="-28"/>
          <w:sz w:val="28"/>
        </w:rPr>
        <w:t> </w:t>
      </w:r>
      <w:r>
        <w:rPr>
          <w:sz w:val="28"/>
        </w:rPr>
        <w:t>treating subclinical mastitis. Indian Journal of Dairy Science. 1996. Vol.7, № 8. P.</w:t>
      </w:r>
      <w:r>
        <w:rPr>
          <w:spacing w:val="-18"/>
          <w:sz w:val="28"/>
        </w:rPr>
        <w:t> </w:t>
      </w:r>
      <w:r>
        <w:rPr>
          <w:sz w:val="28"/>
        </w:rPr>
        <w:t>459–641.</w:t>
      </w:r>
    </w:p>
    <w:p>
      <w:pPr>
        <w:pStyle w:val="ListParagraph"/>
        <w:numPr>
          <w:ilvl w:val="0"/>
          <w:numId w:val="10"/>
        </w:numPr>
        <w:tabs>
          <w:tab w:pos="1236" w:val="left" w:leader="none"/>
        </w:tabs>
        <w:spacing w:line="240" w:lineRule="auto" w:before="0" w:after="0"/>
        <w:ind w:left="250" w:right="612" w:firstLine="652"/>
        <w:jc w:val="both"/>
        <w:rPr>
          <w:sz w:val="28"/>
        </w:rPr>
      </w:pPr>
      <w:r>
        <w:rPr>
          <w:sz w:val="28"/>
        </w:rPr>
        <w:t>Супрович Т. М., Паневник В. В. Етіологічні чинники маститів корів української чорно-рябої молочної породи. Науковий вісник ЛНУВМБТ ім. С.З. Ґжицького. Серія: Ветеринарні науки. 2016. Т.18. №3(70). С.191–195. doi:</w:t>
      </w:r>
      <w:hyperlink r:id="rId40">
        <w:r>
          <w:rPr>
            <w:sz w:val="28"/>
          </w:rPr>
          <w:t> https://doi.org/10.15421/nvlvet7046</w:t>
        </w:r>
      </w:hyperlink>
    </w:p>
    <w:p>
      <w:pPr>
        <w:pStyle w:val="ListParagraph"/>
        <w:numPr>
          <w:ilvl w:val="0"/>
          <w:numId w:val="10"/>
        </w:numPr>
        <w:tabs>
          <w:tab w:pos="1188" w:val="left" w:leader="none"/>
        </w:tabs>
        <w:spacing w:line="322" w:lineRule="exact" w:before="1" w:after="0"/>
        <w:ind w:left="1187" w:right="0" w:hanging="285"/>
        <w:jc w:val="both"/>
        <w:rPr>
          <w:sz w:val="28"/>
        </w:rPr>
      </w:pPr>
      <w:r>
        <w:rPr>
          <w:sz w:val="28"/>
        </w:rPr>
        <w:t>Schwarz D., Diesterbeck U. S., König S., Brügemann K., Schlez K.,</w:t>
      </w:r>
      <w:r>
        <w:rPr>
          <w:spacing w:val="-27"/>
          <w:sz w:val="28"/>
        </w:rPr>
        <w:t> </w:t>
      </w:r>
      <w:r>
        <w:rPr>
          <w:sz w:val="28"/>
        </w:rPr>
        <w:t>Zschöck</w:t>
      </w:r>
    </w:p>
    <w:p>
      <w:pPr>
        <w:pStyle w:val="BodyText"/>
        <w:ind w:left="250" w:right="612"/>
      </w:pPr>
      <w:r>
        <w:rPr/>
        <w:t>M.</w:t>
      </w:r>
      <w:r>
        <w:rPr>
          <w:spacing w:val="-6"/>
        </w:rPr>
        <w:t> </w:t>
      </w:r>
      <w:r>
        <w:rPr/>
        <w:t>Flow</w:t>
      </w:r>
      <w:r>
        <w:rPr>
          <w:spacing w:val="-7"/>
        </w:rPr>
        <w:t> </w:t>
      </w:r>
      <w:r>
        <w:rPr/>
        <w:t>cytometric</w:t>
      </w:r>
      <w:r>
        <w:rPr>
          <w:spacing w:val="-7"/>
        </w:rPr>
        <w:t> </w:t>
      </w:r>
      <w:r>
        <w:rPr/>
        <w:t>differential</w:t>
      </w:r>
      <w:r>
        <w:rPr>
          <w:spacing w:val="-12"/>
        </w:rPr>
        <w:t> </w:t>
      </w:r>
      <w:r>
        <w:rPr/>
        <w:t>cell</w:t>
      </w:r>
      <w:r>
        <w:rPr>
          <w:spacing w:val="-13"/>
        </w:rPr>
        <w:t> </w:t>
      </w:r>
      <w:r>
        <w:rPr/>
        <w:t>counts</w:t>
      </w:r>
      <w:r>
        <w:rPr>
          <w:spacing w:val="-2"/>
        </w:rPr>
        <w:t> </w:t>
      </w:r>
      <w:r>
        <w:rPr/>
        <w:t>in</w:t>
      </w:r>
      <w:r>
        <w:rPr>
          <w:spacing w:val="-8"/>
        </w:rPr>
        <w:t> </w:t>
      </w:r>
      <w:r>
        <w:rPr/>
        <w:t>milk</w:t>
      </w:r>
      <w:r>
        <w:rPr>
          <w:spacing w:val="-4"/>
        </w:rPr>
        <w:t> </w:t>
      </w:r>
      <w:r>
        <w:rPr>
          <w:spacing w:val="-3"/>
        </w:rPr>
        <w:t>for</w:t>
      </w:r>
      <w:r>
        <w:rPr>
          <w:spacing w:val="-9"/>
        </w:rPr>
        <w:t> </w:t>
      </w:r>
      <w:r>
        <w:rPr/>
        <w:t>the</w:t>
      </w:r>
      <w:r>
        <w:rPr>
          <w:spacing w:val="-7"/>
        </w:rPr>
        <w:t> </w:t>
      </w:r>
      <w:r>
        <w:rPr/>
        <w:t>evaluation</w:t>
      </w:r>
      <w:r>
        <w:rPr>
          <w:spacing w:val="-11"/>
        </w:rPr>
        <w:t> </w:t>
      </w:r>
      <w:r>
        <w:rPr/>
        <w:t>of</w:t>
      </w:r>
      <w:r>
        <w:rPr>
          <w:spacing w:val="-9"/>
        </w:rPr>
        <w:t> </w:t>
      </w:r>
      <w:r>
        <w:rPr/>
        <w:t>inflammatory reactions in clinically healthy and subclinically infected bovine mammary glands. Journal of Dairy Science. 2011. Vol. 94, Issue 10. P. 5033–5044. doi:</w:t>
      </w:r>
      <w:hyperlink r:id="rId41">
        <w:r>
          <w:rPr>
            <w:u w:val="single"/>
          </w:rPr>
          <w:t> h</w:t>
        </w:r>
        <w:r>
          <w:rPr/>
          <w:t>ttps://doi.org/10.3168/jds.2011-4348</w:t>
        </w:r>
      </w:hyperlink>
    </w:p>
    <w:p>
      <w:pPr>
        <w:pStyle w:val="ListParagraph"/>
        <w:numPr>
          <w:ilvl w:val="0"/>
          <w:numId w:val="10"/>
        </w:numPr>
        <w:tabs>
          <w:tab w:pos="1289" w:val="left" w:leader="none"/>
        </w:tabs>
        <w:spacing w:line="240" w:lineRule="auto" w:before="0" w:after="0"/>
        <w:ind w:left="250" w:right="624" w:firstLine="652"/>
        <w:jc w:val="both"/>
        <w:rPr>
          <w:sz w:val="28"/>
        </w:rPr>
      </w:pPr>
      <w:r>
        <w:rPr>
          <w:sz w:val="28"/>
        </w:rPr>
        <w:t>Любецький В. Й., Вальчук О. </w:t>
      </w:r>
      <w:r>
        <w:rPr>
          <w:spacing w:val="-3"/>
          <w:sz w:val="28"/>
        </w:rPr>
        <w:t>А. </w:t>
      </w:r>
      <w:r>
        <w:rPr>
          <w:sz w:val="28"/>
        </w:rPr>
        <w:t>Розповсюдження маститу серед високопродуктивних корів. Київ : Наук. вісн. НАУ, 2005. №89. С.</w:t>
      </w:r>
      <w:r>
        <w:rPr>
          <w:spacing w:val="-1"/>
          <w:sz w:val="28"/>
        </w:rPr>
        <w:t> </w:t>
      </w:r>
      <w:r>
        <w:rPr>
          <w:sz w:val="28"/>
        </w:rPr>
        <w:t>294-297.</w:t>
      </w:r>
    </w:p>
    <w:p>
      <w:pPr>
        <w:pStyle w:val="ListParagraph"/>
        <w:numPr>
          <w:ilvl w:val="0"/>
          <w:numId w:val="10"/>
        </w:numPr>
        <w:tabs>
          <w:tab w:pos="1207" w:val="left" w:leader="none"/>
        </w:tabs>
        <w:spacing w:line="240" w:lineRule="auto" w:before="0" w:after="0"/>
        <w:ind w:left="250" w:right="614" w:firstLine="652"/>
        <w:jc w:val="both"/>
        <w:rPr>
          <w:sz w:val="28"/>
        </w:rPr>
      </w:pPr>
      <w:r>
        <w:rPr>
          <w:sz w:val="28"/>
        </w:rPr>
        <w:t>Barbano D. M., Galton D. M., Rudan M. A., Boor </w:t>
      </w:r>
      <w:r>
        <w:rPr>
          <w:spacing w:val="-3"/>
          <w:sz w:val="28"/>
        </w:rPr>
        <w:t>K. </w:t>
      </w:r>
      <w:r>
        <w:rPr>
          <w:sz w:val="28"/>
        </w:rPr>
        <w:t>J. Effects of Somatic Cell Count on Quality and Shelf-Life of Pasteurized Fluid Milk. Journal of </w:t>
      </w:r>
      <w:r>
        <w:rPr>
          <w:spacing w:val="2"/>
          <w:sz w:val="28"/>
        </w:rPr>
        <w:t>Dairy </w:t>
      </w:r>
      <w:r>
        <w:rPr>
          <w:sz w:val="28"/>
        </w:rPr>
        <w:t>Science. 2000. Vol. 83, Issue 2. P.264–274.</w:t>
      </w:r>
      <w:r>
        <w:rPr>
          <w:spacing w:val="-19"/>
          <w:sz w:val="28"/>
        </w:rPr>
        <w:t> </w:t>
      </w:r>
      <w:r>
        <w:rPr>
          <w:sz w:val="28"/>
        </w:rPr>
        <w:t>doi:</w:t>
      </w:r>
      <w:hyperlink r:id="rId42">
        <w:r>
          <w:rPr>
            <w:sz w:val="28"/>
          </w:rPr>
          <w:t>10.3168/jds.s0022-0302(00)74873-9</w:t>
        </w:r>
      </w:hyperlink>
      <w:r>
        <w:rPr>
          <w:sz w:val="28"/>
        </w:rPr>
        <w:t>.</w:t>
      </w:r>
    </w:p>
    <w:p>
      <w:pPr>
        <w:pStyle w:val="ListParagraph"/>
        <w:numPr>
          <w:ilvl w:val="0"/>
          <w:numId w:val="10"/>
        </w:numPr>
        <w:tabs>
          <w:tab w:pos="1265" w:val="left" w:leader="none"/>
        </w:tabs>
        <w:spacing w:line="240" w:lineRule="auto" w:before="2" w:after="0"/>
        <w:ind w:left="250" w:right="622" w:firstLine="652"/>
        <w:jc w:val="both"/>
        <w:rPr>
          <w:sz w:val="28"/>
        </w:rPr>
      </w:pPr>
      <w:r>
        <w:rPr>
          <w:sz w:val="28"/>
        </w:rPr>
        <w:t>Палій </w:t>
      </w:r>
      <w:r>
        <w:rPr>
          <w:spacing w:val="-3"/>
          <w:sz w:val="28"/>
        </w:rPr>
        <w:t>А. П. </w:t>
      </w:r>
      <w:r>
        <w:rPr>
          <w:sz w:val="28"/>
        </w:rPr>
        <w:t>Інноваційні основи одержання високоякісного молока: монографія. Харків: Міськдрук, 2016. 270</w:t>
      </w:r>
      <w:r>
        <w:rPr>
          <w:spacing w:val="9"/>
          <w:sz w:val="28"/>
        </w:rPr>
        <w:t> </w:t>
      </w:r>
      <w:r>
        <w:rPr>
          <w:sz w:val="28"/>
        </w:rPr>
        <w:t>с.</w:t>
      </w:r>
    </w:p>
    <w:p>
      <w:pPr>
        <w:pStyle w:val="ListParagraph"/>
        <w:numPr>
          <w:ilvl w:val="0"/>
          <w:numId w:val="10"/>
        </w:numPr>
        <w:tabs>
          <w:tab w:pos="1399" w:val="left" w:leader="none"/>
        </w:tabs>
        <w:spacing w:line="240" w:lineRule="auto" w:before="0" w:after="0"/>
        <w:ind w:left="250" w:right="609" w:firstLine="652"/>
        <w:jc w:val="both"/>
        <w:rPr>
          <w:sz w:val="28"/>
        </w:rPr>
      </w:pPr>
      <w:r>
        <w:rPr>
          <w:sz w:val="28"/>
        </w:rPr>
        <w:t>Suprovych T. M., Suprovych M. P., Koval T. V., Karchevska T. M., Chepurna V. A., Chornyi I. O., Berezhanskyi </w:t>
      </w:r>
      <w:r>
        <w:rPr>
          <w:spacing w:val="-3"/>
          <w:sz w:val="28"/>
        </w:rPr>
        <w:t>A. </w:t>
      </w:r>
      <w:r>
        <w:rPr>
          <w:sz w:val="28"/>
        </w:rPr>
        <w:t>P. BoLA-DRB3 gene as a marker </w:t>
      </w:r>
      <w:r>
        <w:rPr>
          <w:spacing w:val="4"/>
          <w:sz w:val="28"/>
        </w:rPr>
        <w:t>of </w:t>
      </w:r>
      <w:r>
        <w:rPr>
          <w:sz w:val="28"/>
        </w:rPr>
        <w:t>susceptibility and resistance of the Ukrainian black-pied and red-pied dairy breeds to mastitis. Regulatory Mechanisms in Biosystems, 2018, Vol. 9(3), P. 363–368. </w:t>
      </w:r>
      <w:hyperlink r:id="rId43">
        <w:r>
          <w:rPr>
            <w:sz w:val="28"/>
          </w:rPr>
          <w:t>doi:</w:t>
        </w:r>
      </w:hyperlink>
      <w:hyperlink r:id="rId43">
        <w:r>
          <w:rPr>
            <w:sz w:val="28"/>
          </w:rPr>
          <w:t> 10.15421/021853</w:t>
        </w:r>
      </w:hyperlink>
    </w:p>
    <w:p>
      <w:pPr>
        <w:pStyle w:val="ListParagraph"/>
        <w:numPr>
          <w:ilvl w:val="0"/>
          <w:numId w:val="10"/>
        </w:numPr>
        <w:tabs>
          <w:tab w:pos="1433" w:val="left" w:leader="none"/>
        </w:tabs>
        <w:spacing w:line="240" w:lineRule="auto" w:before="0" w:after="0"/>
        <w:ind w:left="250" w:right="614" w:firstLine="652"/>
        <w:jc w:val="both"/>
        <w:rPr>
          <w:sz w:val="28"/>
        </w:rPr>
      </w:pPr>
      <w:r>
        <w:rPr>
          <w:sz w:val="28"/>
        </w:rPr>
        <w:t>Чепурна В. А., Супрович Т. М., Віщур О. І., Коваленко В. Л. Лейкоцитарний</w:t>
      </w:r>
      <w:r>
        <w:rPr>
          <w:spacing w:val="-11"/>
          <w:sz w:val="28"/>
        </w:rPr>
        <w:t> </w:t>
      </w:r>
      <w:r>
        <w:rPr>
          <w:sz w:val="28"/>
        </w:rPr>
        <w:t>та</w:t>
      </w:r>
      <w:r>
        <w:rPr>
          <w:spacing w:val="-10"/>
          <w:sz w:val="28"/>
        </w:rPr>
        <w:t> </w:t>
      </w:r>
      <w:r>
        <w:rPr>
          <w:sz w:val="28"/>
        </w:rPr>
        <w:t>біохімічний</w:t>
      </w:r>
      <w:r>
        <w:rPr>
          <w:spacing w:val="-6"/>
          <w:sz w:val="28"/>
        </w:rPr>
        <w:t> </w:t>
      </w:r>
      <w:r>
        <w:rPr>
          <w:sz w:val="28"/>
        </w:rPr>
        <w:t>профіль</w:t>
      </w:r>
      <w:r>
        <w:rPr>
          <w:spacing w:val="-12"/>
          <w:sz w:val="28"/>
        </w:rPr>
        <w:t> </w:t>
      </w:r>
      <w:r>
        <w:rPr>
          <w:sz w:val="28"/>
        </w:rPr>
        <w:t>крові</w:t>
      </w:r>
      <w:r>
        <w:rPr>
          <w:spacing w:val="-15"/>
          <w:sz w:val="28"/>
        </w:rPr>
        <w:t> </w:t>
      </w:r>
      <w:r>
        <w:rPr>
          <w:sz w:val="28"/>
        </w:rPr>
        <w:t>корів,</w:t>
      </w:r>
      <w:r>
        <w:rPr>
          <w:spacing w:val="-8"/>
          <w:sz w:val="28"/>
        </w:rPr>
        <w:t> </w:t>
      </w:r>
      <w:r>
        <w:rPr>
          <w:sz w:val="28"/>
        </w:rPr>
        <w:t>хворих</w:t>
      </w:r>
      <w:r>
        <w:rPr>
          <w:spacing w:val="-14"/>
          <w:sz w:val="28"/>
        </w:rPr>
        <w:t> </w:t>
      </w:r>
      <w:r>
        <w:rPr>
          <w:sz w:val="28"/>
        </w:rPr>
        <w:t>на</w:t>
      </w:r>
      <w:r>
        <w:rPr>
          <w:spacing w:val="-10"/>
          <w:sz w:val="28"/>
        </w:rPr>
        <w:t> </w:t>
      </w:r>
      <w:r>
        <w:rPr>
          <w:sz w:val="28"/>
        </w:rPr>
        <w:t>клінічний</w:t>
      </w:r>
      <w:r>
        <w:rPr>
          <w:spacing w:val="-10"/>
          <w:sz w:val="28"/>
        </w:rPr>
        <w:t> </w:t>
      </w:r>
      <w:r>
        <w:rPr>
          <w:sz w:val="28"/>
        </w:rPr>
        <w:t>мастит, за дії ліпосомального препарату на основі етилтіосульфанілату. Ветеринарна біотехнологія. 2018. Вип.32(1).</w:t>
      </w:r>
      <w:r>
        <w:rPr>
          <w:spacing w:val="12"/>
          <w:sz w:val="28"/>
        </w:rPr>
        <w:t> </w:t>
      </w:r>
      <w:r>
        <w:rPr>
          <w:sz w:val="28"/>
        </w:rPr>
        <w:t>С.307–311.</w:t>
      </w:r>
    </w:p>
    <w:p>
      <w:pPr>
        <w:pStyle w:val="ListParagraph"/>
        <w:numPr>
          <w:ilvl w:val="0"/>
          <w:numId w:val="10"/>
        </w:numPr>
        <w:tabs>
          <w:tab w:pos="1327" w:val="left" w:leader="none"/>
        </w:tabs>
        <w:spacing w:line="321" w:lineRule="exact" w:before="0" w:after="0"/>
        <w:ind w:left="1326" w:right="0" w:hanging="424"/>
        <w:jc w:val="both"/>
        <w:rPr>
          <w:sz w:val="28"/>
        </w:rPr>
      </w:pPr>
      <w:r>
        <w:rPr>
          <w:sz w:val="28"/>
        </w:rPr>
        <w:t>Барсуков Л. </w:t>
      </w:r>
      <w:r>
        <w:rPr>
          <w:spacing w:val="-3"/>
          <w:sz w:val="28"/>
        </w:rPr>
        <w:t>И. </w:t>
      </w:r>
      <w:r>
        <w:rPr>
          <w:sz w:val="28"/>
        </w:rPr>
        <w:t>Липосомы. Сорос. образов. журн. 1998. №10.</w:t>
      </w:r>
      <w:r>
        <w:rPr>
          <w:spacing w:val="16"/>
          <w:sz w:val="28"/>
        </w:rPr>
        <w:t> </w:t>
      </w:r>
      <w:r>
        <w:rPr>
          <w:sz w:val="28"/>
        </w:rPr>
        <w:t>С.12–19.</w:t>
      </w:r>
    </w:p>
    <w:p>
      <w:pPr>
        <w:pStyle w:val="ListParagraph"/>
        <w:numPr>
          <w:ilvl w:val="0"/>
          <w:numId w:val="10"/>
        </w:numPr>
        <w:tabs>
          <w:tab w:pos="1365" w:val="left" w:leader="none"/>
        </w:tabs>
        <w:spacing w:line="240" w:lineRule="auto" w:before="0" w:after="0"/>
        <w:ind w:left="1365" w:right="0" w:hanging="462"/>
        <w:jc w:val="both"/>
        <w:rPr>
          <w:sz w:val="28"/>
        </w:rPr>
      </w:pPr>
      <w:r>
        <w:rPr>
          <w:sz w:val="28"/>
        </w:rPr>
        <w:t>Кобринский</w:t>
      </w:r>
      <w:r>
        <w:rPr>
          <w:spacing w:val="35"/>
          <w:sz w:val="28"/>
        </w:rPr>
        <w:t> </w:t>
      </w:r>
      <w:r>
        <w:rPr>
          <w:sz w:val="28"/>
        </w:rPr>
        <w:t>Г.</w:t>
      </w:r>
      <w:r>
        <w:rPr>
          <w:spacing w:val="41"/>
          <w:sz w:val="28"/>
        </w:rPr>
        <w:t> </w:t>
      </w:r>
      <w:r>
        <w:rPr>
          <w:sz w:val="28"/>
        </w:rPr>
        <w:t>Л.</w:t>
      </w:r>
      <w:r>
        <w:rPr>
          <w:spacing w:val="38"/>
          <w:sz w:val="28"/>
        </w:rPr>
        <w:t> </w:t>
      </w:r>
      <w:r>
        <w:rPr>
          <w:sz w:val="28"/>
        </w:rPr>
        <w:t>Липосомы</w:t>
      </w:r>
      <w:r>
        <w:rPr>
          <w:spacing w:val="37"/>
          <w:sz w:val="28"/>
        </w:rPr>
        <w:t> </w:t>
      </w:r>
      <w:r>
        <w:rPr>
          <w:sz w:val="28"/>
        </w:rPr>
        <w:t>в</w:t>
      </w:r>
      <w:r>
        <w:rPr>
          <w:spacing w:val="34"/>
          <w:sz w:val="28"/>
        </w:rPr>
        <w:t> </w:t>
      </w:r>
      <w:r>
        <w:rPr>
          <w:sz w:val="28"/>
        </w:rPr>
        <w:t>медицине.</w:t>
      </w:r>
      <w:r>
        <w:rPr>
          <w:spacing w:val="39"/>
          <w:sz w:val="28"/>
        </w:rPr>
        <w:t> </w:t>
      </w:r>
      <w:r>
        <w:rPr>
          <w:sz w:val="28"/>
        </w:rPr>
        <w:t>Наука</w:t>
      </w:r>
      <w:r>
        <w:rPr>
          <w:spacing w:val="37"/>
          <w:sz w:val="28"/>
        </w:rPr>
        <w:t> </w:t>
      </w:r>
      <w:r>
        <w:rPr>
          <w:sz w:val="28"/>
        </w:rPr>
        <w:t>и</w:t>
      </w:r>
      <w:r>
        <w:rPr>
          <w:spacing w:val="36"/>
          <w:sz w:val="28"/>
        </w:rPr>
        <w:t> </w:t>
      </w:r>
      <w:r>
        <w:rPr>
          <w:sz w:val="28"/>
        </w:rPr>
        <w:t>жизнь.</w:t>
      </w:r>
      <w:r>
        <w:rPr>
          <w:spacing w:val="38"/>
          <w:sz w:val="28"/>
        </w:rPr>
        <w:t> </w:t>
      </w:r>
      <w:r>
        <w:rPr>
          <w:sz w:val="28"/>
        </w:rPr>
        <w:t>1988.</w:t>
      </w:r>
      <w:r>
        <w:rPr>
          <w:spacing w:val="39"/>
          <w:sz w:val="28"/>
        </w:rPr>
        <w:t> </w:t>
      </w:r>
      <w:r>
        <w:rPr>
          <w:sz w:val="28"/>
        </w:rPr>
        <w:t>№6.</w:t>
      </w:r>
    </w:p>
    <w:p>
      <w:pPr>
        <w:spacing w:after="0" w:line="240" w:lineRule="auto"/>
        <w:jc w:val="both"/>
        <w:rPr>
          <w:sz w:val="28"/>
        </w:rPr>
        <w:sectPr>
          <w:pgSz w:w="11910" w:h="16840"/>
          <w:pgMar w:header="713" w:footer="778" w:top="1140" w:bottom="960" w:left="940" w:right="520"/>
        </w:sectPr>
      </w:pPr>
    </w:p>
    <w:p>
      <w:pPr>
        <w:pStyle w:val="BodyText"/>
        <w:spacing w:line="322" w:lineRule="exact" w:before="92"/>
        <w:ind w:left="250"/>
        <w:jc w:val="left"/>
      </w:pPr>
      <w:r>
        <w:rPr/>
        <w:t>С.23–30.</w:t>
      </w:r>
    </w:p>
    <w:p>
      <w:pPr>
        <w:pStyle w:val="ListParagraph"/>
        <w:numPr>
          <w:ilvl w:val="0"/>
          <w:numId w:val="10"/>
        </w:numPr>
        <w:tabs>
          <w:tab w:pos="1317" w:val="left" w:leader="none"/>
        </w:tabs>
        <w:spacing w:line="240" w:lineRule="auto" w:before="0" w:after="0"/>
        <w:ind w:left="250" w:right="617" w:firstLine="652"/>
        <w:jc w:val="both"/>
        <w:rPr>
          <w:sz w:val="28"/>
        </w:rPr>
      </w:pPr>
      <w:r>
        <w:rPr>
          <w:sz w:val="28"/>
        </w:rPr>
        <w:t>Собко</w:t>
      </w:r>
      <w:r>
        <w:rPr>
          <w:spacing w:val="-14"/>
          <w:sz w:val="28"/>
        </w:rPr>
        <w:t> </w:t>
      </w:r>
      <w:r>
        <w:rPr>
          <w:sz w:val="28"/>
        </w:rPr>
        <w:t>Г.В.</w:t>
      </w:r>
      <w:r>
        <w:rPr>
          <w:spacing w:val="-11"/>
          <w:sz w:val="28"/>
        </w:rPr>
        <w:t> </w:t>
      </w:r>
      <w:r>
        <w:rPr>
          <w:sz w:val="28"/>
        </w:rPr>
        <w:t>Вплив</w:t>
      </w:r>
      <w:r>
        <w:rPr>
          <w:spacing w:val="-15"/>
          <w:sz w:val="28"/>
        </w:rPr>
        <w:t> </w:t>
      </w:r>
      <w:r>
        <w:rPr>
          <w:sz w:val="28"/>
        </w:rPr>
        <w:t>препарату</w:t>
      </w:r>
      <w:r>
        <w:rPr>
          <w:spacing w:val="-13"/>
          <w:sz w:val="28"/>
        </w:rPr>
        <w:t> </w:t>
      </w:r>
      <w:r>
        <w:rPr>
          <w:sz w:val="28"/>
        </w:rPr>
        <w:t>«Антимаст»</w:t>
      </w:r>
      <w:r>
        <w:rPr>
          <w:spacing w:val="-17"/>
          <w:sz w:val="28"/>
        </w:rPr>
        <w:t> </w:t>
      </w:r>
      <w:r>
        <w:rPr>
          <w:sz w:val="28"/>
        </w:rPr>
        <w:t>на</w:t>
      </w:r>
      <w:r>
        <w:rPr>
          <w:spacing w:val="-13"/>
          <w:sz w:val="28"/>
        </w:rPr>
        <w:t> </w:t>
      </w:r>
      <w:r>
        <w:rPr>
          <w:sz w:val="28"/>
        </w:rPr>
        <w:t>стан</w:t>
      </w:r>
      <w:r>
        <w:rPr>
          <w:spacing w:val="-13"/>
          <w:sz w:val="28"/>
        </w:rPr>
        <w:t> </w:t>
      </w:r>
      <w:r>
        <w:rPr>
          <w:spacing w:val="5"/>
          <w:sz w:val="28"/>
        </w:rPr>
        <w:t>Т-</w:t>
      </w:r>
      <w:r>
        <w:rPr>
          <w:spacing w:val="-10"/>
          <w:sz w:val="28"/>
        </w:rPr>
        <w:t> </w:t>
      </w:r>
      <w:r>
        <w:rPr>
          <w:sz w:val="28"/>
        </w:rPr>
        <w:t>і</w:t>
      </w:r>
      <w:r>
        <w:rPr>
          <w:spacing w:val="-18"/>
          <w:sz w:val="28"/>
        </w:rPr>
        <w:t> </w:t>
      </w:r>
      <w:r>
        <w:rPr>
          <w:sz w:val="28"/>
        </w:rPr>
        <w:t>В-клітинної</w:t>
      </w:r>
      <w:r>
        <w:rPr>
          <w:spacing w:val="-17"/>
          <w:sz w:val="28"/>
        </w:rPr>
        <w:t> </w:t>
      </w:r>
      <w:r>
        <w:rPr>
          <w:sz w:val="28"/>
        </w:rPr>
        <w:t>ланок імунітету корів, хворих на субклінічну форму маститу. Біологія тварин, 2016, т. 18, № 4. С. 86–92. </w:t>
      </w:r>
      <w:hyperlink r:id="rId44">
        <w:r>
          <w:rPr>
            <w:sz w:val="28"/>
          </w:rPr>
          <w:t>doi:</w:t>
        </w:r>
        <w:r>
          <w:rPr>
            <w:spacing w:val="5"/>
            <w:sz w:val="28"/>
          </w:rPr>
          <w:t> </w:t>
        </w:r>
        <w:r>
          <w:rPr>
            <w:sz w:val="28"/>
          </w:rPr>
          <w:t>10.15407/animbiol18.04.086</w:t>
        </w:r>
      </w:hyperlink>
    </w:p>
    <w:p>
      <w:pPr>
        <w:pStyle w:val="ListParagraph"/>
        <w:numPr>
          <w:ilvl w:val="0"/>
          <w:numId w:val="10"/>
        </w:numPr>
        <w:tabs>
          <w:tab w:pos="1322" w:val="left" w:leader="none"/>
        </w:tabs>
        <w:spacing w:line="242" w:lineRule="auto" w:before="0" w:after="0"/>
        <w:ind w:left="250" w:right="615" w:firstLine="652"/>
        <w:jc w:val="both"/>
        <w:rPr>
          <w:sz w:val="28"/>
        </w:rPr>
      </w:pPr>
      <w:r>
        <w:rPr>
          <w:sz w:val="28"/>
        </w:rPr>
        <w:t>O’Driscoll</w:t>
      </w:r>
      <w:r>
        <w:rPr>
          <w:spacing w:val="-14"/>
          <w:sz w:val="28"/>
        </w:rPr>
        <w:t> </w:t>
      </w:r>
      <w:r>
        <w:rPr>
          <w:sz w:val="28"/>
        </w:rPr>
        <w:t>K.,</w:t>
      </w:r>
      <w:r>
        <w:rPr>
          <w:spacing w:val="-5"/>
          <w:sz w:val="28"/>
        </w:rPr>
        <w:t> </w:t>
      </w:r>
      <w:r>
        <w:rPr>
          <w:sz w:val="28"/>
        </w:rPr>
        <w:t>Boyle</w:t>
      </w:r>
      <w:r>
        <w:rPr>
          <w:spacing w:val="-3"/>
          <w:sz w:val="28"/>
        </w:rPr>
        <w:t> </w:t>
      </w:r>
      <w:r>
        <w:rPr>
          <w:sz w:val="28"/>
        </w:rPr>
        <w:t>L.,</w:t>
      </w:r>
      <w:r>
        <w:rPr>
          <w:spacing w:val="-6"/>
          <w:sz w:val="28"/>
        </w:rPr>
        <w:t> </w:t>
      </w:r>
      <w:r>
        <w:rPr>
          <w:sz w:val="28"/>
        </w:rPr>
        <w:t>French</w:t>
      </w:r>
      <w:r>
        <w:rPr>
          <w:spacing w:val="-12"/>
          <w:sz w:val="28"/>
        </w:rPr>
        <w:t> </w:t>
      </w:r>
      <w:r>
        <w:rPr>
          <w:sz w:val="28"/>
        </w:rPr>
        <w:t>P.,</w:t>
      </w:r>
      <w:r>
        <w:rPr>
          <w:spacing w:val="-6"/>
          <w:sz w:val="28"/>
        </w:rPr>
        <w:t> </w:t>
      </w:r>
      <w:r>
        <w:rPr>
          <w:sz w:val="28"/>
        </w:rPr>
        <w:t>Meaney</w:t>
      </w:r>
      <w:r>
        <w:rPr>
          <w:spacing w:val="-12"/>
          <w:sz w:val="28"/>
        </w:rPr>
        <w:t> </w:t>
      </w:r>
      <w:r>
        <w:rPr>
          <w:sz w:val="28"/>
        </w:rPr>
        <w:t>B.,</w:t>
      </w:r>
      <w:r>
        <w:rPr>
          <w:spacing w:val="-6"/>
          <w:sz w:val="28"/>
        </w:rPr>
        <w:t> </w:t>
      </w:r>
      <w:r>
        <w:rPr>
          <w:sz w:val="28"/>
        </w:rPr>
        <w:t>Hanlon</w:t>
      </w:r>
      <w:r>
        <w:rPr>
          <w:spacing w:val="-12"/>
          <w:sz w:val="28"/>
        </w:rPr>
        <w:t> </w:t>
      </w:r>
      <w:r>
        <w:rPr>
          <w:spacing w:val="-3"/>
          <w:sz w:val="28"/>
        </w:rPr>
        <w:t>A.</w:t>
      </w:r>
      <w:r>
        <w:rPr>
          <w:spacing w:val="2"/>
          <w:sz w:val="28"/>
        </w:rPr>
        <w:t> </w:t>
      </w:r>
      <w:r>
        <w:rPr>
          <w:sz w:val="28"/>
        </w:rPr>
        <w:t>The</w:t>
      </w:r>
      <w:r>
        <w:rPr>
          <w:spacing w:val="-8"/>
          <w:sz w:val="28"/>
        </w:rPr>
        <w:t> </w:t>
      </w:r>
      <w:r>
        <w:rPr>
          <w:sz w:val="28"/>
        </w:rPr>
        <w:t>effect</w:t>
      </w:r>
      <w:r>
        <w:rPr>
          <w:spacing w:val="-8"/>
          <w:sz w:val="28"/>
        </w:rPr>
        <w:t> </w:t>
      </w:r>
      <w:r>
        <w:rPr>
          <w:sz w:val="28"/>
        </w:rPr>
        <w:t>of</w:t>
      </w:r>
      <w:r>
        <w:rPr>
          <w:spacing w:val="-14"/>
          <w:sz w:val="28"/>
        </w:rPr>
        <w:t> </w:t>
      </w:r>
      <w:r>
        <w:rPr>
          <w:sz w:val="28"/>
        </w:rPr>
        <w:t>out- wintering pad design on dirtiness score, somatic cell score and mastitis incidence in dairy cows. Animal. 2008. Vol. 2(6). P. 912–920. doi:</w:t>
      </w:r>
      <w:r>
        <w:rPr>
          <w:spacing w:val="-15"/>
          <w:sz w:val="28"/>
        </w:rPr>
        <w:t> </w:t>
      </w:r>
      <w:r>
        <w:rPr>
          <w:sz w:val="28"/>
        </w:rPr>
        <w:t>10.1017/s1751731108001882</w:t>
      </w:r>
    </w:p>
    <w:p>
      <w:pPr>
        <w:pStyle w:val="ListParagraph"/>
        <w:numPr>
          <w:ilvl w:val="0"/>
          <w:numId w:val="10"/>
        </w:numPr>
        <w:tabs>
          <w:tab w:pos="1322" w:val="left" w:leader="none"/>
        </w:tabs>
        <w:spacing w:line="240" w:lineRule="auto" w:before="0" w:after="0"/>
        <w:ind w:left="250" w:right="611" w:firstLine="652"/>
        <w:jc w:val="both"/>
        <w:rPr>
          <w:sz w:val="28"/>
        </w:rPr>
      </w:pPr>
      <w:r>
        <w:rPr>
          <w:sz w:val="28"/>
        </w:rPr>
        <w:t>Bhutto</w:t>
      </w:r>
      <w:r>
        <w:rPr>
          <w:spacing w:val="-5"/>
          <w:sz w:val="28"/>
        </w:rPr>
        <w:t> </w:t>
      </w:r>
      <w:r>
        <w:rPr>
          <w:spacing w:val="-3"/>
          <w:sz w:val="28"/>
        </w:rPr>
        <w:t>A.</w:t>
      </w:r>
      <w:r>
        <w:rPr>
          <w:spacing w:val="-2"/>
          <w:sz w:val="28"/>
        </w:rPr>
        <w:t> </w:t>
      </w:r>
      <w:r>
        <w:rPr>
          <w:sz w:val="28"/>
        </w:rPr>
        <w:t>L.,</w:t>
      </w:r>
      <w:r>
        <w:rPr>
          <w:spacing w:val="-7"/>
          <w:sz w:val="28"/>
        </w:rPr>
        <w:t> </w:t>
      </w:r>
      <w:r>
        <w:rPr>
          <w:sz w:val="28"/>
        </w:rPr>
        <w:t>Murray</w:t>
      </w:r>
      <w:r>
        <w:rPr>
          <w:spacing w:val="-13"/>
          <w:sz w:val="28"/>
        </w:rPr>
        <w:t> </w:t>
      </w:r>
      <w:r>
        <w:rPr>
          <w:sz w:val="28"/>
        </w:rPr>
        <w:t>R.</w:t>
      </w:r>
      <w:r>
        <w:rPr>
          <w:spacing w:val="-6"/>
          <w:sz w:val="28"/>
        </w:rPr>
        <w:t> </w:t>
      </w:r>
      <w:r>
        <w:rPr>
          <w:sz w:val="28"/>
        </w:rPr>
        <w:t>D.,</w:t>
      </w:r>
      <w:r>
        <w:rPr>
          <w:spacing w:val="-12"/>
          <w:sz w:val="28"/>
        </w:rPr>
        <w:t> </w:t>
      </w:r>
      <w:r>
        <w:rPr>
          <w:sz w:val="28"/>
        </w:rPr>
        <w:t>Woldehiwet</w:t>
      </w:r>
      <w:r>
        <w:rPr>
          <w:spacing w:val="-9"/>
          <w:sz w:val="28"/>
        </w:rPr>
        <w:t> </w:t>
      </w:r>
      <w:r>
        <w:rPr>
          <w:sz w:val="28"/>
        </w:rPr>
        <w:t>Z.</w:t>
      </w:r>
      <w:r>
        <w:rPr>
          <w:spacing w:val="-6"/>
          <w:sz w:val="28"/>
        </w:rPr>
        <w:t> </w:t>
      </w:r>
      <w:r>
        <w:rPr>
          <w:sz w:val="28"/>
        </w:rPr>
        <w:t>California</w:t>
      </w:r>
      <w:r>
        <w:rPr>
          <w:spacing w:val="-4"/>
          <w:sz w:val="28"/>
        </w:rPr>
        <w:t> </w:t>
      </w:r>
      <w:r>
        <w:rPr>
          <w:sz w:val="28"/>
        </w:rPr>
        <w:t>mastitis</w:t>
      </w:r>
      <w:r>
        <w:rPr>
          <w:spacing w:val="-7"/>
          <w:sz w:val="28"/>
        </w:rPr>
        <w:t> </w:t>
      </w:r>
      <w:r>
        <w:rPr>
          <w:sz w:val="28"/>
        </w:rPr>
        <w:t>test</w:t>
      </w:r>
      <w:r>
        <w:rPr>
          <w:spacing w:val="-9"/>
          <w:sz w:val="28"/>
        </w:rPr>
        <w:t> </w:t>
      </w:r>
      <w:r>
        <w:rPr>
          <w:sz w:val="28"/>
        </w:rPr>
        <w:t>scores</w:t>
      </w:r>
      <w:r>
        <w:rPr>
          <w:spacing w:val="-7"/>
          <w:sz w:val="28"/>
        </w:rPr>
        <w:t> </w:t>
      </w:r>
      <w:r>
        <w:rPr>
          <w:sz w:val="28"/>
        </w:rPr>
        <w:t>as indicators of subclinical intra-mammary infections at the end of lactation in dairy cows. Research in Veterinary Science. 2012. Vol. 92, Issue 1. P. 13–17. doi:</w:t>
      </w:r>
      <w:hyperlink r:id="rId45">
        <w:r>
          <w:rPr>
            <w:sz w:val="28"/>
          </w:rPr>
          <w:t> https://doi.org/10.1016/j.rvsc.2010.10.006</w:t>
        </w:r>
      </w:hyperlink>
    </w:p>
    <w:p>
      <w:pPr>
        <w:pStyle w:val="ListParagraph"/>
        <w:numPr>
          <w:ilvl w:val="0"/>
          <w:numId w:val="10"/>
        </w:numPr>
        <w:tabs>
          <w:tab w:pos="1375" w:val="left" w:leader="none"/>
        </w:tabs>
        <w:spacing w:line="240" w:lineRule="auto" w:before="0" w:after="0"/>
        <w:ind w:left="250" w:right="614" w:firstLine="652"/>
        <w:jc w:val="both"/>
        <w:rPr>
          <w:sz w:val="28"/>
        </w:rPr>
      </w:pPr>
      <w:r>
        <w:rPr>
          <w:sz w:val="28"/>
        </w:rPr>
        <w:t>Owens W. E., Nsckerson S. C., Doddie R. L., Watts J. </w:t>
      </w:r>
      <w:r>
        <w:rPr>
          <w:spacing w:val="-4"/>
          <w:sz w:val="28"/>
        </w:rPr>
        <w:t>L. </w:t>
      </w:r>
      <w:r>
        <w:rPr>
          <w:sz w:val="28"/>
        </w:rPr>
        <w:t>Combination therapy increases cure rates </w:t>
      </w:r>
      <w:r>
        <w:rPr>
          <w:spacing w:val="-3"/>
          <w:sz w:val="28"/>
        </w:rPr>
        <w:t>for </w:t>
      </w:r>
      <w:r>
        <w:rPr>
          <w:sz w:val="28"/>
        </w:rPr>
        <w:t>bovine mastitis. Louisiana Agriculture. 1990.</w:t>
      </w:r>
      <w:r>
        <w:rPr>
          <w:spacing w:val="14"/>
          <w:sz w:val="28"/>
        </w:rPr>
        <w:t> </w:t>
      </w:r>
      <w:r>
        <w:rPr>
          <w:sz w:val="28"/>
        </w:rPr>
        <w:t>Vol.20,</w:t>
      </w:r>
    </w:p>
    <w:p>
      <w:pPr>
        <w:pStyle w:val="BodyText"/>
        <w:spacing w:line="321" w:lineRule="exact"/>
        <w:ind w:left="250"/>
      </w:pPr>
      <w:r>
        <w:rPr/>
        <w:t>№2. P. 6–7.</w:t>
      </w:r>
    </w:p>
    <w:p>
      <w:pPr>
        <w:pStyle w:val="ListParagraph"/>
        <w:numPr>
          <w:ilvl w:val="0"/>
          <w:numId w:val="10"/>
        </w:numPr>
        <w:tabs>
          <w:tab w:pos="1351" w:val="left" w:leader="none"/>
        </w:tabs>
        <w:spacing w:line="240" w:lineRule="auto" w:before="0" w:after="0"/>
        <w:ind w:left="250" w:right="628" w:firstLine="652"/>
        <w:jc w:val="both"/>
        <w:rPr>
          <w:sz w:val="28"/>
        </w:rPr>
      </w:pPr>
      <w:r>
        <w:rPr>
          <w:sz w:val="28"/>
        </w:rPr>
        <w:t>Рубцов В.И. Профилактика и лечение мастита у коров. Ветеринарная медицина. 2006. №9.</w:t>
      </w:r>
      <w:r>
        <w:rPr>
          <w:spacing w:val="11"/>
          <w:sz w:val="28"/>
        </w:rPr>
        <w:t> </w:t>
      </w:r>
      <w:r>
        <w:rPr>
          <w:sz w:val="28"/>
        </w:rPr>
        <w:t>С.32–35.</w:t>
      </w:r>
    </w:p>
    <w:p>
      <w:pPr>
        <w:pStyle w:val="BodyText"/>
        <w:spacing w:before="7"/>
        <w:ind w:left="0"/>
        <w:jc w:val="left"/>
        <w:rPr>
          <w:sz w:val="27"/>
        </w:rPr>
      </w:pPr>
    </w:p>
    <w:p>
      <w:pPr>
        <w:pStyle w:val="Heading1"/>
        <w:spacing w:line="242" w:lineRule="auto"/>
        <w:ind w:left="452" w:right="755" w:firstLine="514"/>
        <w:jc w:val="left"/>
      </w:pPr>
      <w:r>
        <w:rPr/>
        <w:t>СОСТОЯНИЕ Т-и-В- КЛЕТОЧНОГО ЗВЕНЬЕВ ИММУНИТЕТА У КОРОВ, БОЛЬНІХ СУБКЛИНИЧЕСКОЙ ФОРМОЙ МАСТИТА , ПРИ</w:t>
      </w:r>
    </w:p>
    <w:p>
      <w:pPr>
        <w:spacing w:line="317" w:lineRule="exact" w:before="0"/>
        <w:ind w:left="1273" w:right="0" w:firstLine="0"/>
        <w:jc w:val="left"/>
        <w:rPr>
          <w:b/>
          <w:sz w:val="28"/>
        </w:rPr>
      </w:pPr>
      <w:r>
        <w:rPr>
          <w:b/>
          <w:sz w:val="28"/>
        </w:rPr>
        <w:t>ИСПОЛЬЗОВАНИИ ЛИПОСОМАЛЬНОГО ПРЕПАРАТА</w:t>
      </w:r>
    </w:p>
    <w:p>
      <w:pPr>
        <w:pStyle w:val="BodyText"/>
        <w:spacing w:line="319" w:lineRule="exact"/>
        <w:ind w:left="2469"/>
      </w:pPr>
      <w:r>
        <w:rPr/>
        <w:t>Чепурная В., Супрович Т., Вищур О., Мизык В.</w:t>
      </w:r>
    </w:p>
    <w:p>
      <w:pPr>
        <w:spacing w:before="0"/>
        <w:ind w:left="193" w:right="615" w:firstLine="710"/>
        <w:jc w:val="both"/>
        <w:rPr>
          <w:i/>
          <w:sz w:val="28"/>
        </w:rPr>
      </w:pPr>
      <w:r>
        <w:rPr>
          <w:i/>
          <w:color w:val="202020"/>
          <w:sz w:val="28"/>
        </w:rPr>
        <w:t>Приведены результаты экспериментальных исследований влияния нового </w:t>
      </w:r>
      <w:r>
        <w:rPr>
          <w:i/>
          <w:color w:val="202020"/>
          <w:sz w:val="28"/>
        </w:rPr>
        <w:t>комплексного липосомального препарата изготовленного из растительного сырья </w:t>
      </w:r>
      <w:r>
        <w:rPr>
          <w:i/>
          <w:sz w:val="28"/>
        </w:rPr>
        <w:t>(Hypericum perforatum L.)</w:t>
      </w:r>
      <w:r>
        <w:rPr>
          <w:i/>
          <w:color w:val="202020"/>
          <w:sz w:val="28"/>
        </w:rPr>
        <w:t>, на показатели Т- и В-клеточного звеньев иммунитета </w:t>
      </w:r>
      <w:r>
        <w:rPr>
          <w:i/>
          <w:sz w:val="28"/>
        </w:rPr>
        <w:t>крови </w:t>
      </w:r>
      <w:r>
        <w:rPr>
          <w:i/>
          <w:color w:val="202020"/>
          <w:sz w:val="28"/>
        </w:rPr>
        <w:t>коров, больных на субклиническую форму мастита. </w:t>
      </w:r>
      <w:r>
        <w:rPr>
          <w:i/>
          <w:sz w:val="28"/>
        </w:rPr>
        <w:t>Установлено, что у больных коров на 3-и сутки после введения препарата наблюдали</w:t>
      </w:r>
      <w:r>
        <w:rPr>
          <w:i/>
          <w:spacing w:val="-13"/>
          <w:sz w:val="28"/>
        </w:rPr>
        <w:t> </w:t>
      </w:r>
      <w:r>
        <w:rPr>
          <w:i/>
          <w:sz w:val="28"/>
        </w:rPr>
        <w:t>рост</w:t>
      </w:r>
      <w:r>
        <w:rPr>
          <w:i/>
          <w:spacing w:val="-13"/>
          <w:sz w:val="28"/>
        </w:rPr>
        <w:t> </w:t>
      </w:r>
      <w:r>
        <w:rPr>
          <w:i/>
          <w:sz w:val="28"/>
        </w:rPr>
        <w:t>общего</w:t>
      </w:r>
      <w:r>
        <w:rPr>
          <w:i/>
          <w:spacing w:val="-13"/>
          <w:sz w:val="28"/>
        </w:rPr>
        <w:t> </w:t>
      </w:r>
      <w:r>
        <w:rPr>
          <w:i/>
          <w:sz w:val="28"/>
        </w:rPr>
        <w:t>количества</w:t>
      </w:r>
      <w:r>
        <w:rPr>
          <w:i/>
          <w:spacing w:val="-14"/>
          <w:sz w:val="28"/>
        </w:rPr>
        <w:t> </w:t>
      </w:r>
      <w:r>
        <w:rPr>
          <w:i/>
          <w:spacing w:val="4"/>
          <w:sz w:val="28"/>
        </w:rPr>
        <w:t>Т-</w:t>
      </w:r>
      <w:r>
        <w:rPr>
          <w:i/>
          <w:spacing w:val="-14"/>
          <w:sz w:val="28"/>
        </w:rPr>
        <w:t> </w:t>
      </w:r>
      <w:r>
        <w:rPr>
          <w:i/>
          <w:sz w:val="28"/>
        </w:rPr>
        <w:t>и</w:t>
      </w:r>
      <w:r>
        <w:rPr>
          <w:i/>
          <w:spacing w:val="-13"/>
          <w:sz w:val="28"/>
        </w:rPr>
        <w:t> </w:t>
      </w:r>
      <w:r>
        <w:rPr>
          <w:i/>
          <w:sz w:val="28"/>
        </w:rPr>
        <w:t>В-лимфоцитов</w:t>
      </w:r>
      <w:r>
        <w:rPr>
          <w:i/>
          <w:spacing w:val="-9"/>
          <w:sz w:val="28"/>
        </w:rPr>
        <w:t> </w:t>
      </w:r>
      <w:r>
        <w:rPr>
          <w:i/>
          <w:sz w:val="28"/>
        </w:rPr>
        <w:t>до</w:t>
      </w:r>
      <w:r>
        <w:rPr>
          <w:i/>
          <w:spacing w:val="-13"/>
          <w:sz w:val="28"/>
        </w:rPr>
        <w:t> </w:t>
      </w:r>
      <w:r>
        <w:rPr>
          <w:i/>
          <w:sz w:val="28"/>
        </w:rPr>
        <w:t>уровня</w:t>
      </w:r>
      <w:r>
        <w:rPr>
          <w:i/>
          <w:spacing w:val="-13"/>
          <w:sz w:val="28"/>
        </w:rPr>
        <w:t> </w:t>
      </w:r>
      <w:r>
        <w:rPr>
          <w:i/>
          <w:sz w:val="28"/>
        </w:rPr>
        <w:t>величин</w:t>
      </w:r>
      <w:r>
        <w:rPr>
          <w:i/>
          <w:spacing w:val="-12"/>
          <w:sz w:val="28"/>
        </w:rPr>
        <w:t> </w:t>
      </w:r>
      <w:r>
        <w:rPr>
          <w:i/>
          <w:sz w:val="28"/>
        </w:rPr>
        <w:t>этого показателя у клинически здоровых животных. Общее количество </w:t>
      </w:r>
      <w:r>
        <w:rPr>
          <w:i/>
          <w:spacing w:val="4"/>
          <w:sz w:val="28"/>
        </w:rPr>
        <w:t>Т- </w:t>
      </w:r>
      <w:r>
        <w:rPr>
          <w:i/>
          <w:sz w:val="28"/>
        </w:rPr>
        <w:t>лимфоцитов (активных и теофиллин-резистентных) и В-лимфоцитов в крови коров</w:t>
      </w:r>
      <w:r>
        <w:rPr>
          <w:i/>
          <w:spacing w:val="11"/>
          <w:sz w:val="28"/>
        </w:rPr>
        <w:t> </w:t>
      </w:r>
      <w:r>
        <w:rPr>
          <w:i/>
          <w:sz w:val="28"/>
        </w:rPr>
        <w:t>опытной</w:t>
      </w:r>
      <w:r>
        <w:rPr>
          <w:i/>
          <w:spacing w:val="13"/>
          <w:sz w:val="28"/>
        </w:rPr>
        <w:t> </w:t>
      </w:r>
      <w:r>
        <w:rPr>
          <w:i/>
          <w:sz w:val="28"/>
        </w:rPr>
        <w:t>группы</w:t>
      </w:r>
      <w:r>
        <w:rPr>
          <w:i/>
          <w:spacing w:val="11"/>
          <w:sz w:val="28"/>
        </w:rPr>
        <w:t> </w:t>
      </w:r>
      <w:r>
        <w:rPr>
          <w:i/>
          <w:sz w:val="28"/>
        </w:rPr>
        <w:t>на</w:t>
      </w:r>
      <w:r>
        <w:rPr>
          <w:i/>
          <w:spacing w:val="13"/>
          <w:sz w:val="28"/>
        </w:rPr>
        <w:t> </w:t>
      </w:r>
      <w:r>
        <w:rPr>
          <w:i/>
          <w:sz w:val="28"/>
        </w:rPr>
        <w:t>9-е</w:t>
      </w:r>
      <w:r>
        <w:rPr>
          <w:i/>
          <w:spacing w:val="13"/>
          <w:sz w:val="28"/>
        </w:rPr>
        <w:t> </w:t>
      </w:r>
      <w:r>
        <w:rPr>
          <w:i/>
          <w:sz w:val="28"/>
        </w:rPr>
        <w:t>сутки</w:t>
      </w:r>
      <w:r>
        <w:rPr>
          <w:i/>
          <w:spacing w:val="13"/>
          <w:sz w:val="28"/>
        </w:rPr>
        <w:t> </w:t>
      </w:r>
      <w:r>
        <w:rPr>
          <w:i/>
          <w:sz w:val="28"/>
        </w:rPr>
        <w:t>после</w:t>
      </w:r>
      <w:r>
        <w:rPr>
          <w:i/>
          <w:spacing w:val="13"/>
          <w:sz w:val="28"/>
        </w:rPr>
        <w:t> </w:t>
      </w:r>
      <w:r>
        <w:rPr>
          <w:i/>
          <w:sz w:val="28"/>
        </w:rPr>
        <w:t>введения</w:t>
      </w:r>
      <w:r>
        <w:rPr>
          <w:i/>
          <w:spacing w:val="13"/>
          <w:sz w:val="28"/>
        </w:rPr>
        <w:t> </w:t>
      </w:r>
      <w:r>
        <w:rPr>
          <w:i/>
          <w:sz w:val="28"/>
        </w:rPr>
        <w:t>препарата</w:t>
      </w:r>
      <w:r>
        <w:rPr>
          <w:i/>
          <w:spacing w:val="18"/>
          <w:sz w:val="28"/>
        </w:rPr>
        <w:t> </w:t>
      </w:r>
      <w:r>
        <w:rPr>
          <w:i/>
          <w:sz w:val="28"/>
        </w:rPr>
        <w:t>было</w:t>
      </w:r>
      <w:r>
        <w:rPr>
          <w:i/>
          <w:spacing w:val="13"/>
          <w:sz w:val="28"/>
        </w:rPr>
        <w:t> </w:t>
      </w:r>
      <w:r>
        <w:rPr>
          <w:i/>
          <w:sz w:val="28"/>
        </w:rPr>
        <w:t>больше</w:t>
      </w:r>
      <w:r>
        <w:rPr>
          <w:i/>
          <w:spacing w:val="18"/>
          <w:sz w:val="28"/>
        </w:rPr>
        <w:t> </w:t>
      </w:r>
      <w:r>
        <w:rPr>
          <w:i/>
          <w:sz w:val="28"/>
        </w:rPr>
        <w:t>(P</w:t>
      </w:r>
    </w:p>
    <w:p>
      <w:pPr>
        <w:spacing w:line="240" w:lineRule="auto" w:before="0"/>
        <w:ind w:left="193" w:right="612" w:firstLine="0"/>
        <w:jc w:val="both"/>
        <w:rPr>
          <w:i/>
          <w:sz w:val="28"/>
        </w:rPr>
      </w:pPr>
      <w:r>
        <w:rPr>
          <w:i/>
          <w:sz w:val="28"/>
        </w:rPr>
        <w:t>&lt;0,05), чем в контрольной. При этом, количество Тh-РУЛ и ЕАС-РУЛ с низкой </w:t>
      </w:r>
      <w:r>
        <w:rPr>
          <w:i/>
          <w:sz w:val="28"/>
        </w:rPr>
        <w:t>плотностью рецепторов в крови коров опытной группы было больше (Р &lt;0,01), а «нулевых», недифференцированных в функциональном отношении клеток – меньше (Р &lt;0,01), по сравнению с контролем.</w:t>
      </w:r>
    </w:p>
    <w:p>
      <w:pPr>
        <w:spacing w:before="1"/>
        <w:ind w:left="193" w:right="621" w:firstLine="710"/>
        <w:jc w:val="both"/>
        <w:rPr>
          <w:i/>
          <w:sz w:val="28"/>
        </w:rPr>
      </w:pPr>
      <w:r>
        <w:rPr>
          <w:b/>
          <w:i/>
          <w:sz w:val="28"/>
        </w:rPr>
        <w:t>Ключевые слова: </w:t>
      </w:r>
      <w:r>
        <w:rPr>
          <w:i/>
          <w:sz w:val="28"/>
        </w:rPr>
        <w:t>крупный рогатый скот, кровь, субклинический мастит, </w:t>
      </w:r>
      <w:r>
        <w:rPr>
          <w:i/>
          <w:sz w:val="28"/>
        </w:rPr>
        <w:t>лейкоциты, Т- и В-лимфоциты, соматические клетки.</w:t>
      </w:r>
    </w:p>
    <w:p>
      <w:pPr>
        <w:pStyle w:val="BodyText"/>
        <w:spacing w:before="4"/>
        <w:ind w:left="0"/>
        <w:jc w:val="left"/>
        <w:rPr>
          <w:i/>
        </w:rPr>
      </w:pPr>
    </w:p>
    <w:p>
      <w:pPr>
        <w:pStyle w:val="Heading1"/>
        <w:spacing w:before="1"/>
        <w:ind w:left="514" w:right="868" w:firstLine="610"/>
        <w:jc w:val="left"/>
      </w:pPr>
      <w:r>
        <w:rPr/>
        <w:t>CONDITION OF T-AND-B CELLULAR LINKS OF IMMUNITY IN COWS, THE SICK SUBCLINIC FORM OF MASTITIS, WHEN USING A</w:t>
      </w:r>
    </w:p>
    <w:p>
      <w:pPr>
        <w:spacing w:line="319" w:lineRule="exact" w:before="0"/>
        <w:ind w:left="3737" w:right="0" w:firstLine="0"/>
        <w:jc w:val="left"/>
        <w:rPr>
          <w:b/>
          <w:sz w:val="28"/>
        </w:rPr>
      </w:pPr>
      <w:r>
        <w:rPr>
          <w:b/>
          <w:sz w:val="28"/>
        </w:rPr>
        <w:t>LIPOSOMAL DRUG</w:t>
      </w:r>
    </w:p>
    <w:p>
      <w:pPr>
        <w:pStyle w:val="BodyText"/>
        <w:spacing w:line="319" w:lineRule="exact"/>
        <w:ind w:left="2421"/>
      </w:pPr>
      <w:r>
        <w:rPr/>
        <w:t>Chtpurna V., Suprovych T., Vishchur O., Mizyk V.</w:t>
      </w:r>
    </w:p>
    <w:p>
      <w:pPr>
        <w:spacing w:before="0"/>
        <w:ind w:left="250" w:right="616" w:firstLine="725"/>
        <w:jc w:val="both"/>
        <w:rPr>
          <w:i/>
          <w:sz w:val="28"/>
        </w:rPr>
      </w:pPr>
      <w:r>
        <w:rPr>
          <w:i/>
          <w:sz w:val="28"/>
        </w:rPr>
        <w:t>The article presents the results of experimental research on the impact of </w:t>
      </w:r>
      <w:r>
        <w:rPr>
          <w:i/>
          <w:sz w:val="28"/>
        </w:rPr>
        <w:t>complex liposomal drug produced on the basis of plant material - Hypericum perforatum L., on the indices of the T- and B-cell lines of blood immunity in cows</w:t>
      </w:r>
    </w:p>
    <w:p>
      <w:pPr>
        <w:spacing w:after="0"/>
        <w:jc w:val="both"/>
        <w:rPr>
          <w:sz w:val="28"/>
        </w:rPr>
        <w:sectPr>
          <w:pgSz w:w="11910" w:h="16840"/>
          <w:pgMar w:header="713" w:footer="778" w:top="1140" w:bottom="960" w:left="940" w:right="520"/>
        </w:sectPr>
      </w:pPr>
    </w:p>
    <w:p>
      <w:pPr>
        <w:spacing w:line="322" w:lineRule="exact" w:before="92"/>
        <w:ind w:left="250" w:right="0" w:firstLine="0"/>
        <w:jc w:val="both"/>
        <w:rPr>
          <w:i/>
          <w:sz w:val="28"/>
        </w:rPr>
      </w:pPr>
      <w:r>
        <w:rPr>
          <w:i/>
          <w:sz w:val="28"/>
        </w:rPr>
        <w:t>suffering from subclinical mastitis.</w:t>
      </w:r>
    </w:p>
    <w:p>
      <w:pPr>
        <w:spacing w:line="240" w:lineRule="auto" w:before="0"/>
        <w:ind w:left="250" w:right="615" w:firstLine="725"/>
        <w:jc w:val="both"/>
        <w:rPr>
          <w:i/>
          <w:sz w:val="28"/>
        </w:rPr>
      </w:pPr>
      <w:r>
        <w:rPr>
          <w:i/>
          <w:sz w:val="28"/>
        </w:rPr>
        <w:t>It </w:t>
      </w:r>
      <w:r>
        <w:rPr>
          <w:i/>
          <w:spacing w:val="-3"/>
          <w:sz w:val="28"/>
        </w:rPr>
        <w:t>was </w:t>
      </w:r>
      <w:r>
        <w:rPr>
          <w:i/>
          <w:sz w:val="28"/>
        </w:rPr>
        <w:t>established that the growth of the total number of T and B lymphocytes </w:t>
      </w:r>
      <w:r>
        <w:rPr>
          <w:i/>
          <w:sz w:val="28"/>
        </w:rPr>
        <w:t>to the level of the values of this indicator in clinically healthy animals was observed in sick </w:t>
      </w:r>
      <w:r>
        <w:rPr>
          <w:i/>
          <w:spacing w:val="-3"/>
          <w:sz w:val="28"/>
        </w:rPr>
        <w:t>cows </w:t>
      </w:r>
      <w:r>
        <w:rPr>
          <w:i/>
          <w:sz w:val="28"/>
        </w:rPr>
        <w:t>on the 3rd day after drug administration. The total number of </w:t>
      </w:r>
      <w:r>
        <w:rPr>
          <w:i/>
          <w:spacing w:val="5"/>
          <w:sz w:val="28"/>
        </w:rPr>
        <w:t>T- </w:t>
      </w:r>
      <w:r>
        <w:rPr>
          <w:i/>
          <w:sz w:val="28"/>
        </w:rPr>
        <w:t>lymphocytes (active and theophylline-resistant) and B-lymphocytes in the blood of cows of the experimental group at day 9 after administration of the drug </w:t>
      </w:r>
      <w:r>
        <w:rPr>
          <w:i/>
          <w:spacing w:val="-3"/>
          <w:sz w:val="28"/>
        </w:rPr>
        <w:t>was </w:t>
      </w:r>
      <w:r>
        <w:rPr>
          <w:i/>
          <w:sz w:val="28"/>
        </w:rPr>
        <w:t>greater (P &lt;0.05) than in the control. At the same time, the number of Th-RUL and</w:t>
      </w:r>
      <w:r>
        <w:rPr>
          <w:i/>
          <w:spacing w:val="-42"/>
          <w:sz w:val="28"/>
        </w:rPr>
        <w:t> </w:t>
      </w:r>
      <w:r>
        <w:rPr>
          <w:i/>
          <w:sz w:val="28"/>
        </w:rPr>
        <w:t>EAS-RUL with low receptor density in the blood of </w:t>
      </w:r>
      <w:r>
        <w:rPr>
          <w:i/>
          <w:spacing w:val="-3"/>
          <w:sz w:val="28"/>
        </w:rPr>
        <w:t>cows </w:t>
      </w:r>
      <w:r>
        <w:rPr>
          <w:i/>
          <w:sz w:val="28"/>
        </w:rPr>
        <w:t>of the experimental group </w:t>
      </w:r>
      <w:r>
        <w:rPr>
          <w:i/>
          <w:spacing w:val="-3"/>
          <w:sz w:val="28"/>
        </w:rPr>
        <w:t>was </w:t>
      </w:r>
      <w:r>
        <w:rPr>
          <w:i/>
          <w:sz w:val="28"/>
        </w:rPr>
        <w:t>greater (P</w:t>
      </w:r>
      <w:r>
        <w:rPr>
          <w:i/>
          <w:spacing w:val="-9"/>
          <w:sz w:val="28"/>
        </w:rPr>
        <w:t> </w:t>
      </w:r>
      <w:r>
        <w:rPr>
          <w:i/>
          <w:sz w:val="28"/>
        </w:rPr>
        <w:t>&lt;0.01),</w:t>
      </w:r>
      <w:r>
        <w:rPr>
          <w:i/>
          <w:spacing w:val="-4"/>
          <w:sz w:val="28"/>
        </w:rPr>
        <w:t> </w:t>
      </w:r>
      <w:r>
        <w:rPr>
          <w:i/>
          <w:sz w:val="28"/>
        </w:rPr>
        <w:t>and</w:t>
      </w:r>
      <w:r>
        <w:rPr>
          <w:i/>
          <w:spacing w:val="-6"/>
          <w:sz w:val="28"/>
        </w:rPr>
        <w:t> </w:t>
      </w:r>
      <w:r>
        <w:rPr>
          <w:i/>
          <w:sz w:val="28"/>
        </w:rPr>
        <w:t>of</w:t>
      </w:r>
      <w:r>
        <w:rPr>
          <w:i/>
          <w:spacing w:val="-2"/>
          <w:sz w:val="28"/>
        </w:rPr>
        <w:t> </w:t>
      </w:r>
      <w:r>
        <w:rPr>
          <w:i/>
          <w:sz w:val="28"/>
        </w:rPr>
        <w:t>"null"</w:t>
      </w:r>
      <w:r>
        <w:rPr>
          <w:i/>
          <w:spacing w:val="-8"/>
          <w:sz w:val="28"/>
        </w:rPr>
        <w:t> </w:t>
      </w:r>
      <w:r>
        <w:rPr>
          <w:i/>
          <w:sz w:val="28"/>
        </w:rPr>
        <w:t>nondifferentiated</w:t>
      </w:r>
      <w:r>
        <w:rPr>
          <w:i/>
          <w:spacing w:val="-5"/>
          <w:sz w:val="28"/>
        </w:rPr>
        <w:t> </w:t>
      </w:r>
      <w:r>
        <w:rPr>
          <w:i/>
          <w:sz w:val="28"/>
        </w:rPr>
        <w:t>cells</w:t>
      </w:r>
      <w:r>
        <w:rPr>
          <w:i/>
          <w:spacing w:val="-4"/>
          <w:sz w:val="28"/>
        </w:rPr>
        <w:t> </w:t>
      </w:r>
      <w:r>
        <w:rPr>
          <w:i/>
          <w:sz w:val="28"/>
        </w:rPr>
        <w:t>functionally</w:t>
      </w:r>
      <w:r>
        <w:rPr>
          <w:i/>
          <w:spacing w:val="-6"/>
          <w:sz w:val="28"/>
        </w:rPr>
        <w:t> </w:t>
      </w:r>
      <w:r>
        <w:rPr>
          <w:i/>
          <w:sz w:val="28"/>
        </w:rPr>
        <w:t>less</w:t>
      </w:r>
      <w:r>
        <w:rPr>
          <w:i/>
          <w:spacing w:val="-4"/>
          <w:sz w:val="28"/>
        </w:rPr>
        <w:t> </w:t>
      </w:r>
      <w:r>
        <w:rPr>
          <w:i/>
          <w:sz w:val="28"/>
        </w:rPr>
        <w:t>(P</w:t>
      </w:r>
      <w:r>
        <w:rPr>
          <w:i/>
          <w:spacing w:val="-9"/>
          <w:sz w:val="28"/>
        </w:rPr>
        <w:t> </w:t>
      </w:r>
      <w:r>
        <w:rPr>
          <w:i/>
          <w:sz w:val="28"/>
        </w:rPr>
        <w:t>&lt;0.01).</w:t>
      </w:r>
      <w:r>
        <w:rPr>
          <w:i/>
          <w:spacing w:val="-4"/>
          <w:sz w:val="28"/>
        </w:rPr>
        <w:t> </w:t>
      </w:r>
      <w:r>
        <w:rPr>
          <w:i/>
          <w:sz w:val="28"/>
        </w:rPr>
        <w:t>compared to control.</w:t>
      </w:r>
    </w:p>
    <w:p>
      <w:pPr>
        <w:pStyle w:val="BodyText"/>
        <w:spacing w:before="2"/>
        <w:ind w:left="250" w:right="616" w:firstLine="652"/>
      </w:pPr>
      <w:r>
        <w:rPr>
          <w:b/>
        </w:rPr>
        <w:t>Key words: </w:t>
      </w:r>
      <w:r>
        <w:rPr/>
        <w:t>cattle, blood, subclinical mastitis, leukocytes, neutrophils, T- and B-lymphocytes, somatic cells.</w:t>
      </w:r>
    </w:p>
    <w:p>
      <w:pPr>
        <w:spacing w:after="0"/>
        <w:sectPr>
          <w:pgSz w:w="11910" w:h="16840"/>
          <w:pgMar w:header="713" w:footer="778" w:top="1140" w:bottom="960" w:left="940" w:right="520"/>
        </w:sectPr>
      </w:pPr>
    </w:p>
    <w:p>
      <w:pPr>
        <w:pStyle w:val="Heading1"/>
        <w:tabs>
          <w:tab w:pos="5859" w:val="left" w:leader="none"/>
        </w:tabs>
        <w:spacing w:before="96"/>
        <w:ind w:right="0"/>
        <w:jc w:val="left"/>
      </w:pPr>
      <w:r>
        <w:rPr/>
        <w:t>УДК</w:t>
      </w:r>
      <w:r>
        <w:rPr>
          <w:spacing w:val="-3"/>
        </w:rPr>
        <w:t> </w:t>
      </w:r>
      <w:r>
        <w:rPr/>
        <w:t>636.2.034:636.084</w:t>
        <w:tab/>
        <w:t>DOI:</w:t>
      </w:r>
      <w:r>
        <w:rPr>
          <w:spacing w:val="-1"/>
        </w:rPr>
        <w:t> </w:t>
      </w:r>
      <w:r>
        <w:rPr/>
        <w:t>10.37000/abbsl.2020.96.06</w:t>
      </w:r>
    </w:p>
    <w:p>
      <w:pPr>
        <w:pStyle w:val="BodyText"/>
        <w:spacing w:before="11"/>
        <w:ind w:left="0"/>
        <w:jc w:val="left"/>
        <w:rPr>
          <w:b/>
          <w:sz w:val="27"/>
        </w:rPr>
      </w:pPr>
    </w:p>
    <w:p>
      <w:pPr>
        <w:spacing w:line="322" w:lineRule="exact" w:before="0"/>
        <w:ind w:left="172" w:right="603" w:firstLine="0"/>
        <w:jc w:val="center"/>
        <w:rPr>
          <w:b/>
          <w:sz w:val="28"/>
        </w:rPr>
      </w:pPr>
      <w:r>
        <w:rPr>
          <w:b/>
          <w:sz w:val="28"/>
        </w:rPr>
        <w:t>ВПЛИВ ВВЕДЕННЯ ДО РАЦІОНУ КОРІВ ПРОПІЛЕНГЛІКОЛЮ</w:t>
      </w:r>
    </w:p>
    <w:p>
      <w:pPr>
        <w:spacing w:before="0"/>
        <w:ind w:left="176" w:right="603" w:firstLine="0"/>
        <w:jc w:val="center"/>
        <w:rPr>
          <w:b/>
          <w:sz w:val="28"/>
        </w:rPr>
      </w:pPr>
      <w:r>
        <w:rPr>
          <w:b/>
          <w:sz w:val="28"/>
        </w:rPr>
        <w:t>ТА СТА-ХОЛу НА ДЕЯКІ БІОХІМІЧНІ ПОКАЗНИКИ ПЛАЗМИ КРОВІ</w:t>
      </w:r>
    </w:p>
    <w:p>
      <w:pPr>
        <w:spacing w:line="322" w:lineRule="exact" w:before="0"/>
        <w:ind w:left="181" w:right="603" w:firstLine="0"/>
        <w:jc w:val="center"/>
        <w:rPr>
          <w:b/>
          <w:sz w:val="28"/>
        </w:rPr>
      </w:pPr>
      <w:r>
        <w:rPr>
          <w:b/>
          <w:sz w:val="28"/>
        </w:rPr>
        <w:t>М. Тодоров , В. Кушнір</w:t>
      </w:r>
    </w:p>
    <w:p>
      <w:pPr>
        <w:spacing w:before="0"/>
        <w:ind w:left="178" w:right="603" w:firstLine="0"/>
        <w:jc w:val="center"/>
        <w:rPr>
          <w:i/>
          <w:sz w:val="28"/>
        </w:rPr>
      </w:pPr>
      <w:r>
        <w:rPr>
          <w:i/>
          <w:sz w:val="28"/>
        </w:rPr>
        <w:t>Одеський державний аграрний університет</w:t>
      </w:r>
    </w:p>
    <w:p>
      <w:pPr>
        <w:pStyle w:val="BodyText"/>
        <w:spacing w:before="11"/>
        <w:ind w:left="0"/>
        <w:jc w:val="left"/>
        <w:rPr>
          <w:i/>
          <w:sz w:val="27"/>
        </w:rPr>
      </w:pPr>
    </w:p>
    <w:p>
      <w:pPr>
        <w:spacing w:line="240" w:lineRule="auto" w:before="0"/>
        <w:ind w:left="193" w:right="605" w:firstLine="710"/>
        <w:jc w:val="both"/>
        <w:rPr>
          <w:i/>
          <w:sz w:val="28"/>
        </w:rPr>
      </w:pPr>
      <w:r>
        <w:rPr>
          <w:i/>
          <w:sz w:val="28"/>
        </w:rPr>
        <w:t>Проведено дослід на 3-х групах корів української молочної чорно-рябої </w:t>
      </w:r>
      <w:r>
        <w:rPr>
          <w:i/>
          <w:sz w:val="28"/>
        </w:rPr>
        <w:t>породи з продуктивністю за попередню лактацію 5,5-6 тис. кг молока, по 7 тварин у групі. Мета роботи: дослідити вплив додавання до раціону корів під час транзиторного періоду пропіленгліколю що підвищує кількість пропіонової кислоти у рубці та СТА-ХОЛу якій впливає на ліпідний обмін, запобігає жирову інфільтрацію печінки та виникнення кетозу, на деякі біохімічні показники плазми</w:t>
      </w:r>
      <w:r>
        <w:rPr>
          <w:i/>
          <w:spacing w:val="-19"/>
          <w:sz w:val="28"/>
        </w:rPr>
        <w:t> </w:t>
      </w:r>
      <w:r>
        <w:rPr>
          <w:i/>
          <w:sz w:val="28"/>
        </w:rPr>
        <w:t>крові</w:t>
      </w:r>
      <w:r>
        <w:rPr>
          <w:i/>
          <w:spacing w:val="-19"/>
          <w:sz w:val="28"/>
        </w:rPr>
        <w:t> </w:t>
      </w:r>
      <w:r>
        <w:rPr>
          <w:i/>
          <w:sz w:val="28"/>
        </w:rPr>
        <w:t>корів.</w:t>
      </w:r>
      <w:r>
        <w:rPr>
          <w:i/>
          <w:spacing w:val="-17"/>
          <w:sz w:val="28"/>
        </w:rPr>
        <w:t> </w:t>
      </w:r>
      <w:r>
        <w:rPr>
          <w:i/>
          <w:sz w:val="28"/>
        </w:rPr>
        <w:t>Перша</w:t>
      </w:r>
      <w:r>
        <w:rPr>
          <w:i/>
          <w:spacing w:val="-19"/>
          <w:sz w:val="28"/>
        </w:rPr>
        <w:t> </w:t>
      </w:r>
      <w:r>
        <w:rPr>
          <w:i/>
          <w:sz w:val="28"/>
        </w:rPr>
        <w:t>контрольна,</w:t>
      </w:r>
      <w:r>
        <w:rPr>
          <w:i/>
          <w:spacing w:val="-17"/>
          <w:sz w:val="28"/>
        </w:rPr>
        <w:t> </w:t>
      </w:r>
      <w:r>
        <w:rPr>
          <w:i/>
          <w:sz w:val="28"/>
        </w:rPr>
        <w:t>корови</w:t>
      </w:r>
      <w:r>
        <w:rPr>
          <w:i/>
          <w:spacing w:val="-19"/>
          <w:sz w:val="28"/>
        </w:rPr>
        <w:t> </w:t>
      </w:r>
      <w:r>
        <w:rPr>
          <w:i/>
          <w:sz w:val="28"/>
        </w:rPr>
        <w:t>якої</w:t>
      </w:r>
      <w:r>
        <w:rPr>
          <w:i/>
          <w:spacing w:val="-20"/>
          <w:sz w:val="28"/>
        </w:rPr>
        <w:t> </w:t>
      </w:r>
      <w:r>
        <w:rPr>
          <w:i/>
          <w:sz w:val="28"/>
        </w:rPr>
        <w:t>отримували</w:t>
      </w:r>
      <w:r>
        <w:rPr>
          <w:i/>
          <w:spacing w:val="-19"/>
          <w:sz w:val="28"/>
        </w:rPr>
        <w:t> </w:t>
      </w:r>
      <w:r>
        <w:rPr>
          <w:i/>
          <w:sz w:val="28"/>
        </w:rPr>
        <w:t>звичайний</w:t>
      </w:r>
      <w:r>
        <w:rPr>
          <w:i/>
          <w:spacing w:val="-19"/>
          <w:sz w:val="28"/>
        </w:rPr>
        <w:t> </w:t>
      </w:r>
      <w:r>
        <w:rPr>
          <w:i/>
          <w:sz w:val="28"/>
        </w:rPr>
        <w:t>раціон якій</w:t>
      </w:r>
      <w:r>
        <w:rPr>
          <w:i/>
          <w:spacing w:val="-10"/>
          <w:sz w:val="28"/>
        </w:rPr>
        <w:t> </w:t>
      </w:r>
      <w:r>
        <w:rPr>
          <w:i/>
          <w:sz w:val="28"/>
        </w:rPr>
        <w:t>передбачений</w:t>
      </w:r>
      <w:r>
        <w:rPr>
          <w:i/>
          <w:spacing w:val="-9"/>
          <w:sz w:val="28"/>
        </w:rPr>
        <w:t> </w:t>
      </w:r>
      <w:r>
        <w:rPr>
          <w:i/>
          <w:sz w:val="28"/>
        </w:rPr>
        <w:t>в</w:t>
      </w:r>
      <w:r>
        <w:rPr>
          <w:i/>
          <w:spacing w:val="-8"/>
          <w:sz w:val="28"/>
        </w:rPr>
        <w:t> </w:t>
      </w:r>
      <w:r>
        <w:rPr>
          <w:i/>
          <w:sz w:val="28"/>
        </w:rPr>
        <w:t>господарстві,</w:t>
      </w:r>
      <w:r>
        <w:rPr>
          <w:i/>
          <w:spacing w:val="-8"/>
          <w:sz w:val="28"/>
        </w:rPr>
        <w:t> </w:t>
      </w:r>
      <w:r>
        <w:rPr>
          <w:i/>
          <w:sz w:val="28"/>
        </w:rPr>
        <w:t>друга</w:t>
      </w:r>
      <w:r>
        <w:rPr>
          <w:i/>
          <w:spacing w:val="-10"/>
          <w:sz w:val="28"/>
        </w:rPr>
        <w:t> </w:t>
      </w:r>
      <w:r>
        <w:rPr>
          <w:i/>
          <w:sz w:val="28"/>
        </w:rPr>
        <w:t>(дослідна1)</w:t>
      </w:r>
      <w:r>
        <w:rPr>
          <w:i/>
          <w:spacing w:val="-11"/>
          <w:sz w:val="28"/>
        </w:rPr>
        <w:t> </w:t>
      </w:r>
      <w:r>
        <w:rPr>
          <w:i/>
          <w:sz w:val="28"/>
        </w:rPr>
        <w:t>отримувала</w:t>
      </w:r>
      <w:r>
        <w:rPr>
          <w:i/>
          <w:spacing w:val="-9"/>
          <w:sz w:val="28"/>
        </w:rPr>
        <w:t> </w:t>
      </w:r>
      <w:r>
        <w:rPr>
          <w:i/>
          <w:sz w:val="28"/>
        </w:rPr>
        <w:t>до</w:t>
      </w:r>
      <w:r>
        <w:rPr>
          <w:i/>
          <w:spacing w:val="-10"/>
          <w:sz w:val="28"/>
        </w:rPr>
        <w:t> </w:t>
      </w:r>
      <w:r>
        <w:rPr>
          <w:i/>
          <w:sz w:val="28"/>
        </w:rPr>
        <w:t>раціону</w:t>
      </w:r>
      <w:r>
        <w:rPr>
          <w:i/>
          <w:spacing w:val="-8"/>
          <w:sz w:val="28"/>
        </w:rPr>
        <w:t> </w:t>
      </w:r>
      <w:r>
        <w:rPr>
          <w:i/>
          <w:sz w:val="28"/>
        </w:rPr>
        <w:t>150г пропіленгліколю сухого і третя група (дослідна2), крім пропіленгліколю сухого додатково отримувала 20г кормової добавки Ста-Хол. Дослід був проведений під час транзиторного періоду (три тижні до, </w:t>
      </w:r>
      <w:r>
        <w:rPr>
          <w:i/>
          <w:spacing w:val="4"/>
          <w:sz w:val="28"/>
        </w:rPr>
        <w:t>та </w:t>
      </w:r>
      <w:r>
        <w:rPr>
          <w:i/>
          <w:sz w:val="28"/>
        </w:rPr>
        <w:t>три після отелення). Додавання до раціону корів під час транзиторного періоду пропіленгліколю та Ста-Холу сприяє підвищенню концентрації глюкози у крові тварин. Відбувається зниження вмісту триацилгліцеролів у плазмі крові на </w:t>
      </w:r>
      <w:r>
        <w:rPr>
          <w:i/>
          <w:spacing w:val="3"/>
          <w:sz w:val="28"/>
        </w:rPr>
        <w:t>26,7% </w:t>
      </w:r>
      <w:r>
        <w:rPr>
          <w:i/>
          <w:sz w:val="28"/>
        </w:rPr>
        <w:t>порівняно з контрольною та </w:t>
      </w:r>
      <w:r>
        <w:rPr>
          <w:i/>
          <w:spacing w:val="3"/>
          <w:sz w:val="28"/>
        </w:rPr>
        <w:t>23% </w:t>
      </w:r>
      <w:r>
        <w:rPr>
          <w:i/>
          <w:sz w:val="28"/>
        </w:rPr>
        <w:t>з першою дослідною групами тварин. Аналогічні дані отримані і за таким показником ліпідного обміну, як загальний холестерол, якій був нижчим у другій дослідній групі тварин на </w:t>
      </w:r>
      <w:r>
        <w:rPr>
          <w:i/>
          <w:spacing w:val="2"/>
          <w:sz w:val="28"/>
        </w:rPr>
        <w:t>9,9% </w:t>
      </w:r>
      <w:r>
        <w:rPr>
          <w:i/>
          <w:sz w:val="28"/>
        </w:rPr>
        <w:t>порівняно з контрольною та на </w:t>
      </w:r>
      <w:r>
        <w:rPr>
          <w:i/>
          <w:spacing w:val="4"/>
          <w:sz w:val="28"/>
        </w:rPr>
        <w:t>8% </w:t>
      </w:r>
      <w:r>
        <w:rPr>
          <w:i/>
          <w:sz w:val="28"/>
        </w:rPr>
        <w:t>порівняно з першою дослідною групами тварин. Додавання до раціону корів під час транзиторного періоду пропиленгликоля та Ста-Холу сприяло зниженню в другій піддослідній групі тварин вмісту </w:t>
      </w:r>
      <w:r>
        <w:rPr>
          <w:i/>
          <w:spacing w:val="6"/>
          <w:sz w:val="28"/>
        </w:rPr>
        <w:t>β- </w:t>
      </w:r>
      <w:r>
        <w:rPr>
          <w:i/>
          <w:sz w:val="28"/>
        </w:rPr>
        <w:t>гидроксибутирату (ВНВА) на </w:t>
      </w:r>
      <w:r>
        <w:rPr>
          <w:i/>
          <w:spacing w:val="2"/>
          <w:sz w:val="28"/>
        </w:rPr>
        <w:t>1,9% </w:t>
      </w:r>
      <w:r>
        <w:rPr>
          <w:i/>
          <w:sz w:val="28"/>
        </w:rPr>
        <w:t>нижче в порівнянні з першою піддослідної групою і на 64% нижче контрольної групи корів і суми кетонових тіл, в порівнянні з першою піддослідної та контрольної групами на 12,9% і </w:t>
      </w:r>
      <w:r>
        <w:rPr>
          <w:i/>
          <w:spacing w:val="2"/>
          <w:sz w:val="28"/>
        </w:rPr>
        <w:t>64,6% </w:t>
      </w:r>
      <w:r>
        <w:rPr>
          <w:i/>
          <w:sz w:val="28"/>
        </w:rPr>
        <w:t>відповідно. Наприкінці досліду альбумінова фракція білків сироватки крові в другій дослідній групі була вище за першою дослідною та контрольною групами тварин на </w:t>
      </w:r>
      <w:r>
        <w:rPr>
          <w:i/>
          <w:spacing w:val="2"/>
          <w:sz w:val="28"/>
        </w:rPr>
        <w:t>7,1% </w:t>
      </w:r>
      <w:r>
        <w:rPr>
          <w:i/>
          <w:sz w:val="28"/>
        </w:rPr>
        <w:t>та </w:t>
      </w:r>
      <w:r>
        <w:rPr>
          <w:i/>
          <w:spacing w:val="2"/>
          <w:sz w:val="28"/>
        </w:rPr>
        <w:t>18,0% </w:t>
      </w:r>
      <w:r>
        <w:rPr>
          <w:i/>
          <w:sz w:val="28"/>
        </w:rPr>
        <w:t>відповідно. Даний показник, відображає функціональний стан печінки, та свідчить про сприяння пропіленгліколю та СТА-ХОЛу у відновленні ії білоксинтезуючої</w:t>
      </w:r>
      <w:r>
        <w:rPr>
          <w:i/>
          <w:spacing w:val="2"/>
          <w:sz w:val="28"/>
        </w:rPr>
        <w:t> </w:t>
      </w:r>
      <w:r>
        <w:rPr>
          <w:i/>
          <w:sz w:val="28"/>
        </w:rPr>
        <w:t>функції.</w:t>
      </w:r>
    </w:p>
    <w:p>
      <w:pPr>
        <w:spacing w:before="1"/>
        <w:ind w:left="903" w:right="0" w:firstLine="0"/>
        <w:jc w:val="both"/>
        <w:rPr>
          <w:i/>
          <w:sz w:val="28"/>
        </w:rPr>
      </w:pPr>
      <w:r>
        <w:rPr>
          <w:b/>
          <w:i/>
          <w:sz w:val="28"/>
        </w:rPr>
        <w:t>Ключові слова: </w:t>
      </w:r>
      <w:r>
        <w:rPr>
          <w:i/>
          <w:sz w:val="28"/>
        </w:rPr>
        <w:t>корови, пропіленгліколь, Ста-Хол, кетонові тіла.</w:t>
      </w:r>
    </w:p>
    <w:p>
      <w:pPr>
        <w:pStyle w:val="BodyText"/>
        <w:ind w:left="0"/>
        <w:jc w:val="left"/>
        <w:rPr>
          <w:i/>
        </w:rPr>
      </w:pPr>
    </w:p>
    <w:p>
      <w:pPr>
        <w:pStyle w:val="BodyText"/>
        <w:ind w:right="610" w:firstLine="710"/>
      </w:pPr>
      <w:r>
        <w:rPr>
          <w:b/>
        </w:rPr>
        <w:t>Актуальність проблеми</w:t>
      </w:r>
      <w:r>
        <w:rPr>
          <w:b/>
          <w:sz w:val="18"/>
        </w:rPr>
        <w:t>. </w:t>
      </w:r>
      <w:r>
        <w:rPr/>
        <w:t>Найпоширенішими та найбільш економічно збитковими захворюваннями високопродуктивних корів є кетоз, жирова дистрофія печінки, хронічний ацидоз рубця. </w:t>
      </w:r>
      <w:r>
        <w:rPr>
          <w:spacing w:val="-3"/>
        </w:rPr>
        <w:t>Ці </w:t>
      </w:r>
      <w:r>
        <w:rPr/>
        <w:t>хвороби повністю або частково спричинені</w:t>
      </w:r>
      <w:r>
        <w:rPr>
          <w:spacing w:val="-19"/>
        </w:rPr>
        <w:t> </w:t>
      </w:r>
      <w:r>
        <w:rPr/>
        <w:t>високим</w:t>
      </w:r>
      <w:r>
        <w:rPr>
          <w:spacing w:val="-12"/>
        </w:rPr>
        <w:t> </w:t>
      </w:r>
      <w:r>
        <w:rPr/>
        <w:t>вмістом</w:t>
      </w:r>
      <w:r>
        <w:rPr>
          <w:spacing w:val="-13"/>
        </w:rPr>
        <w:t> </w:t>
      </w:r>
      <w:r>
        <w:rPr/>
        <w:t>концентратів</w:t>
      </w:r>
      <w:r>
        <w:rPr>
          <w:spacing w:val="-11"/>
        </w:rPr>
        <w:t> </w:t>
      </w:r>
      <w:r>
        <w:rPr/>
        <w:t>у</w:t>
      </w:r>
      <w:r>
        <w:rPr>
          <w:spacing w:val="-18"/>
        </w:rPr>
        <w:t> </w:t>
      </w:r>
      <w:r>
        <w:rPr/>
        <w:t>раціоні</w:t>
      </w:r>
      <w:r>
        <w:rPr>
          <w:spacing w:val="-18"/>
        </w:rPr>
        <w:t> </w:t>
      </w:r>
      <w:r>
        <w:rPr/>
        <w:t>та</w:t>
      </w:r>
      <w:r>
        <w:rPr>
          <w:spacing w:val="-13"/>
        </w:rPr>
        <w:t> </w:t>
      </w:r>
      <w:r>
        <w:rPr/>
        <w:t>особливостями</w:t>
      </w:r>
      <w:r>
        <w:rPr>
          <w:spacing w:val="-13"/>
        </w:rPr>
        <w:t> </w:t>
      </w:r>
      <w:r>
        <w:rPr/>
        <w:t>технології утримання. Взагалі позбутися їх неможливо, проте слід скерувати наукові розробки на зменшення поширення цих захворювань.</w:t>
      </w:r>
    </w:p>
    <w:p>
      <w:pPr>
        <w:spacing w:after="0"/>
        <w:sectPr>
          <w:pgSz w:w="11910" w:h="16840"/>
          <w:pgMar w:header="713" w:footer="778" w:top="1140" w:bottom="960" w:left="940" w:right="520"/>
        </w:sectPr>
      </w:pPr>
    </w:p>
    <w:p>
      <w:pPr>
        <w:pStyle w:val="BodyText"/>
        <w:spacing w:before="92"/>
        <w:ind w:right="609" w:firstLine="710"/>
      </w:pPr>
      <w:r>
        <w:rPr/>
        <w:t>Показник поширеності кетозу тісно пов'язаний з годуванням корів і технологічним циклом на виробництві. Так, дослідження проведені у Великої Британії молока та сечі у корів позитивний результат на кетони дали 33%. Поширеність кетозу в значній мірі пов'язана з породами великої рогатої худоби. Є</w:t>
      </w:r>
      <w:r>
        <w:rPr>
          <w:spacing w:val="-15"/>
        </w:rPr>
        <w:t> </w:t>
      </w:r>
      <w:r>
        <w:rPr/>
        <w:t>висока</w:t>
      </w:r>
      <w:r>
        <w:rPr>
          <w:spacing w:val="-12"/>
        </w:rPr>
        <w:t> </w:t>
      </w:r>
      <w:r>
        <w:rPr/>
        <w:t>поширеність</w:t>
      </w:r>
      <w:r>
        <w:rPr>
          <w:spacing w:val="-14"/>
        </w:rPr>
        <w:t> </w:t>
      </w:r>
      <w:r>
        <w:rPr/>
        <w:t>кетозу</w:t>
      </w:r>
      <w:r>
        <w:rPr>
          <w:spacing w:val="-17"/>
        </w:rPr>
        <w:t> </w:t>
      </w:r>
      <w:r>
        <w:rPr/>
        <w:t>у</w:t>
      </w:r>
      <w:r>
        <w:rPr>
          <w:spacing w:val="-17"/>
        </w:rPr>
        <w:t> </w:t>
      </w:r>
      <w:r>
        <w:rPr/>
        <w:t>тварин</w:t>
      </w:r>
      <w:r>
        <w:rPr>
          <w:spacing w:val="-13"/>
        </w:rPr>
        <w:t> </w:t>
      </w:r>
      <w:r>
        <w:rPr/>
        <w:t>з</w:t>
      </w:r>
      <w:r>
        <w:rPr>
          <w:spacing w:val="-13"/>
        </w:rPr>
        <w:t> </w:t>
      </w:r>
      <w:r>
        <w:rPr/>
        <w:t>високим</w:t>
      </w:r>
      <w:r>
        <w:rPr>
          <w:spacing w:val="-11"/>
        </w:rPr>
        <w:t> </w:t>
      </w:r>
      <w:r>
        <w:rPr/>
        <w:t>генетичним</w:t>
      </w:r>
      <w:r>
        <w:rPr>
          <w:spacing w:val="-12"/>
        </w:rPr>
        <w:t> </w:t>
      </w:r>
      <w:r>
        <w:rPr/>
        <w:t>потенціалом,</w:t>
      </w:r>
      <w:r>
        <w:rPr>
          <w:spacing w:val="-11"/>
        </w:rPr>
        <w:t> </w:t>
      </w:r>
      <w:r>
        <w:rPr/>
        <w:t>так</w:t>
      </w:r>
      <w:r>
        <w:rPr>
          <w:spacing w:val="-13"/>
        </w:rPr>
        <w:t> </w:t>
      </w:r>
      <w:r>
        <w:rPr/>
        <w:t>як ці тварини не можуть протистояти тиску, що виникає в результаті високих потреб організму в поживних речовинах, викликані продукуванням молока, що в кінцевому підсумку призводить до розвитку гіпоглікемії, яка сприяє в подальшому підвищенню кетонових тіл в організмі тварин. Встановлено, що кетоз і жировий синдром печінки у молочної худоби тісно пов'язані між собою. У Сполучених Штатах Америки середньорічні збитки від кетозу і синдрому жирової</w:t>
      </w:r>
      <w:r>
        <w:rPr>
          <w:spacing w:val="-11"/>
        </w:rPr>
        <w:t> </w:t>
      </w:r>
      <w:r>
        <w:rPr/>
        <w:t>дистрофії</w:t>
      </w:r>
      <w:r>
        <w:rPr>
          <w:spacing w:val="-10"/>
        </w:rPr>
        <w:t> </w:t>
      </w:r>
      <w:r>
        <w:rPr/>
        <w:t>печінки</w:t>
      </w:r>
      <w:r>
        <w:rPr>
          <w:spacing w:val="-4"/>
        </w:rPr>
        <w:t> </w:t>
      </w:r>
      <w:r>
        <w:rPr/>
        <w:t>оцінюються</w:t>
      </w:r>
      <w:r>
        <w:rPr>
          <w:spacing w:val="-4"/>
        </w:rPr>
        <w:t> </w:t>
      </w:r>
      <w:r>
        <w:rPr/>
        <w:t>в</w:t>
      </w:r>
      <w:r>
        <w:rPr>
          <w:spacing w:val="-2"/>
        </w:rPr>
        <w:t> </w:t>
      </w:r>
      <w:r>
        <w:rPr/>
        <w:t>більш</w:t>
      </w:r>
      <w:r>
        <w:rPr>
          <w:spacing w:val="-4"/>
        </w:rPr>
        <w:t> </w:t>
      </w:r>
      <w:r>
        <w:rPr/>
        <w:t>ніж</w:t>
      </w:r>
      <w:r>
        <w:rPr>
          <w:spacing w:val="-5"/>
        </w:rPr>
        <w:t> </w:t>
      </w:r>
      <w:r>
        <w:rPr/>
        <w:t>60</w:t>
      </w:r>
      <w:r>
        <w:rPr>
          <w:spacing w:val="-4"/>
        </w:rPr>
        <w:t> </w:t>
      </w:r>
      <w:r>
        <w:rPr/>
        <w:t>мільйонів</w:t>
      </w:r>
      <w:r>
        <w:rPr>
          <w:spacing w:val="-8"/>
        </w:rPr>
        <w:t> </w:t>
      </w:r>
      <w:r>
        <w:rPr/>
        <w:t>доларів</w:t>
      </w:r>
      <w:r>
        <w:rPr>
          <w:spacing w:val="-7"/>
        </w:rPr>
        <w:t> </w:t>
      </w:r>
      <w:r>
        <w:rPr/>
        <w:t>[1,с.10- 20]. Основними причинами виникнення поліморбідної внутрішньої патології у високопродуктивних</w:t>
      </w:r>
      <w:r>
        <w:rPr>
          <w:spacing w:val="-25"/>
        </w:rPr>
        <w:t> </w:t>
      </w:r>
      <w:r>
        <w:rPr/>
        <w:t>корів</w:t>
      </w:r>
      <w:r>
        <w:rPr>
          <w:spacing w:val="-22"/>
        </w:rPr>
        <w:t> </w:t>
      </w:r>
      <w:r>
        <w:rPr/>
        <w:t>є:</w:t>
      </w:r>
      <w:r>
        <w:rPr>
          <w:spacing w:val="-25"/>
        </w:rPr>
        <w:t> </w:t>
      </w:r>
      <w:r>
        <w:rPr/>
        <w:t>а)</w:t>
      </w:r>
      <w:r>
        <w:rPr>
          <w:spacing w:val="-21"/>
        </w:rPr>
        <w:t> </w:t>
      </w:r>
      <w:r>
        <w:rPr/>
        <w:t>порушення</w:t>
      </w:r>
      <w:r>
        <w:rPr>
          <w:spacing w:val="-20"/>
        </w:rPr>
        <w:t> </w:t>
      </w:r>
      <w:r>
        <w:rPr/>
        <w:t>структури</w:t>
      </w:r>
      <w:r>
        <w:rPr>
          <w:spacing w:val="-20"/>
        </w:rPr>
        <w:t> </w:t>
      </w:r>
      <w:r>
        <w:rPr/>
        <w:t>раціону,</w:t>
      </w:r>
      <w:r>
        <w:rPr>
          <w:spacing w:val="-18"/>
        </w:rPr>
        <w:t> </w:t>
      </w:r>
      <w:r>
        <w:rPr/>
        <w:t>зокрема</w:t>
      </w:r>
      <w:r>
        <w:rPr>
          <w:spacing w:val="-20"/>
        </w:rPr>
        <w:t> </w:t>
      </w:r>
      <w:r>
        <w:rPr/>
        <w:t>зниження частки грубих і соковитих кормів за обмінною енергією та збільшення частки концентратів від 48,0 до 61,5 %; б) дефіцит у раціоні легкоферментованих вуглеводів – цукру і крохмалю, особливо на фоні надлишку протеїну, низьке співвідношення їх з перетравним протеїном – 1,3–1,8:1 (2,0–2,5:1 за нормою); в) нерівномірне згодовування тваринам великої кількості концентрованих кормів (120,0–136,0 г на 1 корм. од.) за два–три прийоми (по 3,5–4,0 кг), часто в першу половину дня; г) дисбаланс раціонів за макро- і мікроелементами, вітамінами А і D; д) ожиріння у період сухостою та гіподинамія [5,с.34]. За нашими спостереженнями причиною виникнення кетозу у корів у господарствах Одеської області була незбалансованість раціонів за поживними та біологічно- активними речовинами, зокрема дефіцит енергії низьке цукрово - протеїнове співвідношення (08:1, при нормі1-1,2:1). Крім того, майже цілорічне стійлове утримання тварин без моціону, ожиріння, післяродова патологія все це є сприяючими факторами розвитку захворювання</w:t>
      </w:r>
      <w:r>
        <w:rPr>
          <w:spacing w:val="1"/>
        </w:rPr>
        <w:t> </w:t>
      </w:r>
      <w:r>
        <w:rPr/>
        <w:t>[6,с.258-261].</w:t>
      </w:r>
    </w:p>
    <w:p>
      <w:pPr>
        <w:pStyle w:val="BodyText"/>
        <w:spacing w:before="1"/>
        <w:ind w:right="602" w:firstLine="710"/>
      </w:pPr>
      <w:r>
        <w:rPr/>
        <w:t>Незважаючи на наявність значної кількості препаратів, що регулюють метаболізм у рубці та синтез глюкози у печінці, приблизно у 40% високопродуктивних корів виявляють субклінічну форму кетозу та жирову гепатодистрофію. Значною мірою попередити ці захворювання можна балансуванням раціонів, однак основний шлях боротьби з ними </w:t>
      </w:r>
      <w:r>
        <w:rPr>
          <w:i/>
        </w:rPr>
        <w:t>– </w:t>
      </w:r>
      <w:r>
        <w:rPr/>
        <w:t>введення до раціону кормових добавок [2,с. 191–213; 3, с.19-21: 4, с.2731]. Кетоз є метаболічним захворюванням, яке виникає, коли корова знаходиться з негативним енергетичним балансом у важкому стані. На початку лактації всі корови знаходяться в стані негативного енергетичного балансу; однак величина цього може змінюватись. Перебуваючи в негативному енергетичному балансі, корова мобілізує жирові відкладення, але не може перетворити це в енергію звичайними шляхами. Замість цього утворюються кетонові тіла, які в невеликих кількостях можуть використовуватися коровою для отримання енергії. [4, с.10]. Однак, коли відбувається високий синтез кетонів, організм корови не може використовувати всі кетонові тіла для перетворення їх в енергію, а це веде до</w:t>
      </w:r>
    </w:p>
    <w:p>
      <w:pPr>
        <w:spacing w:after="0"/>
        <w:sectPr>
          <w:pgSz w:w="11910" w:h="16840"/>
          <w:pgMar w:header="713" w:footer="778" w:top="1140" w:bottom="960" w:left="940" w:right="520"/>
        </w:sectPr>
      </w:pPr>
    </w:p>
    <w:p>
      <w:pPr>
        <w:pStyle w:val="BodyText"/>
        <w:spacing w:before="92"/>
        <w:ind w:right="619"/>
      </w:pPr>
      <w:r>
        <w:rPr/>
        <w:t>підвищення рівня кетонів в крові. Коли це відбувається, корова може страждати від кетозу.</w:t>
      </w:r>
    </w:p>
    <w:p>
      <w:pPr>
        <w:pStyle w:val="BodyText"/>
        <w:ind w:right="611" w:firstLine="710"/>
      </w:pPr>
      <w:r>
        <w:rPr>
          <w:b/>
        </w:rPr>
        <w:t>Мета роботи: </w:t>
      </w:r>
      <w:r>
        <w:rPr/>
        <w:t>дослідити вплив додавання до раціону корів під час транзиторного періоду пропіленгліколю та СТА-ХОЛу на деякі біохімічні показники плазми крові корів.</w:t>
      </w:r>
    </w:p>
    <w:p>
      <w:pPr>
        <w:pStyle w:val="BodyText"/>
        <w:spacing w:before="3"/>
        <w:ind w:right="608" w:firstLine="710"/>
      </w:pPr>
      <w:r>
        <w:rPr>
          <w:b/>
        </w:rPr>
        <w:t>Матеріал</w:t>
      </w:r>
      <w:r>
        <w:rPr>
          <w:b/>
          <w:spacing w:val="-9"/>
        </w:rPr>
        <w:t> </w:t>
      </w:r>
      <w:r>
        <w:rPr>
          <w:b/>
        </w:rPr>
        <w:t>і</w:t>
      </w:r>
      <w:r>
        <w:rPr>
          <w:b/>
          <w:spacing w:val="-11"/>
        </w:rPr>
        <w:t> </w:t>
      </w:r>
      <w:r>
        <w:rPr>
          <w:b/>
        </w:rPr>
        <w:t>методи</w:t>
      </w:r>
      <w:r>
        <w:rPr>
          <w:b/>
          <w:spacing w:val="-12"/>
        </w:rPr>
        <w:t> </w:t>
      </w:r>
      <w:r>
        <w:rPr>
          <w:b/>
        </w:rPr>
        <w:t>досліджень.</w:t>
      </w:r>
      <w:r>
        <w:rPr>
          <w:b/>
          <w:spacing w:val="-7"/>
        </w:rPr>
        <w:t> </w:t>
      </w:r>
      <w:r>
        <w:rPr/>
        <w:t>Для</w:t>
      </w:r>
      <w:r>
        <w:rPr>
          <w:spacing w:val="-12"/>
        </w:rPr>
        <w:t> </w:t>
      </w:r>
      <w:r>
        <w:rPr/>
        <w:t>проведення</w:t>
      </w:r>
      <w:r>
        <w:rPr>
          <w:spacing w:val="-10"/>
        </w:rPr>
        <w:t> </w:t>
      </w:r>
      <w:r>
        <w:rPr/>
        <w:t>досліду</w:t>
      </w:r>
      <w:r>
        <w:rPr>
          <w:spacing w:val="-15"/>
        </w:rPr>
        <w:t> </w:t>
      </w:r>
      <w:r>
        <w:rPr/>
        <w:t>було</w:t>
      </w:r>
      <w:r>
        <w:rPr>
          <w:spacing w:val="-9"/>
        </w:rPr>
        <w:t> </w:t>
      </w:r>
      <w:r>
        <w:rPr/>
        <w:t>сформовано три</w:t>
      </w:r>
      <w:r>
        <w:rPr>
          <w:spacing w:val="-13"/>
        </w:rPr>
        <w:t> </w:t>
      </w:r>
      <w:r>
        <w:rPr/>
        <w:t>групи</w:t>
      </w:r>
      <w:r>
        <w:rPr>
          <w:spacing w:val="-12"/>
        </w:rPr>
        <w:t> </w:t>
      </w:r>
      <w:r>
        <w:rPr/>
        <w:t>корів</w:t>
      </w:r>
      <w:r>
        <w:rPr>
          <w:spacing w:val="-16"/>
        </w:rPr>
        <w:t> </w:t>
      </w:r>
      <w:r>
        <w:rPr/>
        <w:t>української</w:t>
      </w:r>
      <w:r>
        <w:rPr>
          <w:spacing w:val="-17"/>
        </w:rPr>
        <w:t> </w:t>
      </w:r>
      <w:r>
        <w:rPr/>
        <w:t>молочної</w:t>
      </w:r>
      <w:r>
        <w:rPr>
          <w:spacing w:val="-17"/>
        </w:rPr>
        <w:t> </w:t>
      </w:r>
      <w:r>
        <w:rPr/>
        <w:t>чорно-рябої</w:t>
      </w:r>
      <w:r>
        <w:rPr>
          <w:spacing w:val="-17"/>
        </w:rPr>
        <w:t> </w:t>
      </w:r>
      <w:r>
        <w:rPr/>
        <w:t>породи</w:t>
      </w:r>
      <w:r>
        <w:rPr>
          <w:spacing w:val="-12"/>
        </w:rPr>
        <w:t> </w:t>
      </w:r>
      <w:r>
        <w:rPr/>
        <w:t>транзиторного</w:t>
      </w:r>
      <w:r>
        <w:rPr>
          <w:spacing w:val="-13"/>
        </w:rPr>
        <w:t> </w:t>
      </w:r>
      <w:r>
        <w:rPr/>
        <w:t>періоду (три тижні до, та три після отелення) з продуктивністю за попередню лактацію 5,5–6 тис. кг молока по 7 тварин у групі, перша контрольна, корови якої отримували звичайний раціон якій передбачений в господарстві (табл.1), друга (дослідна 1) отримувала до раціону 150г пропіленгліколю сухого і третя група (дослідна2), крім пропіленгліколю сухого додатково отримувала 20г кормової добавки Ста-Хол.</w:t>
      </w:r>
    </w:p>
    <w:p>
      <w:pPr>
        <w:pStyle w:val="BodyText"/>
        <w:spacing w:line="319" w:lineRule="exact" w:after="7"/>
        <w:ind w:left="903"/>
      </w:pPr>
      <w:r>
        <w:rPr/>
        <w:t>Таблиця1. Раціон годівлі корів, кг/доба</w:t>
      </w:r>
    </w:p>
    <w:tbl>
      <w:tblPr>
        <w:tblW w:w="0" w:type="auto"/>
        <w:jc w:val="left"/>
        <w:tblInd w:w="2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827"/>
        <w:gridCol w:w="2837"/>
        <w:gridCol w:w="2958"/>
      </w:tblGrid>
      <w:tr>
        <w:trPr>
          <w:trHeight w:val="277" w:hRule="atLeast"/>
        </w:trPr>
        <w:tc>
          <w:tcPr>
            <w:tcW w:w="3827" w:type="dxa"/>
            <w:vMerge w:val="restart"/>
          </w:tcPr>
          <w:p>
            <w:pPr>
              <w:pStyle w:val="TableParagraph"/>
              <w:spacing w:before="2"/>
              <w:rPr>
                <w:sz w:val="25"/>
              </w:rPr>
            </w:pPr>
          </w:p>
          <w:p>
            <w:pPr>
              <w:pStyle w:val="TableParagraph"/>
              <w:ind w:left="581" w:right="516"/>
              <w:jc w:val="center"/>
              <w:rPr>
                <w:sz w:val="24"/>
              </w:rPr>
            </w:pPr>
            <w:r>
              <w:rPr>
                <w:sz w:val="24"/>
              </w:rPr>
              <w:t>Корми</w:t>
            </w:r>
          </w:p>
        </w:tc>
        <w:tc>
          <w:tcPr>
            <w:tcW w:w="5795" w:type="dxa"/>
            <w:gridSpan w:val="2"/>
          </w:tcPr>
          <w:p>
            <w:pPr>
              <w:pStyle w:val="TableParagraph"/>
              <w:spacing w:line="258" w:lineRule="exact"/>
              <w:ind w:left="3327"/>
              <w:rPr>
                <w:sz w:val="24"/>
              </w:rPr>
            </w:pPr>
            <w:r>
              <w:rPr>
                <w:sz w:val="24"/>
              </w:rPr>
              <w:t>Групи корів</w:t>
            </w:r>
          </w:p>
        </w:tc>
      </w:tr>
      <w:tr>
        <w:trPr>
          <w:trHeight w:val="551" w:hRule="atLeast"/>
        </w:trPr>
        <w:tc>
          <w:tcPr>
            <w:tcW w:w="3827" w:type="dxa"/>
            <w:vMerge/>
            <w:tcBorders>
              <w:top w:val="nil"/>
            </w:tcBorders>
          </w:tcPr>
          <w:p>
            <w:pPr>
              <w:rPr>
                <w:sz w:val="2"/>
                <w:szCs w:val="2"/>
              </w:rPr>
            </w:pPr>
          </w:p>
        </w:tc>
        <w:tc>
          <w:tcPr>
            <w:tcW w:w="2837" w:type="dxa"/>
          </w:tcPr>
          <w:p>
            <w:pPr>
              <w:pStyle w:val="TableParagraph"/>
              <w:spacing w:before="131"/>
              <w:ind w:left="587" w:right="1316"/>
              <w:jc w:val="center"/>
              <w:rPr>
                <w:sz w:val="24"/>
              </w:rPr>
            </w:pPr>
            <w:r>
              <w:rPr>
                <w:sz w:val="24"/>
              </w:rPr>
              <w:t>сухостій</w:t>
            </w:r>
          </w:p>
        </w:tc>
        <w:tc>
          <w:tcPr>
            <w:tcW w:w="2958" w:type="dxa"/>
          </w:tcPr>
          <w:p>
            <w:pPr>
              <w:pStyle w:val="TableParagraph"/>
              <w:spacing w:before="131"/>
              <w:ind w:left="1043" w:right="994"/>
              <w:jc w:val="center"/>
              <w:rPr>
                <w:sz w:val="24"/>
              </w:rPr>
            </w:pPr>
            <w:r>
              <w:rPr>
                <w:sz w:val="24"/>
              </w:rPr>
              <w:t>лактація</w:t>
            </w:r>
          </w:p>
        </w:tc>
      </w:tr>
      <w:tr>
        <w:trPr>
          <w:trHeight w:val="277" w:hRule="atLeast"/>
        </w:trPr>
        <w:tc>
          <w:tcPr>
            <w:tcW w:w="3827" w:type="dxa"/>
          </w:tcPr>
          <w:p>
            <w:pPr>
              <w:pStyle w:val="TableParagraph"/>
              <w:spacing w:line="258" w:lineRule="exact"/>
              <w:ind w:left="576" w:right="522"/>
              <w:jc w:val="center"/>
              <w:rPr>
                <w:sz w:val="24"/>
              </w:rPr>
            </w:pPr>
            <w:r>
              <w:rPr>
                <w:sz w:val="24"/>
              </w:rPr>
              <w:t>Силос кукурудзяний</w:t>
            </w:r>
          </w:p>
        </w:tc>
        <w:tc>
          <w:tcPr>
            <w:tcW w:w="2837" w:type="dxa"/>
          </w:tcPr>
          <w:p>
            <w:pPr>
              <w:pStyle w:val="TableParagraph"/>
              <w:spacing w:line="258" w:lineRule="exact"/>
              <w:ind w:left="587" w:right="1304"/>
              <w:jc w:val="center"/>
              <w:rPr>
                <w:sz w:val="24"/>
              </w:rPr>
            </w:pPr>
            <w:r>
              <w:rPr>
                <w:sz w:val="24"/>
              </w:rPr>
              <w:t>6,0</w:t>
            </w:r>
          </w:p>
        </w:tc>
        <w:tc>
          <w:tcPr>
            <w:tcW w:w="2958" w:type="dxa"/>
          </w:tcPr>
          <w:p>
            <w:pPr>
              <w:pStyle w:val="TableParagraph"/>
              <w:spacing w:line="258" w:lineRule="exact"/>
              <w:ind w:left="1043" w:right="985"/>
              <w:jc w:val="center"/>
              <w:rPr>
                <w:sz w:val="24"/>
              </w:rPr>
            </w:pPr>
            <w:r>
              <w:rPr>
                <w:sz w:val="24"/>
              </w:rPr>
              <w:t>25,0</w:t>
            </w:r>
          </w:p>
        </w:tc>
      </w:tr>
      <w:tr>
        <w:trPr>
          <w:trHeight w:val="272" w:hRule="atLeast"/>
        </w:trPr>
        <w:tc>
          <w:tcPr>
            <w:tcW w:w="3827" w:type="dxa"/>
          </w:tcPr>
          <w:p>
            <w:pPr>
              <w:pStyle w:val="TableParagraph"/>
              <w:spacing w:line="253" w:lineRule="exact"/>
              <w:ind w:left="581" w:right="522"/>
              <w:jc w:val="center"/>
              <w:rPr>
                <w:sz w:val="24"/>
              </w:rPr>
            </w:pPr>
            <w:r>
              <w:rPr>
                <w:sz w:val="24"/>
              </w:rPr>
              <w:t>Сінаж ячмінно-гороховий</w:t>
            </w:r>
          </w:p>
        </w:tc>
        <w:tc>
          <w:tcPr>
            <w:tcW w:w="2837" w:type="dxa"/>
          </w:tcPr>
          <w:p>
            <w:pPr>
              <w:pStyle w:val="TableParagraph"/>
              <w:spacing w:line="253" w:lineRule="exact"/>
              <w:ind w:left="587" w:right="1309"/>
              <w:jc w:val="center"/>
              <w:rPr>
                <w:sz w:val="24"/>
              </w:rPr>
            </w:pPr>
            <w:r>
              <w:rPr>
                <w:sz w:val="24"/>
              </w:rPr>
              <w:t>15,0</w:t>
            </w:r>
          </w:p>
        </w:tc>
        <w:tc>
          <w:tcPr>
            <w:tcW w:w="2958" w:type="dxa"/>
          </w:tcPr>
          <w:p>
            <w:pPr>
              <w:pStyle w:val="TableParagraph"/>
              <w:spacing w:line="253" w:lineRule="exact"/>
              <w:ind w:left="1043" w:right="985"/>
              <w:jc w:val="center"/>
              <w:rPr>
                <w:sz w:val="24"/>
              </w:rPr>
            </w:pPr>
            <w:r>
              <w:rPr>
                <w:sz w:val="24"/>
              </w:rPr>
              <w:t>15,0</w:t>
            </w:r>
          </w:p>
        </w:tc>
      </w:tr>
      <w:tr>
        <w:trPr>
          <w:trHeight w:val="277" w:hRule="atLeast"/>
        </w:trPr>
        <w:tc>
          <w:tcPr>
            <w:tcW w:w="3827" w:type="dxa"/>
          </w:tcPr>
          <w:p>
            <w:pPr>
              <w:pStyle w:val="TableParagraph"/>
              <w:spacing w:line="258" w:lineRule="exact"/>
              <w:ind w:left="581" w:right="520"/>
              <w:jc w:val="center"/>
              <w:rPr>
                <w:sz w:val="24"/>
              </w:rPr>
            </w:pPr>
            <w:r>
              <w:rPr>
                <w:sz w:val="24"/>
              </w:rPr>
              <w:t>Дерть пшенична</w:t>
            </w:r>
          </w:p>
        </w:tc>
        <w:tc>
          <w:tcPr>
            <w:tcW w:w="2837" w:type="dxa"/>
          </w:tcPr>
          <w:p>
            <w:pPr>
              <w:pStyle w:val="TableParagraph"/>
              <w:spacing w:line="258" w:lineRule="exact"/>
              <w:ind w:left="587" w:right="1304"/>
              <w:jc w:val="center"/>
              <w:rPr>
                <w:sz w:val="24"/>
              </w:rPr>
            </w:pPr>
            <w:r>
              <w:rPr>
                <w:sz w:val="24"/>
              </w:rPr>
              <w:t>0,5</w:t>
            </w:r>
          </w:p>
        </w:tc>
        <w:tc>
          <w:tcPr>
            <w:tcW w:w="2958" w:type="dxa"/>
          </w:tcPr>
          <w:p>
            <w:pPr>
              <w:pStyle w:val="TableParagraph"/>
              <w:spacing w:line="258" w:lineRule="exact"/>
              <w:ind w:left="1043" w:right="989"/>
              <w:jc w:val="center"/>
              <w:rPr>
                <w:sz w:val="24"/>
              </w:rPr>
            </w:pPr>
            <w:r>
              <w:rPr>
                <w:sz w:val="24"/>
              </w:rPr>
              <w:t>2,0</w:t>
            </w:r>
          </w:p>
        </w:tc>
      </w:tr>
      <w:tr>
        <w:trPr>
          <w:trHeight w:val="277" w:hRule="atLeast"/>
        </w:trPr>
        <w:tc>
          <w:tcPr>
            <w:tcW w:w="3827" w:type="dxa"/>
          </w:tcPr>
          <w:p>
            <w:pPr>
              <w:pStyle w:val="TableParagraph"/>
              <w:spacing w:line="258" w:lineRule="exact"/>
              <w:ind w:left="578" w:right="522"/>
              <w:jc w:val="center"/>
              <w:rPr>
                <w:sz w:val="24"/>
              </w:rPr>
            </w:pPr>
            <w:r>
              <w:rPr>
                <w:sz w:val="24"/>
              </w:rPr>
              <w:t>Дерть ячмінна</w:t>
            </w:r>
          </w:p>
        </w:tc>
        <w:tc>
          <w:tcPr>
            <w:tcW w:w="2837" w:type="dxa"/>
          </w:tcPr>
          <w:p>
            <w:pPr>
              <w:pStyle w:val="TableParagraph"/>
              <w:spacing w:line="258" w:lineRule="exact"/>
              <w:ind w:left="587" w:right="1304"/>
              <w:jc w:val="center"/>
              <w:rPr>
                <w:sz w:val="24"/>
              </w:rPr>
            </w:pPr>
            <w:r>
              <w:rPr>
                <w:sz w:val="24"/>
              </w:rPr>
              <w:t>1,0</w:t>
            </w:r>
          </w:p>
        </w:tc>
        <w:tc>
          <w:tcPr>
            <w:tcW w:w="2958" w:type="dxa"/>
          </w:tcPr>
          <w:p>
            <w:pPr>
              <w:pStyle w:val="TableParagraph"/>
              <w:spacing w:line="258" w:lineRule="exact"/>
              <w:ind w:left="1043" w:right="989"/>
              <w:jc w:val="center"/>
              <w:rPr>
                <w:sz w:val="24"/>
              </w:rPr>
            </w:pPr>
            <w:r>
              <w:rPr>
                <w:sz w:val="24"/>
              </w:rPr>
              <w:t>2,0</w:t>
            </w:r>
          </w:p>
        </w:tc>
      </w:tr>
      <w:tr>
        <w:trPr>
          <w:trHeight w:val="273" w:hRule="atLeast"/>
        </w:trPr>
        <w:tc>
          <w:tcPr>
            <w:tcW w:w="3827" w:type="dxa"/>
          </w:tcPr>
          <w:p>
            <w:pPr>
              <w:pStyle w:val="TableParagraph"/>
              <w:spacing w:line="253" w:lineRule="exact"/>
              <w:ind w:left="578" w:right="522"/>
              <w:jc w:val="center"/>
              <w:rPr>
                <w:sz w:val="24"/>
              </w:rPr>
            </w:pPr>
            <w:r>
              <w:rPr>
                <w:sz w:val="24"/>
              </w:rPr>
              <w:t>Дерть кукурудзяна</w:t>
            </w:r>
          </w:p>
        </w:tc>
        <w:tc>
          <w:tcPr>
            <w:tcW w:w="2837" w:type="dxa"/>
          </w:tcPr>
          <w:p>
            <w:pPr>
              <w:pStyle w:val="TableParagraph"/>
              <w:spacing w:line="253" w:lineRule="exact"/>
              <w:ind w:left="587" w:right="1304"/>
              <w:jc w:val="center"/>
              <w:rPr>
                <w:sz w:val="24"/>
              </w:rPr>
            </w:pPr>
            <w:r>
              <w:rPr>
                <w:sz w:val="24"/>
              </w:rPr>
              <w:t>1,0</w:t>
            </w:r>
          </w:p>
        </w:tc>
        <w:tc>
          <w:tcPr>
            <w:tcW w:w="2958" w:type="dxa"/>
          </w:tcPr>
          <w:p>
            <w:pPr>
              <w:pStyle w:val="TableParagraph"/>
              <w:spacing w:line="253" w:lineRule="exact"/>
              <w:ind w:left="1043" w:right="989"/>
              <w:jc w:val="center"/>
              <w:rPr>
                <w:sz w:val="24"/>
              </w:rPr>
            </w:pPr>
            <w:r>
              <w:rPr>
                <w:sz w:val="24"/>
              </w:rPr>
              <w:t>1,0</w:t>
            </w:r>
          </w:p>
        </w:tc>
      </w:tr>
      <w:tr>
        <w:trPr>
          <w:trHeight w:val="277" w:hRule="atLeast"/>
        </w:trPr>
        <w:tc>
          <w:tcPr>
            <w:tcW w:w="3827" w:type="dxa"/>
          </w:tcPr>
          <w:p>
            <w:pPr>
              <w:pStyle w:val="TableParagraph"/>
              <w:spacing w:line="258" w:lineRule="exact"/>
              <w:ind w:left="581" w:right="522"/>
              <w:jc w:val="center"/>
              <w:rPr>
                <w:sz w:val="24"/>
              </w:rPr>
            </w:pPr>
            <w:r>
              <w:rPr>
                <w:sz w:val="24"/>
              </w:rPr>
              <w:t>Шрот соєвий</w:t>
            </w:r>
          </w:p>
        </w:tc>
        <w:tc>
          <w:tcPr>
            <w:tcW w:w="2837" w:type="dxa"/>
          </w:tcPr>
          <w:p>
            <w:pPr>
              <w:pStyle w:val="TableParagraph"/>
              <w:spacing w:line="258" w:lineRule="exact"/>
              <w:ind w:left="587" w:right="1304"/>
              <w:jc w:val="center"/>
              <w:rPr>
                <w:sz w:val="24"/>
              </w:rPr>
            </w:pPr>
            <w:r>
              <w:rPr>
                <w:sz w:val="24"/>
              </w:rPr>
              <w:t>1,0</w:t>
            </w:r>
          </w:p>
        </w:tc>
        <w:tc>
          <w:tcPr>
            <w:tcW w:w="2958" w:type="dxa"/>
          </w:tcPr>
          <w:p>
            <w:pPr>
              <w:pStyle w:val="TableParagraph"/>
              <w:spacing w:line="258" w:lineRule="exact"/>
              <w:ind w:left="1043" w:right="987"/>
              <w:jc w:val="center"/>
              <w:rPr>
                <w:sz w:val="24"/>
              </w:rPr>
            </w:pPr>
            <w:r>
              <w:rPr>
                <w:sz w:val="24"/>
              </w:rPr>
              <w:t>1,0</w:t>
            </w:r>
          </w:p>
        </w:tc>
      </w:tr>
      <w:tr>
        <w:trPr>
          <w:trHeight w:val="277" w:hRule="atLeast"/>
        </w:trPr>
        <w:tc>
          <w:tcPr>
            <w:tcW w:w="3827" w:type="dxa"/>
          </w:tcPr>
          <w:p>
            <w:pPr>
              <w:pStyle w:val="TableParagraph"/>
              <w:spacing w:line="258" w:lineRule="exact"/>
              <w:ind w:left="581" w:right="518"/>
              <w:jc w:val="center"/>
              <w:rPr>
                <w:sz w:val="24"/>
              </w:rPr>
            </w:pPr>
            <w:r>
              <w:rPr>
                <w:sz w:val="24"/>
              </w:rPr>
              <w:t>Шрот соняшниковий</w:t>
            </w:r>
          </w:p>
        </w:tc>
        <w:tc>
          <w:tcPr>
            <w:tcW w:w="2837" w:type="dxa"/>
          </w:tcPr>
          <w:p>
            <w:pPr>
              <w:pStyle w:val="TableParagraph"/>
              <w:spacing w:line="258" w:lineRule="exact"/>
              <w:ind w:left="587" w:right="1304"/>
              <w:jc w:val="center"/>
              <w:rPr>
                <w:sz w:val="24"/>
              </w:rPr>
            </w:pPr>
            <w:r>
              <w:rPr>
                <w:sz w:val="24"/>
              </w:rPr>
              <w:t>1,0</w:t>
            </w:r>
          </w:p>
        </w:tc>
        <w:tc>
          <w:tcPr>
            <w:tcW w:w="2958" w:type="dxa"/>
          </w:tcPr>
          <w:p>
            <w:pPr>
              <w:pStyle w:val="TableParagraph"/>
              <w:spacing w:line="258" w:lineRule="exact"/>
              <w:ind w:left="1043" w:right="989"/>
              <w:jc w:val="center"/>
              <w:rPr>
                <w:sz w:val="24"/>
              </w:rPr>
            </w:pPr>
            <w:r>
              <w:rPr>
                <w:sz w:val="24"/>
              </w:rPr>
              <w:t>1,5</w:t>
            </w:r>
          </w:p>
        </w:tc>
      </w:tr>
      <w:tr>
        <w:trPr>
          <w:trHeight w:val="277" w:hRule="atLeast"/>
        </w:trPr>
        <w:tc>
          <w:tcPr>
            <w:tcW w:w="3827" w:type="dxa"/>
          </w:tcPr>
          <w:p>
            <w:pPr>
              <w:pStyle w:val="TableParagraph"/>
              <w:spacing w:line="258" w:lineRule="exact"/>
              <w:ind w:left="575" w:right="522"/>
              <w:jc w:val="center"/>
              <w:rPr>
                <w:sz w:val="24"/>
              </w:rPr>
            </w:pPr>
            <w:r>
              <w:rPr>
                <w:sz w:val="24"/>
              </w:rPr>
              <w:t>Меляса</w:t>
            </w:r>
          </w:p>
        </w:tc>
        <w:tc>
          <w:tcPr>
            <w:tcW w:w="2837" w:type="dxa"/>
          </w:tcPr>
          <w:p>
            <w:pPr>
              <w:pStyle w:val="TableParagraph"/>
              <w:spacing w:line="258" w:lineRule="exact"/>
              <w:ind w:left="587" w:right="1304"/>
              <w:jc w:val="center"/>
              <w:rPr>
                <w:sz w:val="24"/>
              </w:rPr>
            </w:pPr>
            <w:r>
              <w:rPr>
                <w:sz w:val="24"/>
              </w:rPr>
              <w:t>1,0</w:t>
            </w:r>
          </w:p>
        </w:tc>
        <w:tc>
          <w:tcPr>
            <w:tcW w:w="2958" w:type="dxa"/>
          </w:tcPr>
          <w:p>
            <w:pPr>
              <w:pStyle w:val="TableParagraph"/>
              <w:spacing w:line="258" w:lineRule="exact"/>
              <w:ind w:left="1043" w:right="987"/>
              <w:jc w:val="center"/>
              <w:rPr>
                <w:sz w:val="24"/>
              </w:rPr>
            </w:pPr>
            <w:r>
              <w:rPr>
                <w:sz w:val="24"/>
              </w:rPr>
              <w:t>1,0</w:t>
            </w:r>
          </w:p>
        </w:tc>
      </w:tr>
    </w:tbl>
    <w:p>
      <w:pPr>
        <w:pStyle w:val="BodyText"/>
        <w:spacing w:before="4"/>
        <w:ind w:left="0"/>
        <w:jc w:val="left"/>
        <w:rPr>
          <w:sz w:val="27"/>
        </w:rPr>
      </w:pPr>
    </w:p>
    <w:p>
      <w:pPr>
        <w:pStyle w:val="BodyText"/>
        <w:ind w:right="613" w:firstLine="710"/>
      </w:pPr>
      <w:r>
        <w:rPr/>
        <w:t>Для лабораторних досліджень брали венозну кров. У плазмі крові визначали вміст загального білка, загальний холестерол, триацилгліцероли, сечовину, глюкозу, кетонові тіла. Дослідження проводили перед початком досліду та наприкінці на біохімічному аналізаторі STAT Faх 1904. Також нами був використаний прилад оptium Xceed (Оптиум ексид) для визначення кетонових тіл у крові, а саме β -гідроксибутирату.</w:t>
      </w:r>
    </w:p>
    <w:p>
      <w:pPr>
        <w:pStyle w:val="BodyText"/>
        <w:ind w:right="602" w:firstLine="710"/>
      </w:pPr>
      <w:r>
        <w:rPr>
          <w:b/>
        </w:rPr>
        <w:t>Результати та їх обговорення. </w:t>
      </w:r>
      <w:r>
        <w:rPr/>
        <w:t>Так, на початку досліду з таблиці 2 ми бачимо що такі показники як загальний білок, загальний холестерол, триацилгліцероли, сечовина, глюкоза, кетонові тіла, β-гідрооксибутират у всіх групах були майже на однаковому рівні і суттєво не різнилися між собою. Додавання коровам пропіленгліколю та комплексної добавки Ста-Хол до раціону</w:t>
      </w:r>
      <w:r>
        <w:rPr>
          <w:spacing w:val="-23"/>
        </w:rPr>
        <w:t> </w:t>
      </w:r>
      <w:r>
        <w:rPr/>
        <w:t>корів</w:t>
      </w:r>
      <w:r>
        <w:rPr>
          <w:spacing w:val="-19"/>
        </w:rPr>
        <w:t> </w:t>
      </w:r>
      <w:r>
        <w:rPr>
          <w:spacing w:val="-3"/>
        </w:rPr>
        <w:t>під</w:t>
      </w:r>
      <w:r>
        <w:rPr>
          <w:spacing w:val="-15"/>
        </w:rPr>
        <w:t> </w:t>
      </w:r>
      <w:r>
        <w:rPr/>
        <w:t>час</w:t>
      </w:r>
      <w:r>
        <w:rPr>
          <w:spacing w:val="-17"/>
        </w:rPr>
        <w:t> </w:t>
      </w:r>
      <w:r>
        <w:rPr/>
        <w:t>досліду</w:t>
      </w:r>
      <w:r>
        <w:rPr>
          <w:spacing w:val="-22"/>
        </w:rPr>
        <w:t> </w:t>
      </w:r>
      <w:r>
        <w:rPr/>
        <w:t>призводило</w:t>
      </w:r>
      <w:r>
        <w:rPr>
          <w:spacing w:val="-13"/>
        </w:rPr>
        <w:t> </w:t>
      </w:r>
      <w:r>
        <w:rPr/>
        <w:t>до</w:t>
      </w:r>
      <w:r>
        <w:rPr>
          <w:spacing w:val="-22"/>
        </w:rPr>
        <w:t> </w:t>
      </w:r>
      <w:r>
        <w:rPr/>
        <w:t>зміни</w:t>
      </w:r>
      <w:r>
        <w:rPr>
          <w:spacing w:val="-17"/>
        </w:rPr>
        <w:t> </w:t>
      </w:r>
      <w:r>
        <w:rPr/>
        <w:t>деяких</w:t>
      </w:r>
      <w:r>
        <w:rPr>
          <w:spacing w:val="-22"/>
        </w:rPr>
        <w:t> </w:t>
      </w:r>
      <w:r>
        <w:rPr/>
        <w:t>біохімічних</w:t>
      </w:r>
      <w:r>
        <w:rPr>
          <w:spacing w:val="-22"/>
        </w:rPr>
        <w:t> </w:t>
      </w:r>
      <w:r>
        <w:rPr/>
        <w:t>показників крові.Додавання пропіленгліколю до раціону обом піддослідним груп, та </w:t>
      </w:r>
      <w:r>
        <w:rPr>
          <w:spacing w:val="3"/>
        </w:rPr>
        <w:t>Ста- </w:t>
      </w:r>
      <w:r>
        <w:rPr/>
        <w:t>Холу другій піддослідній групі збільшувало концентрацію глюкози у плазмі крові корів. Така дія характерна для пропіленгліколю, оскільки він стимулює утворення у рубці пропіонату – основного попередника глюкози в організмі жуйних тварин. Так, наприкінці досліду з таблиці 3 бачимо що вміст глюкози в першій</w:t>
      </w:r>
      <w:r>
        <w:rPr>
          <w:spacing w:val="-17"/>
        </w:rPr>
        <w:t> </w:t>
      </w:r>
      <w:r>
        <w:rPr/>
        <w:t>та</w:t>
      </w:r>
      <w:r>
        <w:rPr>
          <w:spacing w:val="-15"/>
        </w:rPr>
        <w:t> </w:t>
      </w:r>
      <w:r>
        <w:rPr/>
        <w:t>другій</w:t>
      </w:r>
      <w:r>
        <w:rPr>
          <w:spacing w:val="-16"/>
        </w:rPr>
        <w:t> </w:t>
      </w:r>
      <w:r>
        <w:rPr/>
        <w:t>піддослідних</w:t>
      </w:r>
      <w:r>
        <w:rPr>
          <w:spacing w:val="-20"/>
        </w:rPr>
        <w:t> </w:t>
      </w:r>
      <w:r>
        <w:rPr/>
        <w:t>групах</w:t>
      </w:r>
      <w:r>
        <w:rPr>
          <w:spacing w:val="-21"/>
        </w:rPr>
        <w:t> </w:t>
      </w:r>
      <w:r>
        <w:rPr/>
        <w:t>була</w:t>
      </w:r>
      <w:r>
        <w:rPr>
          <w:spacing w:val="-15"/>
        </w:rPr>
        <w:t> </w:t>
      </w:r>
      <w:r>
        <w:rPr/>
        <w:t>вище,</w:t>
      </w:r>
      <w:r>
        <w:rPr>
          <w:spacing w:val="-14"/>
        </w:rPr>
        <w:t> </w:t>
      </w:r>
      <w:r>
        <w:rPr/>
        <w:t>порівняно</w:t>
      </w:r>
      <w:r>
        <w:rPr>
          <w:spacing w:val="-16"/>
        </w:rPr>
        <w:t> </w:t>
      </w:r>
      <w:r>
        <w:rPr/>
        <w:t>з</w:t>
      </w:r>
      <w:r>
        <w:rPr>
          <w:spacing w:val="-15"/>
        </w:rPr>
        <w:t> </w:t>
      </w:r>
      <w:r>
        <w:rPr/>
        <w:t>контролем</w:t>
      </w:r>
      <w:r>
        <w:rPr>
          <w:spacing w:val="-15"/>
        </w:rPr>
        <w:t> </w:t>
      </w:r>
      <w:r>
        <w:rPr/>
        <w:t>на</w:t>
      </w:r>
      <w:r>
        <w:rPr>
          <w:spacing w:val="-15"/>
        </w:rPr>
        <w:t> </w:t>
      </w:r>
      <w:r>
        <w:rPr/>
        <w:t>7,9%, та 12,1% відповідно. Додавання до раціону пропіленгліколю та</w:t>
      </w:r>
      <w:r>
        <w:rPr>
          <w:spacing w:val="31"/>
        </w:rPr>
        <w:t> </w:t>
      </w:r>
      <w:r>
        <w:rPr>
          <w:spacing w:val="2"/>
        </w:rPr>
        <w:t>Ста-Холу</w:t>
      </w:r>
    </w:p>
    <w:p>
      <w:pPr>
        <w:spacing w:after="0"/>
        <w:sectPr>
          <w:pgSz w:w="11910" w:h="16840"/>
          <w:pgMar w:header="713" w:footer="778" w:top="1140" w:bottom="960" w:left="940" w:right="520"/>
        </w:sectPr>
      </w:pPr>
    </w:p>
    <w:p>
      <w:pPr>
        <w:pStyle w:val="BodyText"/>
        <w:spacing w:before="92"/>
        <w:ind w:right="608"/>
      </w:pPr>
      <w:r>
        <w:rPr/>
        <w:t>зменшувало вміст триацилгліцеролів у плазмі крові на 26,7% порівняно з контрольною та 23% з першою дослідною групами тварин. Аналогічні дані отримані і за таким показником ліпідного обміну, як загальний холестерол, якій був</w:t>
      </w:r>
      <w:r>
        <w:rPr>
          <w:spacing w:val="-10"/>
        </w:rPr>
        <w:t> </w:t>
      </w:r>
      <w:r>
        <w:rPr/>
        <w:t>нижчим</w:t>
      </w:r>
      <w:r>
        <w:rPr>
          <w:spacing w:val="-8"/>
        </w:rPr>
        <w:t> </w:t>
      </w:r>
      <w:r>
        <w:rPr/>
        <w:t>у</w:t>
      </w:r>
      <w:r>
        <w:rPr>
          <w:spacing w:val="-13"/>
        </w:rPr>
        <w:t> </w:t>
      </w:r>
      <w:r>
        <w:rPr/>
        <w:t>другій</w:t>
      </w:r>
      <w:r>
        <w:rPr>
          <w:spacing w:val="-8"/>
        </w:rPr>
        <w:t> </w:t>
      </w:r>
      <w:r>
        <w:rPr/>
        <w:t>дослідній</w:t>
      </w:r>
      <w:r>
        <w:rPr>
          <w:spacing w:val="-9"/>
        </w:rPr>
        <w:t> </w:t>
      </w:r>
      <w:r>
        <w:rPr/>
        <w:t>групі</w:t>
      </w:r>
      <w:r>
        <w:rPr>
          <w:spacing w:val="-13"/>
        </w:rPr>
        <w:t> </w:t>
      </w:r>
      <w:r>
        <w:rPr/>
        <w:t>тварин</w:t>
      </w:r>
      <w:r>
        <w:rPr>
          <w:spacing w:val="-9"/>
        </w:rPr>
        <w:t> </w:t>
      </w:r>
      <w:r>
        <w:rPr/>
        <w:t>на</w:t>
      </w:r>
      <w:r>
        <w:rPr>
          <w:spacing w:val="-8"/>
        </w:rPr>
        <w:t> </w:t>
      </w:r>
      <w:r>
        <w:rPr/>
        <w:t>9,9%</w:t>
      </w:r>
      <w:r>
        <w:rPr>
          <w:spacing w:val="-14"/>
        </w:rPr>
        <w:t> </w:t>
      </w:r>
      <w:r>
        <w:rPr/>
        <w:t>порівняно</w:t>
      </w:r>
      <w:r>
        <w:rPr>
          <w:spacing w:val="-8"/>
        </w:rPr>
        <w:t> </w:t>
      </w:r>
      <w:r>
        <w:rPr/>
        <w:t>з</w:t>
      </w:r>
      <w:r>
        <w:rPr>
          <w:spacing w:val="-8"/>
        </w:rPr>
        <w:t> </w:t>
      </w:r>
      <w:r>
        <w:rPr/>
        <w:t>контрольною</w:t>
      </w:r>
      <w:r>
        <w:rPr>
          <w:spacing w:val="-10"/>
        </w:rPr>
        <w:t> </w:t>
      </w:r>
      <w:r>
        <w:rPr/>
        <w:t>та на 8% порівняно з першою дослідною групами тварин. Покращення даних показників пов'язано </w:t>
      </w:r>
      <w:r>
        <w:rPr>
          <w:spacing w:val="-3"/>
        </w:rPr>
        <w:t>із </w:t>
      </w:r>
      <w:r>
        <w:rPr/>
        <w:t>впливом Ста-Холу на функціональний стан печінки. Оскільки Ста-Хол містить активний інгредієнт холін-хлорид якій діє </w:t>
      </w:r>
      <w:r>
        <w:rPr>
          <w:spacing w:val="3"/>
        </w:rPr>
        <w:t>як </w:t>
      </w:r>
      <w:r>
        <w:rPr/>
        <w:t>протектор печінки через інтеграцію метилових груп, використовуваних у фазі експорту триацилгліцеролу з клітин</w:t>
      </w:r>
      <w:r>
        <w:rPr>
          <w:spacing w:val="-5"/>
        </w:rPr>
        <w:t> </w:t>
      </w:r>
      <w:r>
        <w:rPr/>
        <w:t>печінки.</w:t>
      </w:r>
    </w:p>
    <w:p>
      <w:pPr>
        <w:pStyle w:val="BodyText"/>
        <w:spacing w:before="2" w:after="7"/>
        <w:ind w:left="903"/>
      </w:pPr>
      <w:r>
        <w:rPr/>
        <w:t>Таблиця 2. Біохімічні показники плазми крові, ммоль/л</w:t>
      </w:r>
    </w:p>
    <w:tbl>
      <w:tblPr>
        <w:tblW w:w="0" w:type="auto"/>
        <w:jc w:val="left"/>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1"/>
        <w:gridCol w:w="1983"/>
        <w:gridCol w:w="2194"/>
        <w:gridCol w:w="2314"/>
      </w:tblGrid>
      <w:tr>
        <w:trPr>
          <w:trHeight w:val="278" w:hRule="atLeast"/>
        </w:trPr>
        <w:tc>
          <w:tcPr>
            <w:tcW w:w="3121" w:type="dxa"/>
            <w:vMerge w:val="restart"/>
          </w:tcPr>
          <w:p>
            <w:pPr>
              <w:pStyle w:val="TableParagraph"/>
              <w:spacing w:before="5"/>
              <w:rPr>
                <w:sz w:val="23"/>
              </w:rPr>
            </w:pPr>
          </w:p>
          <w:p>
            <w:pPr>
              <w:pStyle w:val="TableParagraph"/>
              <w:ind w:left="1027"/>
              <w:rPr>
                <w:sz w:val="24"/>
              </w:rPr>
            </w:pPr>
            <w:r>
              <w:rPr>
                <w:sz w:val="24"/>
              </w:rPr>
              <w:t>Показники</w:t>
            </w:r>
          </w:p>
        </w:tc>
        <w:tc>
          <w:tcPr>
            <w:tcW w:w="6491" w:type="dxa"/>
            <w:gridSpan w:val="3"/>
          </w:tcPr>
          <w:p>
            <w:pPr>
              <w:pStyle w:val="TableParagraph"/>
              <w:spacing w:line="258" w:lineRule="exact"/>
              <w:ind w:left="2396" w:right="2342"/>
              <w:jc w:val="center"/>
              <w:rPr>
                <w:sz w:val="24"/>
              </w:rPr>
            </w:pPr>
            <w:r>
              <w:rPr>
                <w:sz w:val="24"/>
              </w:rPr>
              <w:t>Групи корів</w:t>
            </w:r>
          </w:p>
        </w:tc>
      </w:tr>
      <w:tr>
        <w:trPr>
          <w:trHeight w:val="273" w:hRule="atLeast"/>
        </w:trPr>
        <w:tc>
          <w:tcPr>
            <w:tcW w:w="3121" w:type="dxa"/>
            <w:vMerge/>
            <w:tcBorders>
              <w:top w:val="nil"/>
            </w:tcBorders>
          </w:tcPr>
          <w:p>
            <w:pPr>
              <w:rPr>
                <w:sz w:val="2"/>
                <w:szCs w:val="2"/>
              </w:rPr>
            </w:pPr>
          </w:p>
        </w:tc>
        <w:tc>
          <w:tcPr>
            <w:tcW w:w="1983" w:type="dxa"/>
          </w:tcPr>
          <w:p>
            <w:pPr>
              <w:pStyle w:val="TableParagraph"/>
              <w:spacing w:line="253" w:lineRule="exact"/>
              <w:ind w:left="388" w:right="326"/>
              <w:jc w:val="center"/>
              <w:rPr>
                <w:sz w:val="24"/>
              </w:rPr>
            </w:pPr>
            <w:r>
              <w:rPr>
                <w:sz w:val="24"/>
              </w:rPr>
              <w:t>Контрольна</w:t>
            </w:r>
          </w:p>
        </w:tc>
        <w:tc>
          <w:tcPr>
            <w:tcW w:w="2194" w:type="dxa"/>
          </w:tcPr>
          <w:p>
            <w:pPr>
              <w:pStyle w:val="TableParagraph"/>
              <w:spacing w:line="253" w:lineRule="exact"/>
              <w:ind w:left="595"/>
              <w:rPr>
                <w:sz w:val="24"/>
              </w:rPr>
            </w:pPr>
            <w:r>
              <w:rPr>
                <w:sz w:val="24"/>
              </w:rPr>
              <w:t>Дослідна1</w:t>
            </w:r>
          </w:p>
        </w:tc>
        <w:tc>
          <w:tcPr>
            <w:tcW w:w="2314" w:type="dxa"/>
          </w:tcPr>
          <w:p>
            <w:pPr>
              <w:pStyle w:val="TableParagraph"/>
              <w:spacing w:line="253" w:lineRule="exact"/>
              <w:ind w:right="593"/>
              <w:jc w:val="right"/>
              <w:rPr>
                <w:sz w:val="24"/>
              </w:rPr>
            </w:pPr>
            <w:r>
              <w:rPr>
                <w:sz w:val="24"/>
              </w:rPr>
              <w:t>Дослідна2</w:t>
            </w:r>
          </w:p>
        </w:tc>
      </w:tr>
      <w:tr>
        <w:trPr>
          <w:trHeight w:val="277" w:hRule="atLeast"/>
        </w:trPr>
        <w:tc>
          <w:tcPr>
            <w:tcW w:w="3121" w:type="dxa"/>
            <w:vMerge/>
            <w:tcBorders>
              <w:top w:val="nil"/>
            </w:tcBorders>
          </w:tcPr>
          <w:p>
            <w:pPr>
              <w:rPr>
                <w:sz w:val="2"/>
                <w:szCs w:val="2"/>
              </w:rPr>
            </w:pPr>
          </w:p>
        </w:tc>
        <w:tc>
          <w:tcPr>
            <w:tcW w:w="6491" w:type="dxa"/>
            <w:gridSpan w:val="3"/>
          </w:tcPr>
          <w:p>
            <w:pPr>
              <w:pStyle w:val="TableParagraph"/>
              <w:spacing w:line="258" w:lineRule="exact"/>
              <w:ind w:left="2398" w:right="2342"/>
              <w:jc w:val="center"/>
              <w:rPr>
                <w:sz w:val="24"/>
              </w:rPr>
            </w:pPr>
            <w:r>
              <w:rPr>
                <w:sz w:val="24"/>
              </w:rPr>
              <w:t>Початок досліду</w:t>
            </w:r>
          </w:p>
        </w:tc>
      </w:tr>
      <w:tr>
        <w:trPr>
          <w:trHeight w:val="273" w:hRule="atLeast"/>
        </w:trPr>
        <w:tc>
          <w:tcPr>
            <w:tcW w:w="3121" w:type="dxa"/>
          </w:tcPr>
          <w:p>
            <w:pPr>
              <w:pStyle w:val="TableParagraph"/>
              <w:spacing w:line="253" w:lineRule="exact"/>
              <w:ind w:left="437" w:right="379"/>
              <w:jc w:val="center"/>
              <w:rPr>
                <w:sz w:val="24"/>
              </w:rPr>
            </w:pPr>
            <w:r>
              <w:rPr>
                <w:sz w:val="24"/>
              </w:rPr>
              <w:t>Загальний білок, г/л</w:t>
            </w:r>
          </w:p>
        </w:tc>
        <w:tc>
          <w:tcPr>
            <w:tcW w:w="1983" w:type="dxa"/>
          </w:tcPr>
          <w:p>
            <w:pPr>
              <w:pStyle w:val="TableParagraph"/>
              <w:spacing w:line="253" w:lineRule="exact"/>
              <w:ind w:left="388" w:right="322"/>
              <w:jc w:val="center"/>
              <w:rPr>
                <w:sz w:val="24"/>
              </w:rPr>
            </w:pPr>
            <w:r>
              <w:rPr>
                <w:sz w:val="24"/>
              </w:rPr>
              <w:t>72,35 ± 1,72</w:t>
            </w:r>
          </w:p>
        </w:tc>
        <w:tc>
          <w:tcPr>
            <w:tcW w:w="2194" w:type="dxa"/>
          </w:tcPr>
          <w:p>
            <w:pPr>
              <w:pStyle w:val="TableParagraph"/>
              <w:spacing w:line="253" w:lineRule="exact"/>
              <w:ind w:left="518"/>
              <w:rPr>
                <w:sz w:val="24"/>
              </w:rPr>
            </w:pPr>
            <w:r>
              <w:rPr>
                <w:sz w:val="24"/>
              </w:rPr>
              <w:t>71,93 ± 1,25</w:t>
            </w:r>
          </w:p>
        </w:tc>
        <w:tc>
          <w:tcPr>
            <w:tcW w:w="2314" w:type="dxa"/>
          </w:tcPr>
          <w:p>
            <w:pPr>
              <w:pStyle w:val="TableParagraph"/>
              <w:spacing w:line="253" w:lineRule="exact"/>
              <w:ind w:right="612"/>
              <w:jc w:val="right"/>
              <w:rPr>
                <w:sz w:val="24"/>
              </w:rPr>
            </w:pPr>
            <w:r>
              <w:rPr>
                <w:sz w:val="24"/>
              </w:rPr>
              <w:t>72,88 ±1,91</w:t>
            </w:r>
          </w:p>
        </w:tc>
      </w:tr>
      <w:tr>
        <w:trPr>
          <w:trHeight w:val="277" w:hRule="atLeast"/>
        </w:trPr>
        <w:tc>
          <w:tcPr>
            <w:tcW w:w="3121" w:type="dxa"/>
          </w:tcPr>
          <w:p>
            <w:pPr>
              <w:pStyle w:val="TableParagraph"/>
              <w:spacing w:line="258" w:lineRule="exact"/>
              <w:ind w:left="437" w:right="378"/>
              <w:jc w:val="center"/>
              <w:rPr>
                <w:sz w:val="24"/>
              </w:rPr>
            </w:pPr>
            <w:r>
              <w:rPr>
                <w:sz w:val="24"/>
              </w:rPr>
              <w:t>Альбуміни, г/л</w:t>
            </w:r>
          </w:p>
        </w:tc>
        <w:tc>
          <w:tcPr>
            <w:tcW w:w="1983" w:type="dxa"/>
          </w:tcPr>
          <w:p>
            <w:pPr>
              <w:pStyle w:val="TableParagraph"/>
              <w:spacing w:line="258" w:lineRule="exact"/>
              <w:ind w:left="388" w:right="326"/>
              <w:jc w:val="center"/>
              <w:rPr>
                <w:sz w:val="24"/>
              </w:rPr>
            </w:pPr>
            <w:r>
              <w:rPr>
                <w:sz w:val="24"/>
              </w:rPr>
              <w:t>32,1± 1,05</w:t>
            </w:r>
          </w:p>
        </w:tc>
        <w:tc>
          <w:tcPr>
            <w:tcW w:w="2194" w:type="dxa"/>
          </w:tcPr>
          <w:p>
            <w:pPr>
              <w:pStyle w:val="TableParagraph"/>
              <w:spacing w:line="258" w:lineRule="exact"/>
              <w:ind w:left="604"/>
              <w:rPr>
                <w:sz w:val="24"/>
              </w:rPr>
            </w:pPr>
            <w:r>
              <w:rPr>
                <w:sz w:val="24"/>
              </w:rPr>
              <w:t>31,9± 1,01</w:t>
            </w:r>
          </w:p>
        </w:tc>
        <w:tc>
          <w:tcPr>
            <w:tcW w:w="2314" w:type="dxa"/>
          </w:tcPr>
          <w:p>
            <w:pPr>
              <w:pStyle w:val="TableParagraph"/>
              <w:spacing w:line="258" w:lineRule="exact"/>
              <w:ind w:right="670"/>
              <w:jc w:val="right"/>
              <w:rPr>
                <w:sz w:val="24"/>
              </w:rPr>
            </w:pPr>
            <w:r>
              <w:rPr>
                <w:sz w:val="24"/>
              </w:rPr>
              <w:t>32,0± 1,03</w:t>
            </w:r>
          </w:p>
        </w:tc>
      </w:tr>
      <w:tr>
        <w:trPr>
          <w:trHeight w:val="273" w:hRule="atLeast"/>
        </w:trPr>
        <w:tc>
          <w:tcPr>
            <w:tcW w:w="3121" w:type="dxa"/>
          </w:tcPr>
          <w:p>
            <w:pPr>
              <w:pStyle w:val="TableParagraph"/>
              <w:spacing w:line="253" w:lineRule="exact"/>
              <w:ind w:left="437" w:right="380"/>
              <w:jc w:val="center"/>
              <w:rPr>
                <w:sz w:val="24"/>
              </w:rPr>
            </w:pPr>
            <w:r>
              <w:rPr>
                <w:sz w:val="24"/>
              </w:rPr>
              <w:t>Сечовина</w:t>
            </w:r>
          </w:p>
        </w:tc>
        <w:tc>
          <w:tcPr>
            <w:tcW w:w="1983" w:type="dxa"/>
          </w:tcPr>
          <w:p>
            <w:pPr>
              <w:pStyle w:val="TableParagraph"/>
              <w:spacing w:line="253" w:lineRule="exact"/>
              <w:ind w:left="387" w:right="326"/>
              <w:jc w:val="center"/>
              <w:rPr>
                <w:sz w:val="24"/>
              </w:rPr>
            </w:pPr>
            <w:r>
              <w:rPr>
                <w:sz w:val="24"/>
              </w:rPr>
              <w:t>4,58 ± 0,14</w:t>
            </w:r>
          </w:p>
        </w:tc>
        <w:tc>
          <w:tcPr>
            <w:tcW w:w="2194" w:type="dxa"/>
          </w:tcPr>
          <w:p>
            <w:pPr>
              <w:pStyle w:val="TableParagraph"/>
              <w:spacing w:line="253" w:lineRule="exact"/>
              <w:ind w:left="576"/>
              <w:rPr>
                <w:sz w:val="24"/>
              </w:rPr>
            </w:pPr>
            <w:r>
              <w:rPr>
                <w:sz w:val="24"/>
              </w:rPr>
              <w:t>4,60 ± 0,21</w:t>
            </w:r>
          </w:p>
        </w:tc>
        <w:tc>
          <w:tcPr>
            <w:tcW w:w="2314" w:type="dxa"/>
          </w:tcPr>
          <w:p>
            <w:pPr>
              <w:pStyle w:val="TableParagraph"/>
              <w:spacing w:line="253" w:lineRule="exact"/>
              <w:ind w:right="641"/>
              <w:jc w:val="right"/>
              <w:rPr>
                <w:sz w:val="24"/>
              </w:rPr>
            </w:pPr>
            <w:r>
              <w:rPr>
                <w:sz w:val="24"/>
              </w:rPr>
              <w:t>4,55 ± 0,19</w:t>
            </w:r>
          </w:p>
        </w:tc>
      </w:tr>
      <w:tr>
        <w:trPr>
          <w:trHeight w:val="278" w:hRule="atLeast"/>
        </w:trPr>
        <w:tc>
          <w:tcPr>
            <w:tcW w:w="3121" w:type="dxa"/>
          </w:tcPr>
          <w:p>
            <w:pPr>
              <w:pStyle w:val="TableParagraph"/>
              <w:spacing w:line="259" w:lineRule="exact"/>
              <w:ind w:left="437" w:right="375"/>
              <w:jc w:val="center"/>
              <w:rPr>
                <w:sz w:val="24"/>
              </w:rPr>
            </w:pPr>
            <w:r>
              <w:rPr>
                <w:sz w:val="24"/>
              </w:rPr>
              <w:t>Глюкоза</w:t>
            </w:r>
          </w:p>
        </w:tc>
        <w:tc>
          <w:tcPr>
            <w:tcW w:w="1983" w:type="dxa"/>
          </w:tcPr>
          <w:p>
            <w:pPr>
              <w:pStyle w:val="TableParagraph"/>
              <w:spacing w:line="259" w:lineRule="exact"/>
              <w:ind w:left="387" w:right="326"/>
              <w:jc w:val="center"/>
              <w:rPr>
                <w:sz w:val="24"/>
              </w:rPr>
            </w:pPr>
            <w:r>
              <w:rPr>
                <w:sz w:val="24"/>
              </w:rPr>
              <w:t>3,11 ± 0,09</w:t>
            </w:r>
          </w:p>
        </w:tc>
        <w:tc>
          <w:tcPr>
            <w:tcW w:w="2194" w:type="dxa"/>
          </w:tcPr>
          <w:p>
            <w:pPr>
              <w:pStyle w:val="TableParagraph"/>
              <w:spacing w:line="259" w:lineRule="exact"/>
              <w:ind w:left="576"/>
              <w:rPr>
                <w:sz w:val="24"/>
              </w:rPr>
            </w:pPr>
            <w:r>
              <w:rPr>
                <w:sz w:val="24"/>
              </w:rPr>
              <w:t>3,15 ± 0,04</w:t>
            </w:r>
          </w:p>
        </w:tc>
        <w:tc>
          <w:tcPr>
            <w:tcW w:w="2314" w:type="dxa"/>
          </w:tcPr>
          <w:p>
            <w:pPr>
              <w:pStyle w:val="TableParagraph"/>
              <w:spacing w:line="259" w:lineRule="exact"/>
              <w:ind w:right="641"/>
              <w:jc w:val="right"/>
              <w:rPr>
                <w:sz w:val="24"/>
              </w:rPr>
            </w:pPr>
            <w:r>
              <w:rPr>
                <w:sz w:val="24"/>
              </w:rPr>
              <w:t>3,05 ± 0,12</w:t>
            </w:r>
          </w:p>
        </w:tc>
      </w:tr>
      <w:tr>
        <w:trPr>
          <w:trHeight w:val="277" w:hRule="atLeast"/>
        </w:trPr>
        <w:tc>
          <w:tcPr>
            <w:tcW w:w="3121" w:type="dxa"/>
          </w:tcPr>
          <w:p>
            <w:pPr>
              <w:pStyle w:val="TableParagraph"/>
              <w:spacing w:line="258" w:lineRule="exact"/>
              <w:ind w:left="431" w:right="383"/>
              <w:jc w:val="center"/>
              <w:rPr>
                <w:sz w:val="24"/>
              </w:rPr>
            </w:pPr>
            <w:r>
              <w:rPr>
                <w:sz w:val="24"/>
              </w:rPr>
              <w:t>Триацилгліцероли</w:t>
            </w:r>
          </w:p>
        </w:tc>
        <w:tc>
          <w:tcPr>
            <w:tcW w:w="1983" w:type="dxa"/>
          </w:tcPr>
          <w:p>
            <w:pPr>
              <w:pStyle w:val="TableParagraph"/>
              <w:spacing w:line="258" w:lineRule="exact"/>
              <w:ind w:left="387" w:right="326"/>
              <w:jc w:val="center"/>
              <w:rPr>
                <w:sz w:val="24"/>
              </w:rPr>
            </w:pPr>
            <w:r>
              <w:rPr>
                <w:sz w:val="24"/>
              </w:rPr>
              <w:t>0,33 ± 0,02</w:t>
            </w:r>
          </w:p>
        </w:tc>
        <w:tc>
          <w:tcPr>
            <w:tcW w:w="2194" w:type="dxa"/>
          </w:tcPr>
          <w:p>
            <w:pPr>
              <w:pStyle w:val="TableParagraph"/>
              <w:spacing w:line="258" w:lineRule="exact"/>
              <w:ind w:left="576"/>
              <w:rPr>
                <w:sz w:val="24"/>
              </w:rPr>
            </w:pPr>
            <w:r>
              <w:rPr>
                <w:sz w:val="24"/>
              </w:rPr>
              <w:t>0,36 ± 0,01</w:t>
            </w:r>
          </w:p>
        </w:tc>
        <w:tc>
          <w:tcPr>
            <w:tcW w:w="2314" w:type="dxa"/>
          </w:tcPr>
          <w:p>
            <w:pPr>
              <w:pStyle w:val="TableParagraph"/>
              <w:spacing w:line="258" w:lineRule="exact"/>
              <w:ind w:right="641"/>
              <w:jc w:val="right"/>
              <w:rPr>
                <w:sz w:val="24"/>
              </w:rPr>
            </w:pPr>
            <w:r>
              <w:rPr>
                <w:sz w:val="24"/>
              </w:rPr>
              <w:t>0,30 ± 0,01</w:t>
            </w:r>
          </w:p>
        </w:tc>
      </w:tr>
      <w:tr>
        <w:trPr>
          <w:trHeight w:val="273" w:hRule="atLeast"/>
        </w:trPr>
        <w:tc>
          <w:tcPr>
            <w:tcW w:w="3121" w:type="dxa"/>
          </w:tcPr>
          <w:p>
            <w:pPr>
              <w:pStyle w:val="TableParagraph"/>
              <w:spacing w:line="253" w:lineRule="exact"/>
              <w:ind w:left="437" w:right="383"/>
              <w:jc w:val="center"/>
              <w:rPr>
                <w:sz w:val="24"/>
              </w:rPr>
            </w:pPr>
            <w:r>
              <w:rPr>
                <w:sz w:val="24"/>
              </w:rPr>
              <w:t>Загальний холестерол</w:t>
            </w:r>
          </w:p>
        </w:tc>
        <w:tc>
          <w:tcPr>
            <w:tcW w:w="1983" w:type="dxa"/>
          </w:tcPr>
          <w:p>
            <w:pPr>
              <w:pStyle w:val="TableParagraph"/>
              <w:spacing w:line="253" w:lineRule="exact"/>
              <w:ind w:left="387" w:right="326"/>
              <w:jc w:val="center"/>
              <w:rPr>
                <w:sz w:val="24"/>
              </w:rPr>
            </w:pPr>
            <w:r>
              <w:rPr>
                <w:sz w:val="24"/>
              </w:rPr>
              <w:t>4,21 ± 0,16</w:t>
            </w:r>
          </w:p>
        </w:tc>
        <w:tc>
          <w:tcPr>
            <w:tcW w:w="2194" w:type="dxa"/>
          </w:tcPr>
          <w:p>
            <w:pPr>
              <w:pStyle w:val="TableParagraph"/>
              <w:spacing w:line="253" w:lineRule="exact"/>
              <w:ind w:left="576"/>
              <w:rPr>
                <w:sz w:val="24"/>
              </w:rPr>
            </w:pPr>
            <w:r>
              <w:rPr>
                <w:sz w:val="24"/>
              </w:rPr>
              <w:t>4,22 ± 0,18</w:t>
            </w:r>
          </w:p>
        </w:tc>
        <w:tc>
          <w:tcPr>
            <w:tcW w:w="2314" w:type="dxa"/>
          </w:tcPr>
          <w:p>
            <w:pPr>
              <w:pStyle w:val="TableParagraph"/>
              <w:spacing w:line="253" w:lineRule="exact"/>
              <w:ind w:right="641"/>
              <w:jc w:val="right"/>
              <w:rPr>
                <w:sz w:val="24"/>
              </w:rPr>
            </w:pPr>
            <w:r>
              <w:rPr>
                <w:sz w:val="24"/>
              </w:rPr>
              <w:t>4,20 ± 0,13</w:t>
            </w:r>
          </w:p>
        </w:tc>
      </w:tr>
      <w:tr>
        <w:trPr>
          <w:trHeight w:val="277" w:hRule="atLeast"/>
        </w:trPr>
        <w:tc>
          <w:tcPr>
            <w:tcW w:w="3121" w:type="dxa"/>
          </w:tcPr>
          <w:p>
            <w:pPr>
              <w:pStyle w:val="TableParagraph"/>
              <w:spacing w:line="258" w:lineRule="exact"/>
              <w:ind w:left="428" w:right="383"/>
              <w:jc w:val="center"/>
              <w:rPr>
                <w:sz w:val="24"/>
              </w:rPr>
            </w:pPr>
            <w:r>
              <w:rPr>
                <w:sz w:val="24"/>
              </w:rPr>
              <w:t>β-гідроксибутират</w:t>
            </w:r>
          </w:p>
        </w:tc>
        <w:tc>
          <w:tcPr>
            <w:tcW w:w="1983" w:type="dxa"/>
          </w:tcPr>
          <w:p>
            <w:pPr>
              <w:pStyle w:val="TableParagraph"/>
              <w:spacing w:line="258" w:lineRule="exact"/>
              <w:ind w:left="387" w:right="326"/>
              <w:jc w:val="center"/>
              <w:rPr>
                <w:sz w:val="24"/>
              </w:rPr>
            </w:pPr>
            <w:r>
              <w:rPr>
                <w:sz w:val="24"/>
              </w:rPr>
              <w:t>0,94 ± 0,05</w:t>
            </w:r>
          </w:p>
        </w:tc>
        <w:tc>
          <w:tcPr>
            <w:tcW w:w="2194" w:type="dxa"/>
          </w:tcPr>
          <w:p>
            <w:pPr>
              <w:pStyle w:val="TableParagraph"/>
              <w:spacing w:line="258" w:lineRule="exact"/>
              <w:ind w:left="576"/>
              <w:rPr>
                <w:sz w:val="24"/>
              </w:rPr>
            </w:pPr>
            <w:r>
              <w:rPr>
                <w:sz w:val="24"/>
              </w:rPr>
              <w:t>0,95 ± 0,05</w:t>
            </w:r>
          </w:p>
        </w:tc>
        <w:tc>
          <w:tcPr>
            <w:tcW w:w="2314" w:type="dxa"/>
          </w:tcPr>
          <w:p>
            <w:pPr>
              <w:pStyle w:val="TableParagraph"/>
              <w:spacing w:line="258" w:lineRule="exact"/>
              <w:ind w:right="641"/>
              <w:jc w:val="right"/>
              <w:rPr>
                <w:sz w:val="24"/>
              </w:rPr>
            </w:pPr>
            <w:r>
              <w:rPr>
                <w:sz w:val="24"/>
              </w:rPr>
              <w:t>0,96 ± 0,06</w:t>
            </w:r>
          </w:p>
        </w:tc>
      </w:tr>
      <w:tr>
        <w:trPr>
          <w:trHeight w:val="273" w:hRule="atLeast"/>
        </w:trPr>
        <w:tc>
          <w:tcPr>
            <w:tcW w:w="3121" w:type="dxa"/>
          </w:tcPr>
          <w:p>
            <w:pPr>
              <w:pStyle w:val="TableParagraph"/>
              <w:spacing w:line="253" w:lineRule="exact"/>
              <w:ind w:left="432" w:right="383"/>
              <w:jc w:val="center"/>
              <w:rPr>
                <w:sz w:val="24"/>
              </w:rPr>
            </w:pPr>
            <w:r>
              <w:rPr>
                <w:sz w:val="24"/>
              </w:rPr>
              <w:t>Сума кетонових тіл</w:t>
            </w:r>
          </w:p>
        </w:tc>
        <w:tc>
          <w:tcPr>
            <w:tcW w:w="1983" w:type="dxa"/>
          </w:tcPr>
          <w:p>
            <w:pPr>
              <w:pStyle w:val="TableParagraph"/>
              <w:spacing w:line="253" w:lineRule="exact"/>
              <w:ind w:left="388" w:right="326"/>
              <w:jc w:val="center"/>
              <w:rPr>
                <w:sz w:val="24"/>
              </w:rPr>
            </w:pPr>
            <w:r>
              <w:rPr>
                <w:sz w:val="24"/>
              </w:rPr>
              <w:t>1,19 ± 0,05</w:t>
            </w:r>
          </w:p>
        </w:tc>
        <w:tc>
          <w:tcPr>
            <w:tcW w:w="2194" w:type="dxa"/>
          </w:tcPr>
          <w:p>
            <w:pPr>
              <w:pStyle w:val="TableParagraph"/>
              <w:spacing w:line="253" w:lineRule="exact"/>
              <w:ind w:left="576"/>
              <w:rPr>
                <w:sz w:val="24"/>
              </w:rPr>
            </w:pPr>
            <w:r>
              <w:rPr>
                <w:sz w:val="24"/>
              </w:rPr>
              <w:t>1,18 ± 0,05</w:t>
            </w:r>
          </w:p>
        </w:tc>
        <w:tc>
          <w:tcPr>
            <w:tcW w:w="2314" w:type="dxa"/>
          </w:tcPr>
          <w:p>
            <w:pPr>
              <w:pStyle w:val="TableParagraph"/>
              <w:spacing w:line="253" w:lineRule="exact"/>
              <w:ind w:right="641"/>
              <w:jc w:val="right"/>
              <w:rPr>
                <w:sz w:val="24"/>
              </w:rPr>
            </w:pPr>
            <w:r>
              <w:rPr>
                <w:sz w:val="24"/>
              </w:rPr>
              <w:t>1.20 ± 0,04</w:t>
            </w:r>
          </w:p>
        </w:tc>
      </w:tr>
    </w:tbl>
    <w:p>
      <w:pPr>
        <w:pStyle w:val="BodyText"/>
        <w:spacing w:before="4"/>
        <w:ind w:left="0"/>
        <w:jc w:val="left"/>
        <w:rPr>
          <w:sz w:val="27"/>
        </w:rPr>
      </w:pPr>
    </w:p>
    <w:p>
      <w:pPr>
        <w:pStyle w:val="BodyText"/>
        <w:ind w:right="614" w:firstLine="710"/>
      </w:pPr>
      <w:r>
        <w:rPr/>
        <w:t>Отже, комплексне застосування пропіленгліколю та Ста-Холу сприяло нормалізації енергетичного балансу та субстратному забезпеченню ліпідного обміну в організмі корів, завдяки холін-хлориду, якій входить до складу Ста- Холу. Холін необхідний для синтезу структурних компонентів клітинних мембран печінки, та забезпечує постійний відтік нейтральних жирів з печінки.</w:t>
      </w:r>
    </w:p>
    <w:p>
      <w:pPr>
        <w:pStyle w:val="BodyText"/>
        <w:spacing w:before="4" w:after="6"/>
        <w:ind w:left="903"/>
      </w:pPr>
      <w:r>
        <w:rPr/>
        <w:t>Таблиця 3. Біохімічні показники плазми крові, ммоль/л</w:t>
      </w:r>
    </w:p>
    <w:tbl>
      <w:tblPr>
        <w:tblW w:w="0" w:type="auto"/>
        <w:jc w:val="left"/>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1"/>
        <w:gridCol w:w="1983"/>
        <w:gridCol w:w="2194"/>
        <w:gridCol w:w="2314"/>
      </w:tblGrid>
      <w:tr>
        <w:trPr>
          <w:trHeight w:val="421" w:hRule="atLeast"/>
        </w:trPr>
        <w:tc>
          <w:tcPr>
            <w:tcW w:w="3121" w:type="dxa"/>
            <w:vMerge w:val="restart"/>
          </w:tcPr>
          <w:p>
            <w:pPr>
              <w:pStyle w:val="TableParagraph"/>
              <w:spacing w:before="10"/>
              <w:rPr>
                <w:sz w:val="38"/>
              </w:rPr>
            </w:pPr>
          </w:p>
          <w:p>
            <w:pPr>
              <w:pStyle w:val="TableParagraph"/>
              <w:ind w:left="1027"/>
              <w:rPr>
                <w:sz w:val="24"/>
              </w:rPr>
            </w:pPr>
            <w:r>
              <w:rPr>
                <w:sz w:val="24"/>
              </w:rPr>
              <w:t>Показники</w:t>
            </w:r>
          </w:p>
        </w:tc>
        <w:tc>
          <w:tcPr>
            <w:tcW w:w="6491" w:type="dxa"/>
            <w:gridSpan w:val="3"/>
          </w:tcPr>
          <w:p>
            <w:pPr>
              <w:pStyle w:val="TableParagraph"/>
              <w:spacing w:before="63"/>
              <w:ind w:left="2396" w:right="2342"/>
              <w:jc w:val="center"/>
              <w:rPr>
                <w:sz w:val="24"/>
              </w:rPr>
            </w:pPr>
            <w:r>
              <w:rPr>
                <w:sz w:val="24"/>
              </w:rPr>
              <w:t>Групи корів</w:t>
            </w:r>
          </w:p>
        </w:tc>
      </w:tr>
      <w:tr>
        <w:trPr>
          <w:trHeight w:val="422" w:hRule="atLeast"/>
        </w:trPr>
        <w:tc>
          <w:tcPr>
            <w:tcW w:w="3121" w:type="dxa"/>
            <w:vMerge/>
            <w:tcBorders>
              <w:top w:val="nil"/>
            </w:tcBorders>
          </w:tcPr>
          <w:p>
            <w:pPr>
              <w:rPr>
                <w:sz w:val="2"/>
                <w:szCs w:val="2"/>
              </w:rPr>
            </w:pPr>
          </w:p>
        </w:tc>
        <w:tc>
          <w:tcPr>
            <w:tcW w:w="1983" w:type="dxa"/>
          </w:tcPr>
          <w:p>
            <w:pPr>
              <w:pStyle w:val="TableParagraph"/>
              <w:spacing w:before="63"/>
              <w:ind w:left="388" w:right="326"/>
              <w:jc w:val="center"/>
              <w:rPr>
                <w:sz w:val="24"/>
              </w:rPr>
            </w:pPr>
            <w:r>
              <w:rPr>
                <w:sz w:val="24"/>
              </w:rPr>
              <w:t>Контрольна</w:t>
            </w:r>
          </w:p>
        </w:tc>
        <w:tc>
          <w:tcPr>
            <w:tcW w:w="2194" w:type="dxa"/>
          </w:tcPr>
          <w:p>
            <w:pPr>
              <w:pStyle w:val="TableParagraph"/>
              <w:spacing w:before="63"/>
              <w:ind w:left="595"/>
              <w:rPr>
                <w:sz w:val="24"/>
              </w:rPr>
            </w:pPr>
            <w:r>
              <w:rPr>
                <w:sz w:val="24"/>
              </w:rPr>
              <w:t>Дослідна1</w:t>
            </w:r>
          </w:p>
        </w:tc>
        <w:tc>
          <w:tcPr>
            <w:tcW w:w="2314" w:type="dxa"/>
          </w:tcPr>
          <w:p>
            <w:pPr>
              <w:pStyle w:val="TableParagraph"/>
              <w:spacing w:before="63"/>
              <w:ind w:right="593"/>
              <w:jc w:val="right"/>
              <w:rPr>
                <w:sz w:val="24"/>
              </w:rPr>
            </w:pPr>
            <w:r>
              <w:rPr>
                <w:sz w:val="24"/>
              </w:rPr>
              <w:t>Дослідна2</w:t>
            </w:r>
          </w:p>
        </w:tc>
      </w:tr>
      <w:tr>
        <w:trPr>
          <w:trHeight w:val="325" w:hRule="atLeast"/>
        </w:trPr>
        <w:tc>
          <w:tcPr>
            <w:tcW w:w="3121" w:type="dxa"/>
            <w:vMerge/>
            <w:tcBorders>
              <w:top w:val="nil"/>
            </w:tcBorders>
          </w:tcPr>
          <w:p>
            <w:pPr>
              <w:rPr>
                <w:sz w:val="2"/>
                <w:szCs w:val="2"/>
              </w:rPr>
            </w:pPr>
          </w:p>
        </w:tc>
        <w:tc>
          <w:tcPr>
            <w:tcW w:w="6491" w:type="dxa"/>
            <w:gridSpan w:val="3"/>
          </w:tcPr>
          <w:p>
            <w:pPr>
              <w:pStyle w:val="TableParagraph"/>
              <w:spacing w:before="15"/>
              <w:ind w:left="2398" w:right="2341"/>
              <w:jc w:val="center"/>
              <w:rPr>
                <w:sz w:val="24"/>
              </w:rPr>
            </w:pPr>
            <w:r>
              <w:rPr>
                <w:sz w:val="24"/>
              </w:rPr>
              <w:t>Кінець досліду</w:t>
            </w:r>
          </w:p>
        </w:tc>
      </w:tr>
      <w:tr>
        <w:trPr>
          <w:trHeight w:val="277" w:hRule="atLeast"/>
        </w:trPr>
        <w:tc>
          <w:tcPr>
            <w:tcW w:w="3121" w:type="dxa"/>
          </w:tcPr>
          <w:p>
            <w:pPr>
              <w:pStyle w:val="TableParagraph"/>
              <w:spacing w:line="258" w:lineRule="exact"/>
              <w:ind w:left="437" w:right="379"/>
              <w:jc w:val="center"/>
              <w:rPr>
                <w:sz w:val="24"/>
              </w:rPr>
            </w:pPr>
            <w:r>
              <w:rPr>
                <w:sz w:val="24"/>
              </w:rPr>
              <w:t>Загальний білок, г/л</w:t>
            </w:r>
          </w:p>
        </w:tc>
        <w:tc>
          <w:tcPr>
            <w:tcW w:w="1983" w:type="dxa"/>
          </w:tcPr>
          <w:p>
            <w:pPr>
              <w:pStyle w:val="TableParagraph"/>
              <w:spacing w:line="258" w:lineRule="exact"/>
              <w:ind w:left="388" w:right="322"/>
              <w:jc w:val="center"/>
              <w:rPr>
                <w:sz w:val="24"/>
              </w:rPr>
            </w:pPr>
            <w:r>
              <w:rPr>
                <w:sz w:val="24"/>
              </w:rPr>
              <w:t>75,45 ± 0,87</w:t>
            </w:r>
          </w:p>
        </w:tc>
        <w:tc>
          <w:tcPr>
            <w:tcW w:w="2194" w:type="dxa"/>
          </w:tcPr>
          <w:p>
            <w:pPr>
              <w:pStyle w:val="TableParagraph"/>
              <w:spacing w:line="258" w:lineRule="exact"/>
              <w:ind w:left="518"/>
              <w:rPr>
                <w:sz w:val="24"/>
              </w:rPr>
            </w:pPr>
            <w:r>
              <w:rPr>
                <w:sz w:val="24"/>
              </w:rPr>
              <w:t>78,10 ± 0,83</w:t>
            </w:r>
          </w:p>
        </w:tc>
        <w:tc>
          <w:tcPr>
            <w:tcW w:w="2314" w:type="dxa"/>
          </w:tcPr>
          <w:p>
            <w:pPr>
              <w:pStyle w:val="TableParagraph"/>
              <w:spacing w:line="258" w:lineRule="exact"/>
              <w:ind w:right="583"/>
              <w:jc w:val="right"/>
              <w:rPr>
                <w:sz w:val="24"/>
              </w:rPr>
            </w:pPr>
            <w:r>
              <w:rPr>
                <w:sz w:val="24"/>
              </w:rPr>
              <w:t>78,61 ± 1,12</w:t>
            </w:r>
          </w:p>
        </w:tc>
      </w:tr>
      <w:tr>
        <w:trPr>
          <w:trHeight w:val="273" w:hRule="atLeast"/>
        </w:trPr>
        <w:tc>
          <w:tcPr>
            <w:tcW w:w="3121" w:type="dxa"/>
          </w:tcPr>
          <w:p>
            <w:pPr>
              <w:pStyle w:val="TableParagraph"/>
              <w:spacing w:line="254" w:lineRule="exact"/>
              <w:ind w:left="437" w:right="378"/>
              <w:jc w:val="center"/>
              <w:rPr>
                <w:sz w:val="24"/>
              </w:rPr>
            </w:pPr>
            <w:r>
              <w:rPr>
                <w:sz w:val="24"/>
              </w:rPr>
              <w:t>Альбуміни, г/л</w:t>
            </w:r>
          </w:p>
        </w:tc>
        <w:tc>
          <w:tcPr>
            <w:tcW w:w="1983" w:type="dxa"/>
          </w:tcPr>
          <w:p>
            <w:pPr>
              <w:pStyle w:val="TableParagraph"/>
              <w:spacing w:line="254" w:lineRule="exact"/>
              <w:ind w:left="388" w:right="326"/>
              <w:jc w:val="center"/>
              <w:rPr>
                <w:sz w:val="24"/>
              </w:rPr>
            </w:pPr>
            <w:r>
              <w:rPr>
                <w:sz w:val="24"/>
              </w:rPr>
              <w:t>33,2± 1,06</w:t>
            </w:r>
          </w:p>
        </w:tc>
        <w:tc>
          <w:tcPr>
            <w:tcW w:w="2194" w:type="dxa"/>
          </w:tcPr>
          <w:p>
            <w:pPr>
              <w:pStyle w:val="TableParagraph"/>
              <w:spacing w:line="254" w:lineRule="exact"/>
              <w:ind w:left="604"/>
              <w:rPr>
                <w:sz w:val="24"/>
              </w:rPr>
            </w:pPr>
            <w:r>
              <w:rPr>
                <w:sz w:val="24"/>
              </w:rPr>
              <w:t>36,6± 1,09</w:t>
            </w:r>
          </w:p>
        </w:tc>
        <w:tc>
          <w:tcPr>
            <w:tcW w:w="2314" w:type="dxa"/>
          </w:tcPr>
          <w:p>
            <w:pPr>
              <w:pStyle w:val="TableParagraph"/>
              <w:spacing w:line="254" w:lineRule="exact"/>
              <w:ind w:right="641"/>
              <w:jc w:val="right"/>
              <w:rPr>
                <w:sz w:val="24"/>
              </w:rPr>
            </w:pPr>
            <w:r>
              <w:rPr>
                <w:sz w:val="24"/>
              </w:rPr>
              <w:t>39,2 ± 1,08</w:t>
            </w:r>
          </w:p>
        </w:tc>
      </w:tr>
      <w:tr>
        <w:trPr>
          <w:trHeight w:val="277" w:hRule="atLeast"/>
        </w:trPr>
        <w:tc>
          <w:tcPr>
            <w:tcW w:w="3121" w:type="dxa"/>
          </w:tcPr>
          <w:p>
            <w:pPr>
              <w:pStyle w:val="TableParagraph"/>
              <w:spacing w:line="258" w:lineRule="exact"/>
              <w:ind w:left="437" w:right="380"/>
              <w:jc w:val="center"/>
              <w:rPr>
                <w:sz w:val="24"/>
              </w:rPr>
            </w:pPr>
            <w:r>
              <w:rPr>
                <w:sz w:val="24"/>
              </w:rPr>
              <w:t>Сечовина</w:t>
            </w:r>
          </w:p>
        </w:tc>
        <w:tc>
          <w:tcPr>
            <w:tcW w:w="1983" w:type="dxa"/>
          </w:tcPr>
          <w:p>
            <w:pPr>
              <w:pStyle w:val="TableParagraph"/>
              <w:spacing w:line="258" w:lineRule="exact"/>
              <w:ind w:left="387" w:right="326"/>
              <w:jc w:val="center"/>
              <w:rPr>
                <w:sz w:val="24"/>
              </w:rPr>
            </w:pPr>
            <w:r>
              <w:rPr>
                <w:sz w:val="24"/>
              </w:rPr>
              <w:t>4,24 ± 0,20</w:t>
            </w:r>
          </w:p>
        </w:tc>
        <w:tc>
          <w:tcPr>
            <w:tcW w:w="2194" w:type="dxa"/>
          </w:tcPr>
          <w:p>
            <w:pPr>
              <w:pStyle w:val="TableParagraph"/>
              <w:spacing w:line="258" w:lineRule="exact"/>
              <w:ind w:left="576"/>
              <w:rPr>
                <w:sz w:val="24"/>
              </w:rPr>
            </w:pPr>
            <w:r>
              <w:rPr>
                <w:sz w:val="24"/>
              </w:rPr>
              <w:t>4,80 ± 0,20</w:t>
            </w:r>
          </w:p>
        </w:tc>
        <w:tc>
          <w:tcPr>
            <w:tcW w:w="2314" w:type="dxa"/>
          </w:tcPr>
          <w:p>
            <w:pPr>
              <w:pStyle w:val="TableParagraph"/>
              <w:spacing w:line="258" w:lineRule="exact"/>
              <w:ind w:right="641"/>
              <w:jc w:val="right"/>
              <w:rPr>
                <w:sz w:val="24"/>
              </w:rPr>
            </w:pPr>
            <w:r>
              <w:rPr>
                <w:sz w:val="24"/>
              </w:rPr>
              <w:t>4,92 ± 0,17</w:t>
            </w:r>
          </w:p>
        </w:tc>
      </w:tr>
      <w:tr>
        <w:trPr>
          <w:trHeight w:val="306" w:hRule="atLeast"/>
        </w:trPr>
        <w:tc>
          <w:tcPr>
            <w:tcW w:w="3121" w:type="dxa"/>
          </w:tcPr>
          <w:p>
            <w:pPr>
              <w:pStyle w:val="TableParagraph"/>
              <w:spacing w:before="6"/>
              <w:ind w:left="437" w:right="375"/>
              <w:jc w:val="center"/>
              <w:rPr>
                <w:sz w:val="24"/>
              </w:rPr>
            </w:pPr>
            <w:r>
              <w:rPr>
                <w:sz w:val="24"/>
              </w:rPr>
              <w:t>Глюкоза</w:t>
            </w:r>
          </w:p>
        </w:tc>
        <w:tc>
          <w:tcPr>
            <w:tcW w:w="1983" w:type="dxa"/>
          </w:tcPr>
          <w:p>
            <w:pPr>
              <w:pStyle w:val="TableParagraph"/>
              <w:spacing w:before="6"/>
              <w:ind w:left="387" w:right="326"/>
              <w:jc w:val="center"/>
              <w:rPr>
                <w:sz w:val="24"/>
              </w:rPr>
            </w:pPr>
            <w:r>
              <w:rPr>
                <w:sz w:val="24"/>
              </w:rPr>
              <w:t>2,89 ± 0,11</w:t>
            </w:r>
          </w:p>
        </w:tc>
        <w:tc>
          <w:tcPr>
            <w:tcW w:w="2194" w:type="dxa"/>
          </w:tcPr>
          <w:p>
            <w:pPr>
              <w:pStyle w:val="TableParagraph"/>
              <w:spacing w:before="6"/>
              <w:ind w:left="576"/>
              <w:rPr>
                <w:sz w:val="24"/>
              </w:rPr>
            </w:pPr>
            <w:r>
              <w:rPr>
                <w:sz w:val="24"/>
              </w:rPr>
              <w:t>3,12 ± 0,10</w:t>
            </w:r>
          </w:p>
        </w:tc>
        <w:tc>
          <w:tcPr>
            <w:tcW w:w="2314" w:type="dxa"/>
          </w:tcPr>
          <w:p>
            <w:pPr>
              <w:pStyle w:val="TableParagraph"/>
              <w:spacing w:before="6"/>
              <w:ind w:right="641"/>
              <w:jc w:val="right"/>
              <w:rPr>
                <w:sz w:val="24"/>
              </w:rPr>
            </w:pPr>
            <w:r>
              <w:rPr>
                <w:sz w:val="24"/>
              </w:rPr>
              <w:t>3,24 ± 0,07</w:t>
            </w:r>
          </w:p>
        </w:tc>
      </w:tr>
      <w:tr>
        <w:trPr>
          <w:trHeight w:val="278" w:hRule="atLeast"/>
        </w:trPr>
        <w:tc>
          <w:tcPr>
            <w:tcW w:w="3121" w:type="dxa"/>
          </w:tcPr>
          <w:p>
            <w:pPr>
              <w:pStyle w:val="TableParagraph"/>
              <w:spacing w:line="258" w:lineRule="exact"/>
              <w:ind w:left="431" w:right="383"/>
              <w:jc w:val="center"/>
              <w:rPr>
                <w:sz w:val="24"/>
              </w:rPr>
            </w:pPr>
            <w:r>
              <w:rPr>
                <w:sz w:val="24"/>
              </w:rPr>
              <w:t>Триацилгліцероли</w:t>
            </w:r>
          </w:p>
        </w:tc>
        <w:tc>
          <w:tcPr>
            <w:tcW w:w="1983" w:type="dxa"/>
          </w:tcPr>
          <w:p>
            <w:pPr>
              <w:pStyle w:val="TableParagraph"/>
              <w:spacing w:line="258" w:lineRule="exact"/>
              <w:ind w:left="387" w:right="326"/>
              <w:jc w:val="center"/>
              <w:rPr>
                <w:sz w:val="24"/>
              </w:rPr>
            </w:pPr>
            <w:r>
              <w:rPr>
                <w:sz w:val="24"/>
              </w:rPr>
              <w:t>0,39 ± 0,01</w:t>
            </w:r>
          </w:p>
        </w:tc>
        <w:tc>
          <w:tcPr>
            <w:tcW w:w="2194" w:type="dxa"/>
          </w:tcPr>
          <w:p>
            <w:pPr>
              <w:pStyle w:val="TableParagraph"/>
              <w:spacing w:line="258" w:lineRule="exact"/>
              <w:ind w:left="576"/>
              <w:rPr>
                <w:sz w:val="24"/>
              </w:rPr>
            </w:pPr>
            <w:r>
              <w:rPr>
                <w:sz w:val="24"/>
              </w:rPr>
              <w:t>0,38 ± 0,02</w:t>
            </w:r>
          </w:p>
        </w:tc>
        <w:tc>
          <w:tcPr>
            <w:tcW w:w="2314" w:type="dxa"/>
          </w:tcPr>
          <w:p>
            <w:pPr>
              <w:pStyle w:val="TableParagraph"/>
              <w:spacing w:line="258" w:lineRule="exact"/>
              <w:ind w:right="640"/>
              <w:jc w:val="right"/>
              <w:rPr>
                <w:sz w:val="24"/>
              </w:rPr>
            </w:pPr>
            <w:r>
              <w:rPr>
                <w:sz w:val="24"/>
              </w:rPr>
              <w:t>0,29 ± 0,03</w:t>
            </w:r>
          </w:p>
        </w:tc>
      </w:tr>
      <w:tr>
        <w:trPr>
          <w:trHeight w:val="273" w:hRule="atLeast"/>
        </w:trPr>
        <w:tc>
          <w:tcPr>
            <w:tcW w:w="3121" w:type="dxa"/>
          </w:tcPr>
          <w:p>
            <w:pPr>
              <w:pStyle w:val="TableParagraph"/>
              <w:spacing w:line="253" w:lineRule="exact"/>
              <w:ind w:left="437" w:right="383"/>
              <w:jc w:val="center"/>
              <w:rPr>
                <w:sz w:val="24"/>
              </w:rPr>
            </w:pPr>
            <w:r>
              <w:rPr>
                <w:sz w:val="24"/>
              </w:rPr>
              <w:t>Загальний холестерол</w:t>
            </w:r>
          </w:p>
        </w:tc>
        <w:tc>
          <w:tcPr>
            <w:tcW w:w="1983" w:type="dxa"/>
          </w:tcPr>
          <w:p>
            <w:pPr>
              <w:pStyle w:val="TableParagraph"/>
              <w:spacing w:line="253" w:lineRule="exact"/>
              <w:ind w:left="387" w:right="326"/>
              <w:jc w:val="center"/>
              <w:rPr>
                <w:sz w:val="24"/>
              </w:rPr>
            </w:pPr>
            <w:r>
              <w:rPr>
                <w:sz w:val="24"/>
              </w:rPr>
              <w:t>4,46 ± 0,18</w:t>
            </w:r>
          </w:p>
        </w:tc>
        <w:tc>
          <w:tcPr>
            <w:tcW w:w="2194" w:type="dxa"/>
          </w:tcPr>
          <w:p>
            <w:pPr>
              <w:pStyle w:val="TableParagraph"/>
              <w:spacing w:line="253" w:lineRule="exact"/>
              <w:ind w:left="576"/>
              <w:rPr>
                <w:sz w:val="24"/>
              </w:rPr>
            </w:pPr>
            <w:r>
              <w:rPr>
                <w:sz w:val="24"/>
              </w:rPr>
              <w:t>4,42 ± 0,13</w:t>
            </w:r>
          </w:p>
        </w:tc>
        <w:tc>
          <w:tcPr>
            <w:tcW w:w="2314" w:type="dxa"/>
          </w:tcPr>
          <w:p>
            <w:pPr>
              <w:pStyle w:val="TableParagraph"/>
              <w:spacing w:line="253" w:lineRule="exact"/>
              <w:ind w:right="641"/>
              <w:jc w:val="right"/>
              <w:rPr>
                <w:sz w:val="24"/>
              </w:rPr>
            </w:pPr>
            <w:r>
              <w:rPr>
                <w:sz w:val="24"/>
              </w:rPr>
              <w:t>4,02 ± 0,12</w:t>
            </w:r>
          </w:p>
        </w:tc>
      </w:tr>
      <w:tr>
        <w:trPr>
          <w:trHeight w:val="278" w:hRule="atLeast"/>
        </w:trPr>
        <w:tc>
          <w:tcPr>
            <w:tcW w:w="3121" w:type="dxa"/>
          </w:tcPr>
          <w:p>
            <w:pPr>
              <w:pStyle w:val="TableParagraph"/>
              <w:spacing w:line="258" w:lineRule="exact"/>
              <w:ind w:left="437" w:right="383"/>
              <w:jc w:val="center"/>
              <w:rPr>
                <w:sz w:val="24"/>
              </w:rPr>
            </w:pPr>
            <w:r>
              <w:rPr>
                <w:sz w:val="24"/>
              </w:rPr>
              <w:t>β-гідрооксибутират</w:t>
            </w:r>
          </w:p>
        </w:tc>
        <w:tc>
          <w:tcPr>
            <w:tcW w:w="1983" w:type="dxa"/>
          </w:tcPr>
          <w:p>
            <w:pPr>
              <w:pStyle w:val="TableParagraph"/>
              <w:spacing w:line="258" w:lineRule="exact"/>
              <w:ind w:left="387" w:right="326"/>
              <w:jc w:val="center"/>
              <w:rPr>
                <w:sz w:val="24"/>
              </w:rPr>
            </w:pPr>
            <w:r>
              <w:rPr>
                <w:sz w:val="24"/>
              </w:rPr>
              <w:t>1,68 ± 0,03</w:t>
            </w:r>
          </w:p>
        </w:tc>
        <w:tc>
          <w:tcPr>
            <w:tcW w:w="2194" w:type="dxa"/>
          </w:tcPr>
          <w:p>
            <w:pPr>
              <w:pStyle w:val="TableParagraph"/>
              <w:spacing w:line="258" w:lineRule="exact"/>
              <w:ind w:left="576"/>
              <w:rPr>
                <w:sz w:val="24"/>
              </w:rPr>
            </w:pPr>
            <w:r>
              <w:rPr>
                <w:sz w:val="24"/>
              </w:rPr>
              <w:t>1,04 ± 0,03</w:t>
            </w:r>
          </w:p>
        </w:tc>
        <w:tc>
          <w:tcPr>
            <w:tcW w:w="2314" w:type="dxa"/>
          </w:tcPr>
          <w:p>
            <w:pPr>
              <w:pStyle w:val="TableParagraph"/>
              <w:spacing w:line="258" w:lineRule="exact"/>
              <w:ind w:right="641"/>
              <w:jc w:val="right"/>
              <w:rPr>
                <w:sz w:val="24"/>
              </w:rPr>
            </w:pPr>
            <w:r>
              <w:rPr>
                <w:sz w:val="24"/>
              </w:rPr>
              <w:t>1,02 ± 0,06</w:t>
            </w:r>
          </w:p>
        </w:tc>
      </w:tr>
      <w:tr>
        <w:trPr>
          <w:trHeight w:val="412" w:hRule="atLeast"/>
        </w:trPr>
        <w:tc>
          <w:tcPr>
            <w:tcW w:w="3121" w:type="dxa"/>
          </w:tcPr>
          <w:p>
            <w:pPr>
              <w:pStyle w:val="TableParagraph"/>
              <w:spacing w:before="59"/>
              <w:ind w:left="432" w:right="383"/>
              <w:jc w:val="center"/>
              <w:rPr>
                <w:sz w:val="24"/>
              </w:rPr>
            </w:pPr>
            <w:r>
              <w:rPr>
                <w:sz w:val="24"/>
              </w:rPr>
              <w:t>Сума кетонових тіл</w:t>
            </w:r>
          </w:p>
        </w:tc>
        <w:tc>
          <w:tcPr>
            <w:tcW w:w="1983" w:type="dxa"/>
          </w:tcPr>
          <w:p>
            <w:pPr>
              <w:pStyle w:val="TableParagraph"/>
              <w:spacing w:before="59"/>
              <w:ind w:left="387" w:right="326"/>
              <w:jc w:val="center"/>
              <w:rPr>
                <w:sz w:val="24"/>
              </w:rPr>
            </w:pPr>
            <w:r>
              <w:rPr>
                <w:sz w:val="24"/>
              </w:rPr>
              <w:t>1,91 ± 0,02</w:t>
            </w:r>
          </w:p>
        </w:tc>
        <w:tc>
          <w:tcPr>
            <w:tcW w:w="2194" w:type="dxa"/>
          </w:tcPr>
          <w:p>
            <w:pPr>
              <w:pStyle w:val="TableParagraph"/>
              <w:spacing w:before="59"/>
              <w:ind w:left="576"/>
              <w:rPr>
                <w:sz w:val="24"/>
              </w:rPr>
            </w:pPr>
            <w:r>
              <w:rPr>
                <w:sz w:val="24"/>
              </w:rPr>
              <w:t>1,31 ± 0,04</w:t>
            </w:r>
          </w:p>
        </w:tc>
        <w:tc>
          <w:tcPr>
            <w:tcW w:w="2314" w:type="dxa"/>
          </w:tcPr>
          <w:p>
            <w:pPr>
              <w:pStyle w:val="TableParagraph"/>
              <w:spacing w:before="59"/>
              <w:ind w:right="641"/>
              <w:jc w:val="right"/>
              <w:rPr>
                <w:sz w:val="24"/>
              </w:rPr>
            </w:pPr>
            <w:r>
              <w:rPr>
                <w:sz w:val="24"/>
              </w:rPr>
              <w:t>1,16 ± 0,05</w:t>
            </w:r>
          </w:p>
        </w:tc>
      </w:tr>
    </w:tbl>
    <w:p>
      <w:pPr>
        <w:pStyle w:val="BodyText"/>
        <w:spacing w:before="4"/>
        <w:ind w:left="0"/>
        <w:jc w:val="left"/>
        <w:rPr>
          <w:sz w:val="27"/>
        </w:rPr>
      </w:pPr>
    </w:p>
    <w:p>
      <w:pPr>
        <w:pStyle w:val="BodyText"/>
        <w:ind w:right="614" w:firstLine="710"/>
      </w:pPr>
      <w:r>
        <w:rPr/>
        <w:t>Додавання до раціону корів </w:t>
      </w:r>
      <w:r>
        <w:rPr>
          <w:spacing w:val="-3"/>
        </w:rPr>
        <w:t>під </w:t>
      </w:r>
      <w:r>
        <w:rPr/>
        <w:t>час транзиторного періоду пропіленгліколю</w:t>
      </w:r>
      <w:r>
        <w:rPr>
          <w:spacing w:val="-17"/>
        </w:rPr>
        <w:t> </w:t>
      </w:r>
      <w:r>
        <w:rPr/>
        <w:t>та</w:t>
      </w:r>
      <w:r>
        <w:rPr>
          <w:spacing w:val="-15"/>
        </w:rPr>
        <w:t> </w:t>
      </w:r>
      <w:r>
        <w:rPr/>
        <w:t>СТА-ХОЛу</w:t>
      </w:r>
      <w:r>
        <w:rPr>
          <w:spacing w:val="-15"/>
        </w:rPr>
        <w:t> </w:t>
      </w:r>
      <w:r>
        <w:rPr/>
        <w:t>вплинуло</w:t>
      </w:r>
      <w:r>
        <w:rPr>
          <w:spacing w:val="-15"/>
        </w:rPr>
        <w:t> </w:t>
      </w:r>
      <w:r>
        <w:rPr/>
        <w:t>на</w:t>
      </w:r>
      <w:r>
        <w:rPr>
          <w:spacing w:val="-14"/>
        </w:rPr>
        <w:t> </w:t>
      </w:r>
      <w:r>
        <w:rPr/>
        <w:t>зміну</w:t>
      </w:r>
      <w:r>
        <w:rPr>
          <w:spacing w:val="-20"/>
        </w:rPr>
        <w:t> </w:t>
      </w:r>
      <w:r>
        <w:rPr/>
        <w:t>в</w:t>
      </w:r>
      <w:r>
        <w:rPr>
          <w:spacing w:val="-12"/>
        </w:rPr>
        <w:t> </w:t>
      </w:r>
      <w:r>
        <w:rPr/>
        <w:t>крові</w:t>
      </w:r>
      <w:r>
        <w:rPr>
          <w:spacing w:val="-20"/>
        </w:rPr>
        <w:t> </w:t>
      </w:r>
      <w:r>
        <w:rPr/>
        <w:t>дослідних</w:t>
      </w:r>
      <w:r>
        <w:rPr>
          <w:spacing w:val="-20"/>
        </w:rPr>
        <w:t> </w:t>
      </w:r>
      <w:r>
        <w:rPr/>
        <w:t>груп</w:t>
      </w:r>
      <w:r>
        <w:rPr>
          <w:spacing w:val="-15"/>
        </w:rPr>
        <w:t> </w:t>
      </w:r>
      <w:r>
        <w:rPr/>
        <w:t>тварин вмісту β-гідроксибутирату (ВНВА) та суми кетонових тіл. В другій дослідній групі тварин вміст β-гідроксибутирату (ВНВА) та сума кетонових тіл були нижчими порівняно з першою дослідною групою корів. Так, наприкінці</w:t>
      </w:r>
      <w:r>
        <w:rPr>
          <w:spacing w:val="-6"/>
        </w:rPr>
        <w:t> </w:t>
      </w:r>
      <w:r>
        <w:rPr/>
        <w:t>досліду</w:t>
      </w:r>
    </w:p>
    <w:p>
      <w:pPr>
        <w:spacing w:after="0"/>
        <w:sectPr>
          <w:pgSz w:w="11910" w:h="16840"/>
          <w:pgMar w:header="713" w:footer="778" w:top="1140" w:bottom="960" w:left="940" w:right="520"/>
        </w:sectPr>
      </w:pPr>
    </w:p>
    <w:p>
      <w:pPr>
        <w:pStyle w:val="BodyText"/>
        <w:spacing w:before="92"/>
        <w:ind w:right="607"/>
      </w:pPr>
      <w:r>
        <w:rPr/>
        <w:t>вміст β-гідроксибутирату в другій дослідній групі складав 1,02 ммоль/л, що на 1,9% нижче за аналогічним показником першої дослідної групи і на 64% нижче за контрольною групою корів. Сума кетонових тіл також наприкінці досліду в другій дослідній групі складала 1,16 ммоль/л що нижче порівняно з першою дослідною та контрольною групами на 12,9% та 64,6% відповідно. Оскільки під час транзиторного періоду і особливо в перші місяці після отелення, корови відчувають</w:t>
      </w:r>
      <w:r>
        <w:rPr>
          <w:spacing w:val="-22"/>
        </w:rPr>
        <w:t> </w:t>
      </w:r>
      <w:r>
        <w:rPr/>
        <w:t>дефіцит</w:t>
      </w:r>
      <w:r>
        <w:rPr>
          <w:spacing w:val="-21"/>
        </w:rPr>
        <w:t> </w:t>
      </w:r>
      <w:r>
        <w:rPr/>
        <w:t>енергії,</w:t>
      </w:r>
      <w:r>
        <w:rPr>
          <w:spacing w:val="-17"/>
        </w:rPr>
        <w:t> </w:t>
      </w:r>
      <w:r>
        <w:rPr/>
        <w:t>відбувається</w:t>
      </w:r>
      <w:r>
        <w:rPr>
          <w:spacing w:val="-22"/>
        </w:rPr>
        <w:t> </w:t>
      </w:r>
      <w:r>
        <w:rPr/>
        <w:t>посилення</w:t>
      </w:r>
      <w:r>
        <w:rPr>
          <w:spacing w:val="-18"/>
        </w:rPr>
        <w:t> </w:t>
      </w:r>
      <w:r>
        <w:rPr/>
        <w:t>синтезу</w:t>
      </w:r>
      <w:r>
        <w:rPr>
          <w:spacing w:val="-24"/>
        </w:rPr>
        <w:t> </w:t>
      </w:r>
      <w:r>
        <w:rPr/>
        <w:t>кетонових</w:t>
      </w:r>
      <w:r>
        <w:rPr>
          <w:spacing w:val="-24"/>
        </w:rPr>
        <w:t> </w:t>
      </w:r>
      <w:r>
        <w:rPr/>
        <w:t>тіл,</w:t>
      </w:r>
      <w:r>
        <w:rPr>
          <w:spacing w:val="-16"/>
        </w:rPr>
        <w:t> </w:t>
      </w:r>
      <w:r>
        <w:rPr/>
        <w:t>за</w:t>
      </w:r>
      <w:r>
        <w:rPr>
          <w:spacing w:val="-22"/>
        </w:rPr>
        <w:t> </w:t>
      </w:r>
      <w:r>
        <w:rPr/>
        <w:t>для компенсації дефіциту енергії. Але застосування пропіленгліколю та </w:t>
      </w:r>
      <w:r>
        <w:rPr>
          <w:spacing w:val="2"/>
        </w:rPr>
        <w:t>СТА-ХОЛу </w:t>
      </w:r>
      <w:r>
        <w:rPr>
          <w:spacing w:val="-3"/>
        </w:rPr>
        <w:t>під </w:t>
      </w:r>
      <w:r>
        <w:rPr/>
        <w:t>час транзиторного періоду коровам відбулося підвищення концентрації глюкози у крові що сприяло утворенню в достатній кількості щавлевооцтової кислоти яка сприяє залученню до циклу Кребса попередників кетонових тіл (А цетил-КоА) тому й відбувалося зменшення кетонових тіл. В кінці досліду вміст загального білка плазми крові суттєво не різнився між групами корів, але покращення функціональної здатності печінки було помітно за альбуміновою фракцією білків сироватки крові. Так в другій дослідній групі альбумінова фракція</w:t>
      </w:r>
      <w:r>
        <w:rPr>
          <w:spacing w:val="-6"/>
        </w:rPr>
        <w:t> </w:t>
      </w:r>
      <w:r>
        <w:rPr/>
        <w:t>білків</w:t>
      </w:r>
      <w:r>
        <w:rPr>
          <w:spacing w:val="-10"/>
        </w:rPr>
        <w:t> </w:t>
      </w:r>
      <w:r>
        <w:rPr/>
        <w:t>сироватки</w:t>
      </w:r>
      <w:r>
        <w:rPr>
          <w:spacing w:val="-7"/>
        </w:rPr>
        <w:t> </w:t>
      </w:r>
      <w:r>
        <w:rPr/>
        <w:t>крові</w:t>
      </w:r>
      <w:r>
        <w:rPr>
          <w:spacing w:val="-12"/>
        </w:rPr>
        <w:t> </w:t>
      </w:r>
      <w:r>
        <w:rPr/>
        <w:t>була</w:t>
      </w:r>
      <w:r>
        <w:rPr>
          <w:spacing w:val="-6"/>
        </w:rPr>
        <w:t> </w:t>
      </w:r>
      <w:r>
        <w:rPr/>
        <w:t>вище</w:t>
      </w:r>
      <w:r>
        <w:rPr>
          <w:spacing w:val="-7"/>
        </w:rPr>
        <w:t> </w:t>
      </w:r>
      <w:r>
        <w:rPr/>
        <w:t>за</w:t>
      </w:r>
      <w:r>
        <w:rPr>
          <w:spacing w:val="-6"/>
        </w:rPr>
        <w:t> </w:t>
      </w:r>
      <w:r>
        <w:rPr/>
        <w:t>першою</w:t>
      </w:r>
      <w:r>
        <w:rPr>
          <w:spacing w:val="-8"/>
        </w:rPr>
        <w:t> </w:t>
      </w:r>
      <w:r>
        <w:rPr/>
        <w:t>дослідною</w:t>
      </w:r>
      <w:r>
        <w:rPr>
          <w:spacing w:val="-9"/>
        </w:rPr>
        <w:t> </w:t>
      </w:r>
      <w:r>
        <w:rPr/>
        <w:t>та</w:t>
      </w:r>
      <w:r>
        <w:rPr>
          <w:spacing w:val="-7"/>
        </w:rPr>
        <w:t> </w:t>
      </w:r>
      <w:r>
        <w:rPr/>
        <w:t>контрольною групами тварин на 7,1% та 18,0% відповідно. Даний показник, відображає функціональний стан печінки, та свідчить про сприяння пропіленгліколю та СТА-ХОЛу у відновленні ії білоксинтезувальної</w:t>
      </w:r>
      <w:r>
        <w:rPr>
          <w:spacing w:val="-13"/>
        </w:rPr>
        <w:t> </w:t>
      </w:r>
      <w:r>
        <w:rPr/>
        <w:t>функції.</w:t>
      </w:r>
    </w:p>
    <w:p>
      <w:pPr>
        <w:pStyle w:val="BodyText"/>
        <w:spacing w:before="4"/>
        <w:ind w:right="607" w:firstLine="710"/>
      </w:pPr>
      <w:r>
        <w:rPr>
          <w:b/>
        </w:rPr>
        <w:t>Висновки. </w:t>
      </w:r>
      <w:r>
        <w:rPr/>
        <w:t>1.Встановлено, що додавання пропіленгліколю та </w:t>
      </w:r>
      <w:r>
        <w:rPr>
          <w:spacing w:val="2"/>
        </w:rPr>
        <w:t>СТА-ХОЛу </w:t>
      </w:r>
      <w:r>
        <w:rPr/>
        <w:t>до раціону корів у плазмі крові вміст глюкози в першій та другій дослідних групах була вище, порівняно з контролем на 7,9%, та 12,1% відповідно. 2.Додавання до раціону пропіленгліколюта Ста-Холу зменшує вміст триацилгліцеролів у плазмі крові на 26,7% порівняно з контрольною та 23% з першою дослідною групами тварин. Аналогічні дані отримані і за таким показником ліпідного обміну, як загальний холестерол, бувнижчим у другій дослідній групі тварин на 9,9% порівняно з контрольною та на 8% порівняно з першою дослідною групами тварин. 3.Додавання до раціону корів під час транзиторного</w:t>
      </w:r>
      <w:r>
        <w:rPr>
          <w:spacing w:val="-17"/>
        </w:rPr>
        <w:t> </w:t>
      </w:r>
      <w:r>
        <w:rPr/>
        <w:t>періоду</w:t>
      </w:r>
      <w:r>
        <w:rPr>
          <w:spacing w:val="-21"/>
        </w:rPr>
        <w:t> </w:t>
      </w:r>
      <w:r>
        <w:rPr/>
        <w:t>пропіленгліколю</w:t>
      </w:r>
      <w:r>
        <w:rPr>
          <w:spacing w:val="-18"/>
        </w:rPr>
        <w:t> </w:t>
      </w:r>
      <w:r>
        <w:rPr/>
        <w:t>та</w:t>
      </w:r>
      <w:r>
        <w:rPr>
          <w:spacing w:val="-15"/>
        </w:rPr>
        <w:t> </w:t>
      </w:r>
      <w:r>
        <w:rPr/>
        <w:t>Ста-Холу</w:t>
      </w:r>
      <w:r>
        <w:rPr>
          <w:spacing w:val="-21"/>
        </w:rPr>
        <w:t> </w:t>
      </w:r>
      <w:r>
        <w:rPr/>
        <w:t>сприяло</w:t>
      </w:r>
      <w:r>
        <w:rPr>
          <w:spacing w:val="-16"/>
        </w:rPr>
        <w:t> </w:t>
      </w:r>
      <w:r>
        <w:rPr/>
        <w:t>зниженню</w:t>
      </w:r>
      <w:r>
        <w:rPr>
          <w:spacing w:val="-18"/>
        </w:rPr>
        <w:t> </w:t>
      </w:r>
      <w:r>
        <w:rPr/>
        <w:t>в</w:t>
      </w:r>
      <w:r>
        <w:rPr>
          <w:spacing w:val="-18"/>
        </w:rPr>
        <w:t> </w:t>
      </w:r>
      <w:r>
        <w:rPr/>
        <w:t>другій дослідній групі тварин вмісту β-гідроксибутирату (ВНВА) на 1,9% </w:t>
      </w:r>
      <w:r>
        <w:rPr>
          <w:spacing w:val="2"/>
        </w:rPr>
        <w:t>за </w:t>
      </w:r>
      <w:r>
        <w:rPr/>
        <w:t>аналогічним показником першої дослідної групи і на 64% за контрольною групою корів. Сума кетонових тіл в другій дослідній групі була нижчею порівняно з першою дослідною та контрольною групами на 12,9% та 64,6% відповідно.</w:t>
      </w:r>
    </w:p>
    <w:p>
      <w:pPr>
        <w:pStyle w:val="BodyText"/>
        <w:ind w:right="611" w:firstLine="710"/>
      </w:pPr>
      <w:r>
        <w:rPr>
          <w:b/>
        </w:rPr>
        <w:t>Перспективи подальших досліджень</w:t>
      </w:r>
      <w:r>
        <w:rPr/>
        <w:t>. Необхідно перевірити сумісну</w:t>
      </w:r>
      <w:r>
        <w:rPr>
          <w:spacing w:val="-50"/>
        </w:rPr>
        <w:t> </w:t>
      </w:r>
      <w:r>
        <w:rPr/>
        <w:t>дію досліджуваних</w:t>
      </w:r>
      <w:r>
        <w:rPr>
          <w:spacing w:val="-13"/>
        </w:rPr>
        <w:t> </w:t>
      </w:r>
      <w:r>
        <w:rPr/>
        <w:t>чинників</w:t>
      </w:r>
      <w:r>
        <w:rPr>
          <w:spacing w:val="-10"/>
        </w:rPr>
        <w:t> </w:t>
      </w:r>
      <w:r>
        <w:rPr/>
        <w:t>на</w:t>
      </w:r>
      <w:r>
        <w:rPr>
          <w:spacing w:val="-8"/>
        </w:rPr>
        <w:t> </w:t>
      </w:r>
      <w:r>
        <w:rPr/>
        <w:t>рубцеву</w:t>
      </w:r>
      <w:r>
        <w:rPr>
          <w:spacing w:val="-13"/>
        </w:rPr>
        <w:t> </w:t>
      </w:r>
      <w:r>
        <w:rPr/>
        <w:t>ферментацію,</w:t>
      </w:r>
      <w:r>
        <w:rPr>
          <w:spacing w:val="-6"/>
        </w:rPr>
        <w:t> </w:t>
      </w:r>
      <w:r>
        <w:rPr/>
        <w:t>енергетичний</w:t>
      </w:r>
      <w:r>
        <w:rPr>
          <w:spacing w:val="-4"/>
        </w:rPr>
        <w:t> </w:t>
      </w:r>
      <w:r>
        <w:rPr/>
        <w:t>та</w:t>
      </w:r>
      <w:r>
        <w:rPr>
          <w:spacing w:val="-8"/>
        </w:rPr>
        <w:t> </w:t>
      </w:r>
      <w:r>
        <w:rPr/>
        <w:t>мінеральний обмін речовин та продуктивність</w:t>
      </w:r>
      <w:r>
        <w:rPr>
          <w:spacing w:val="1"/>
        </w:rPr>
        <w:t> </w:t>
      </w:r>
      <w:r>
        <w:rPr/>
        <w:t>корів.</w:t>
      </w:r>
    </w:p>
    <w:p>
      <w:pPr>
        <w:pStyle w:val="BodyText"/>
        <w:spacing w:before="4"/>
        <w:ind w:left="0"/>
        <w:jc w:val="left"/>
      </w:pPr>
    </w:p>
    <w:p>
      <w:pPr>
        <w:pStyle w:val="Heading1"/>
        <w:spacing w:line="319" w:lineRule="exact"/>
        <w:ind w:left="894"/>
      </w:pPr>
      <w:r>
        <w:rPr/>
        <w:t>ЛІТЕРАТУРА</w:t>
      </w:r>
    </w:p>
    <w:p>
      <w:pPr>
        <w:pStyle w:val="ListParagraph"/>
        <w:numPr>
          <w:ilvl w:val="0"/>
          <w:numId w:val="11"/>
        </w:numPr>
        <w:tabs>
          <w:tab w:pos="1197" w:val="left" w:leader="none"/>
        </w:tabs>
        <w:spacing w:line="240" w:lineRule="auto" w:before="0" w:after="0"/>
        <w:ind w:left="193" w:right="618" w:firstLine="710"/>
        <w:jc w:val="left"/>
        <w:rPr>
          <w:sz w:val="28"/>
        </w:rPr>
      </w:pPr>
      <w:r>
        <w:rPr>
          <w:sz w:val="28"/>
        </w:rPr>
        <w:t>Grummer R. R. Nutritional and management strategies for the prevention of fatty liver in dairy cattle. R. R. Grummer. Vet. J. — 2008. — Vol. 176. — P.</w:t>
      </w:r>
      <w:r>
        <w:rPr>
          <w:spacing w:val="-8"/>
          <w:sz w:val="28"/>
        </w:rPr>
        <w:t> </w:t>
      </w:r>
      <w:r>
        <w:rPr>
          <w:sz w:val="28"/>
        </w:rPr>
        <w:t>10–20.</w:t>
      </w:r>
    </w:p>
    <w:p>
      <w:pPr>
        <w:pStyle w:val="ListParagraph"/>
        <w:numPr>
          <w:ilvl w:val="0"/>
          <w:numId w:val="11"/>
        </w:numPr>
        <w:tabs>
          <w:tab w:pos="1197" w:val="left" w:leader="none"/>
        </w:tabs>
        <w:spacing w:line="240" w:lineRule="auto" w:before="0" w:after="0"/>
        <w:ind w:left="193" w:right="613" w:firstLine="710"/>
        <w:jc w:val="left"/>
        <w:rPr>
          <w:sz w:val="28"/>
        </w:rPr>
      </w:pPr>
      <w:r>
        <w:rPr>
          <w:sz w:val="28"/>
        </w:rPr>
        <w:t>Nielsen N. I. Propylene glycol for dairy cows a review of the metabolism </w:t>
      </w:r>
      <w:r>
        <w:rPr>
          <w:spacing w:val="4"/>
          <w:sz w:val="28"/>
        </w:rPr>
        <w:t>of </w:t>
      </w:r>
      <w:r>
        <w:rPr>
          <w:sz w:val="28"/>
        </w:rPr>
        <w:t>propylene</w:t>
      </w:r>
      <w:r>
        <w:rPr>
          <w:spacing w:val="16"/>
          <w:sz w:val="28"/>
        </w:rPr>
        <w:t> </w:t>
      </w:r>
      <w:r>
        <w:rPr>
          <w:sz w:val="28"/>
        </w:rPr>
        <w:t>glycol</w:t>
      </w:r>
      <w:r>
        <w:rPr>
          <w:spacing w:val="7"/>
          <w:sz w:val="28"/>
        </w:rPr>
        <w:t> </w:t>
      </w:r>
      <w:r>
        <w:rPr>
          <w:sz w:val="28"/>
        </w:rPr>
        <w:t>and</w:t>
      </w:r>
      <w:r>
        <w:rPr>
          <w:spacing w:val="12"/>
          <w:sz w:val="28"/>
        </w:rPr>
        <w:t> </w:t>
      </w:r>
      <w:r>
        <w:rPr>
          <w:sz w:val="28"/>
        </w:rPr>
        <w:t>its</w:t>
      </w:r>
      <w:r>
        <w:rPr>
          <w:spacing w:val="14"/>
          <w:sz w:val="28"/>
        </w:rPr>
        <w:t> </w:t>
      </w:r>
      <w:r>
        <w:rPr>
          <w:sz w:val="28"/>
        </w:rPr>
        <w:t>effects</w:t>
      </w:r>
      <w:r>
        <w:rPr>
          <w:spacing w:val="13"/>
          <w:sz w:val="28"/>
        </w:rPr>
        <w:t> </w:t>
      </w:r>
      <w:r>
        <w:rPr>
          <w:sz w:val="28"/>
        </w:rPr>
        <w:t>on</w:t>
      </w:r>
      <w:r>
        <w:rPr>
          <w:spacing w:val="8"/>
          <w:sz w:val="28"/>
        </w:rPr>
        <w:t> </w:t>
      </w:r>
      <w:r>
        <w:rPr>
          <w:sz w:val="28"/>
        </w:rPr>
        <w:t>physiological</w:t>
      </w:r>
      <w:r>
        <w:rPr>
          <w:spacing w:val="6"/>
          <w:sz w:val="28"/>
        </w:rPr>
        <w:t> </w:t>
      </w:r>
      <w:r>
        <w:rPr>
          <w:sz w:val="28"/>
        </w:rPr>
        <w:t>parameters,</w:t>
      </w:r>
      <w:r>
        <w:rPr>
          <w:spacing w:val="14"/>
          <w:sz w:val="28"/>
        </w:rPr>
        <w:t> </w:t>
      </w:r>
      <w:r>
        <w:rPr>
          <w:sz w:val="28"/>
        </w:rPr>
        <w:t>feed</w:t>
      </w:r>
      <w:r>
        <w:rPr>
          <w:spacing w:val="16"/>
          <w:sz w:val="28"/>
        </w:rPr>
        <w:t> </w:t>
      </w:r>
      <w:r>
        <w:rPr>
          <w:sz w:val="28"/>
        </w:rPr>
        <w:t>intake,</w:t>
      </w:r>
      <w:r>
        <w:rPr>
          <w:spacing w:val="19"/>
          <w:sz w:val="28"/>
        </w:rPr>
        <w:t> </w:t>
      </w:r>
      <w:r>
        <w:rPr>
          <w:sz w:val="28"/>
        </w:rPr>
        <w:t>milk</w:t>
      </w:r>
    </w:p>
    <w:p>
      <w:pPr>
        <w:spacing w:after="0" w:line="240" w:lineRule="auto"/>
        <w:jc w:val="left"/>
        <w:rPr>
          <w:sz w:val="28"/>
        </w:rPr>
        <w:sectPr>
          <w:pgSz w:w="11910" w:h="16840"/>
          <w:pgMar w:header="713" w:footer="778" w:top="1140" w:bottom="960" w:left="940" w:right="520"/>
        </w:sectPr>
      </w:pPr>
    </w:p>
    <w:p>
      <w:pPr>
        <w:pStyle w:val="BodyText"/>
        <w:spacing w:before="92"/>
        <w:ind w:right="616"/>
      </w:pPr>
      <w:r>
        <w:rPr/>
        <w:t>production and risk of ketosis. N. I. Nielsen, K. L. Ingvartsen. Anim. Feed Sci. Technol. — 2004. — Vol. 115. — P. 191–213.</w:t>
      </w:r>
    </w:p>
    <w:p>
      <w:pPr>
        <w:pStyle w:val="ListParagraph"/>
        <w:numPr>
          <w:ilvl w:val="0"/>
          <w:numId w:val="11"/>
        </w:numPr>
        <w:tabs>
          <w:tab w:pos="1178" w:val="left" w:leader="none"/>
        </w:tabs>
        <w:spacing w:line="240" w:lineRule="auto" w:before="0" w:after="0"/>
        <w:ind w:left="193" w:right="616" w:firstLine="710"/>
        <w:jc w:val="both"/>
        <w:rPr>
          <w:sz w:val="28"/>
        </w:rPr>
      </w:pPr>
      <w:r>
        <w:rPr>
          <w:sz w:val="28"/>
        </w:rPr>
        <w:t>Kabu</w:t>
      </w:r>
      <w:r>
        <w:rPr>
          <w:spacing w:val="-19"/>
          <w:sz w:val="28"/>
        </w:rPr>
        <w:t> </w:t>
      </w:r>
      <w:r>
        <w:rPr>
          <w:sz w:val="28"/>
        </w:rPr>
        <w:t>M.</w:t>
      </w:r>
      <w:r>
        <w:rPr>
          <w:spacing w:val="-12"/>
          <w:sz w:val="28"/>
        </w:rPr>
        <w:t> </w:t>
      </w:r>
      <w:r>
        <w:rPr>
          <w:sz w:val="28"/>
        </w:rPr>
        <w:t>Effects</w:t>
      </w:r>
      <w:r>
        <w:rPr>
          <w:spacing w:val="-13"/>
          <w:sz w:val="28"/>
        </w:rPr>
        <w:t> </w:t>
      </w:r>
      <w:r>
        <w:rPr>
          <w:sz w:val="28"/>
        </w:rPr>
        <w:t>of</w:t>
      </w:r>
      <w:r>
        <w:rPr>
          <w:spacing w:val="-20"/>
          <w:sz w:val="28"/>
        </w:rPr>
        <w:t> </w:t>
      </w:r>
      <w:r>
        <w:rPr>
          <w:sz w:val="28"/>
        </w:rPr>
        <w:t>boron,</w:t>
      </w:r>
      <w:r>
        <w:rPr>
          <w:spacing w:val="-12"/>
          <w:sz w:val="28"/>
        </w:rPr>
        <w:t> </w:t>
      </w:r>
      <w:r>
        <w:rPr>
          <w:sz w:val="28"/>
        </w:rPr>
        <w:t>propylene</w:t>
      </w:r>
      <w:r>
        <w:rPr>
          <w:spacing w:val="-9"/>
          <w:sz w:val="28"/>
        </w:rPr>
        <w:t> </w:t>
      </w:r>
      <w:r>
        <w:rPr>
          <w:sz w:val="28"/>
        </w:rPr>
        <w:t>glycol</w:t>
      </w:r>
      <w:r>
        <w:rPr>
          <w:spacing w:val="-18"/>
          <w:sz w:val="28"/>
        </w:rPr>
        <w:t> </w:t>
      </w:r>
      <w:r>
        <w:rPr>
          <w:sz w:val="28"/>
        </w:rPr>
        <w:t>and</w:t>
      </w:r>
      <w:r>
        <w:rPr>
          <w:spacing w:val="-10"/>
          <w:sz w:val="28"/>
        </w:rPr>
        <w:t> </w:t>
      </w:r>
      <w:r>
        <w:rPr>
          <w:sz w:val="28"/>
        </w:rPr>
        <w:t>methionine</w:t>
      </w:r>
      <w:r>
        <w:rPr>
          <w:spacing w:val="-13"/>
          <w:sz w:val="28"/>
        </w:rPr>
        <w:t> </w:t>
      </w:r>
      <w:r>
        <w:rPr>
          <w:sz w:val="28"/>
        </w:rPr>
        <w:t>administration</w:t>
      </w:r>
      <w:r>
        <w:rPr>
          <w:spacing w:val="-18"/>
          <w:sz w:val="28"/>
        </w:rPr>
        <w:t> </w:t>
      </w:r>
      <w:r>
        <w:rPr>
          <w:spacing w:val="4"/>
          <w:sz w:val="28"/>
        </w:rPr>
        <w:t>on </w:t>
      </w:r>
      <w:r>
        <w:rPr>
          <w:sz w:val="28"/>
        </w:rPr>
        <w:t>some hematological parameters in dairy cattle during periparturient period / M.</w:t>
      </w:r>
      <w:r>
        <w:rPr>
          <w:spacing w:val="-28"/>
          <w:sz w:val="28"/>
        </w:rPr>
        <w:t> </w:t>
      </w:r>
      <w:r>
        <w:rPr>
          <w:sz w:val="28"/>
        </w:rPr>
        <w:t>Kabu,</w:t>
      </w:r>
    </w:p>
    <w:p>
      <w:pPr>
        <w:pStyle w:val="BodyText"/>
      </w:pPr>
      <w:r>
        <w:rPr/>
        <w:t>T. Civelek, F. M. Birdane. Veterinarski Arhiv. — 2014. —Vol. 84, № 1. — P. 19–29.</w:t>
      </w:r>
    </w:p>
    <w:p>
      <w:pPr>
        <w:pStyle w:val="ListParagraph"/>
        <w:numPr>
          <w:ilvl w:val="0"/>
          <w:numId w:val="11"/>
        </w:numPr>
        <w:tabs>
          <w:tab w:pos="1206" w:val="left" w:leader="none"/>
        </w:tabs>
        <w:spacing w:line="240" w:lineRule="auto" w:before="3" w:after="0"/>
        <w:ind w:left="193" w:right="605" w:firstLine="710"/>
        <w:jc w:val="both"/>
        <w:rPr>
          <w:sz w:val="28"/>
        </w:rPr>
      </w:pPr>
      <w:r>
        <w:rPr>
          <w:sz w:val="28"/>
        </w:rPr>
        <w:t>Bertics S. J. Effects of </w:t>
      </w:r>
      <w:r>
        <w:rPr>
          <w:spacing w:val="-3"/>
          <w:sz w:val="28"/>
        </w:rPr>
        <w:t>fat </w:t>
      </w:r>
      <w:r>
        <w:rPr>
          <w:sz w:val="28"/>
        </w:rPr>
        <w:t>and methionine hydroxy analog on prevention or alleviation of fatty liver induced by feed restriction. S. J. Bertics, R. R. Grummer. J. Dairy Sci. — 1999. — Vol. 82.— P.</w:t>
      </w:r>
      <w:r>
        <w:rPr>
          <w:spacing w:val="16"/>
          <w:sz w:val="28"/>
        </w:rPr>
        <w:t> </w:t>
      </w:r>
      <w:r>
        <w:rPr>
          <w:sz w:val="28"/>
        </w:rPr>
        <w:t>2731–2736.</w:t>
      </w:r>
    </w:p>
    <w:p>
      <w:pPr>
        <w:pStyle w:val="ListParagraph"/>
        <w:numPr>
          <w:ilvl w:val="0"/>
          <w:numId w:val="11"/>
        </w:numPr>
        <w:tabs>
          <w:tab w:pos="1548" w:val="left" w:leader="none"/>
        </w:tabs>
        <w:spacing w:line="240" w:lineRule="auto" w:before="0" w:after="0"/>
        <w:ind w:left="193" w:right="612" w:firstLine="710"/>
        <w:jc w:val="both"/>
        <w:rPr>
          <w:sz w:val="28"/>
        </w:rPr>
      </w:pPr>
      <w:r>
        <w:rPr>
          <w:sz w:val="28"/>
        </w:rPr>
        <w:t>Сахнюк В.В. Поліморбідність внутрішньої патології у високопродуктивних корів. Автореферат дисертації на здобуття наукового ступеня доктора ветеринарних наук. Біла Церква – 2009 -</w:t>
      </w:r>
      <w:r>
        <w:rPr>
          <w:spacing w:val="13"/>
          <w:sz w:val="28"/>
        </w:rPr>
        <w:t> </w:t>
      </w:r>
      <w:r>
        <w:rPr>
          <w:sz w:val="28"/>
        </w:rPr>
        <w:t>С.34</w:t>
      </w:r>
    </w:p>
    <w:p>
      <w:pPr>
        <w:pStyle w:val="ListParagraph"/>
        <w:numPr>
          <w:ilvl w:val="0"/>
          <w:numId w:val="11"/>
        </w:numPr>
        <w:tabs>
          <w:tab w:pos="1226" w:val="left" w:leader="none"/>
        </w:tabs>
        <w:spacing w:line="240" w:lineRule="auto" w:before="0" w:after="5"/>
        <w:ind w:left="193" w:right="605" w:firstLine="710"/>
        <w:jc w:val="both"/>
        <w:rPr>
          <w:sz w:val="28"/>
        </w:rPr>
      </w:pPr>
      <w:r>
        <w:rPr>
          <w:sz w:val="28"/>
        </w:rPr>
        <w:t>Тодоров М.І., Чернецова Л.М. Причини та поширення кетозу корів у ООО </w:t>
      </w:r>
      <w:r>
        <w:rPr>
          <w:spacing w:val="-3"/>
          <w:sz w:val="28"/>
        </w:rPr>
        <w:t>АФ </w:t>
      </w:r>
      <w:r>
        <w:rPr>
          <w:sz w:val="28"/>
        </w:rPr>
        <w:t>"Дністровська". Аграрний вісник Чорного моря. 83. Одеса- 2017.- С.258-261.</w:t>
      </w:r>
    </w:p>
    <w:p>
      <w:pPr>
        <w:pStyle w:val="BodyText"/>
        <w:ind w:left="164"/>
        <w:jc w:val="left"/>
        <w:rPr>
          <w:sz w:val="20"/>
        </w:rPr>
      </w:pPr>
      <w:r>
        <w:rPr>
          <w:sz w:val="20"/>
        </w:rPr>
        <w:pict>
          <v:group style="width:485pt;height:16.1pt;mso-position-horizontal-relative:char;mso-position-vertical-relative:line" coordorigin="0,0" coordsize="9700,322">
            <v:rect style="position:absolute;left:0;top:0;width:9700;height:322" filled="true" fillcolor="#f8f8f9" stroked="false">
              <v:fill type="solid"/>
            </v:rect>
          </v:group>
        </w:pict>
      </w:r>
      <w:r>
        <w:rPr>
          <w:sz w:val="20"/>
        </w:rPr>
      </w:r>
    </w:p>
    <w:p>
      <w:pPr>
        <w:pStyle w:val="Heading1"/>
        <w:spacing w:line="287" w:lineRule="exact"/>
        <w:ind w:left="927" w:right="0"/>
        <w:jc w:val="left"/>
      </w:pPr>
      <w:r>
        <w:rPr/>
        <w:t>ВЛИЯНИЕ ВВЕДЕНИЯ В РАЦИОН КОРОВ ПРОПИЛЕНГЛИКОЛЯ</w:t>
      </w:r>
    </w:p>
    <w:p>
      <w:pPr>
        <w:spacing w:before="0"/>
        <w:ind w:left="3823" w:right="906" w:hanging="3319"/>
        <w:jc w:val="left"/>
        <w:rPr>
          <w:b/>
          <w:sz w:val="28"/>
        </w:rPr>
      </w:pPr>
      <w:r>
        <w:rPr>
          <w:b/>
          <w:sz w:val="28"/>
        </w:rPr>
        <w:t>И СТА-ХОЛа НА НЕКОТОРЫЕ БИОХИМИЧЕСКИЕ ПОКАЗАТЕЛИ ПЛАЗМЫ КРОВИ</w:t>
      </w:r>
    </w:p>
    <w:p>
      <w:pPr>
        <w:pStyle w:val="BodyText"/>
        <w:spacing w:line="321" w:lineRule="exact"/>
        <w:ind w:left="3967"/>
      </w:pPr>
      <w:r>
        <w:rPr/>
        <w:t>Тодоров Н., Кушнир В.</w:t>
      </w:r>
    </w:p>
    <w:p>
      <w:pPr>
        <w:spacing w:line="240" w:lineRule="auto" w:before="0"/>
        <w:ind w:left="193" w:right="608" w:firstLine="710"/>
        <w:jc w:val="both"/>
        <w:rPr>
          <w:i/>
          <w:sz w:val="28"/>
        </w:rPr>
      </w:pPr>
      <w:r>
        <w:rPr>
          <w:i/>
          <w:sz w:val="28"/>
        </w:rPr>
        <w:t>Проведен опыт на 3-х группах коров украинской молочной черно-пестрой </w:t>
      </w:r>
      <w:r>
        <w:rPr>
          <w:i/>
          <w:sz w:val="28"/>
        </w:rPr>
        <w:t>породы с продуктивностью предыдущей лактации 5,5-6 тыс. кг молока, по 7 животных</w:t>
      </w:r>
      <w:r>
        <w:rPr>
          <w:i/>
          <w:spacing w:val="-10"/>
          <w:sz w:val="28"/>
        </w:rPr>
        <w:t> </w:t>
      </w:r>
      <w:r>
        <w:rPr>
          <w:i/>
          <w:sz w:val="28"/>
        </w:rPr>
        <w:t>в</w:t>
      </w:r>
      <w:r>
        <w:rPr>
          <w:i/>
          <w:spacing w:val="-10"/>
          <w:sz w:val="28"/>
        </w:rPr>
        <w:t> </w:t>
      </w:r>
      <w:r>
        <w:rPr>
          <w:i/>
          <w:sz w:val="28"/>
        </w:rPr>
        <w:t>группе.</w:t>
      </w:r>
      <w:r>
        <w:rPr>
          <w:i/>
          <w:spacing w:val="-8"/>
          <w:sz w:val="28"/>
        </w:rPr>
        <w:t> </w:t>
      </w:r>
      <w:r>
        <w:rPr>
          <w:i/>
          <w:sz w:val="28"/>
        </w:rPr>
        <w:t>Цель</w:t>
      </w:r>
      <w:r>
        <w:rPr>
          <w:i/>
          <w:spacing w:val="-11"/>
          <w:sz w:val="28"/>
        </w:rPr>
        <w:t> </w:t>
      </w:r>
      <w:r>
        <w:rPr>
          <w:i/>
          <w:sz w:val="28"/>
        </w:rPr>
        <w:t>работы:</w:t>
      </w:r>
      <w:r>
        <w:rPr>
          <w:i/>
          <w:spacing w:val="-12"/>
          <w:sz w:val="28"/>
        </w:rPr>
        <w:t> </w:t>
      </w:r>
      <w:r>
        <w:rPr>
          <w:i/>
          <w:sz w:val="28"/>
        </w:rPr>
        <w:t>исследовать</w:t>
      </w:r>
      <w:r>
        <w:rPr>
          <w:i/>
          <w:spacing w:val="-12"/>
          <w:sz w:val="28"/>
        </w:rPr>
        <w:t> </w:t>
      </w:r>
      <w:r>
        <w:rPr>
          <w:i/>
          <w:sz w:val="28"/>
        </w:rPr>
        <w:t>влияние</w:t>
      </w:r>
      <w:r>
        <w:rPr>
          <w:i/>
          <w:spacing w:val="-9"/>
          <w:sz w:val="28"/>
        </w:rPr>
        <w:t> </w:t>
      </w:r>
      <w:r>
        <w:rPr>
          <w:i/>
          <w:sz w:val="28"/>
        </w:rPr>
        <w:t>введения</w:t>
      </w:r>
      <w:r>
        <w:rPr>
          <w:i/>
          <w:spacing w:val="-10"/>
          <w:sz w:val="28"/>
        </w:rPr>
        <w:t> </w:t>
      </w:r>
      <w:r>
        <w:rPr>
          <w:i/>
          <w:sz w:val="28"/>
        </w:rPr>
        <w:t>в</w:t>
      </w:r>
      <w:r>
        <w:rPr>
          <w:i/>
          <w:spacing w:val="-10"/>
          <w:sz w:val="28"/>
        </w:rPr>
        <w:t> </w:t>
      </w:r>
      <w:r>
        <w:rPr>
          <w:i/>
          <w:sz w:val="28"/>
        </w:rPr>
        <w:t>рацион</w:t>
      </w:r>
      <w:r>
        <w:rPr>
          <w:i/>
          <w:spacing w:val="-9"/>
          <w:sz w:val="28"/>
        </w:rPr>
        <w:t> </w:t>
      </w:r>
      <w:r>
        <w:rPr>
          <w:i/>
          <w:sz w:val="28"/>
        </w:rPr>
        <w:t>коров во время транзиторного периода пропиленгликоля который повышает количество пропионовой кислоты в рубце и СТА-холла которой влияет на липидный обмен, предотвращает жировую инфильтрацию печени и возникновения кетоза, на некоторые биохимические показатели плазмы крови коров.</w:t>
      </w:r>
      <w:r>
        <w:rPr>
          <w:i/>
          <w:spacing w:val="-13"/>
          <w:sz w:val="28"/>
        </w:rPr>
        <w:t> </w:t>
      </w:r>
      <w:r>
        <w:rPr>
          <w:i/>
          <w:sz w:val="28"/>
        </w:rPr>
        <w:t>Первая</w:t>
      </w:r>
      <w:r>
        <w:rPr>
          <w:i/>
          <w:spacing w:val="-16"/>
          <w:sz w:val="28"/>
        </w:rPr>
        <w:t> </w:t>
      </w:r>
      <w:r>
        <w:rPr>
          <w:i/>
          <w:sz w:val="28"/>
        </w:rPr>
        <w:t>контрольная,</w:t>
      </w:r>
      <w:r>
        <w:rPr>
          <w:i/>
          <w:spacing w:val="-12"/>
          <w:sz w:val="28"/>
        </w:rPr>
        <w:t> </w:t>
      </w:r>
      <w:r>
        <w:rPr>
          <w:i/>
          <w:sz w:val="28"/>
        </w:rPr>
        <w:t>коровы</w:t>
      </w:r>
      <w:r>
        <w:rPr>
          <w:i/>
          <w:spacing w:val="-16"/>
          <w:sz w:val="28"/>
        </w:rPr>
        <w:t> </w:t>
      </w:r>
      <w:r>
        <w:rPr>
          <w:i/>
          <w:sz w:val="28"/>
        </w:rPr>
        <w:t>которой</w:t>
      </w:r>
      <w:r>
        <w:rPr>
          <w:i/>
          <w:spacing w:val="-15"/>
          <w:sz w:val="28"/>
        </w:rPr>
        <w:t> </w:t>
      </w:r>
      <w:r>
        <w:rPr>
          <w:i/>
          <w:sz w:val="28"/>
        </w:rPr>
        <w:t>получали</w:t>
      </w:r>
      <w:r>
        <w:rPr>
          <w:i/>
          <w:spacing w:val="-14"/>
          <w:sz w:val="28"/>
        </w:rPr>
        <w:t> </w:t>
      </w:r>
      <w:r>
        <w:rPr>
          <w:i/>
          <w:sz w:val="28"/>
        </w:rPr>
        <w:t>обычный</w:t>
      </w:r>
      <w:r>
        <w:rPr>
          <w:i/>
          <w:spacing w:val="-10"/>
          <w:sz w:val="28"/>
        </w:rPr>
        <w:t> </w:t>
      </w:r>
      <w:r>
        <w:rPr>
          <w:i/>
          <w:sz w:val="28"/>
        </w:rPr>
        <w:t>рацион</w:t>
      </w:r>
      <w:r>
        <w:rPr>
          <w:i/>
          <w:spacing w:val="-14"/>
          <w:sz w:val="28"/>
        </w:rPr>
        <w:t> </w:t>
      </w:r>
      <w:r>
        <w:rPr>
          <w:i/>
          <w:sz w:val="28"/>
        </w:rPr>
        <w:t>который принят в хозяйстве, вторая (подопытная1) получала в рацион 150г пропиленгликоля</w:t>
      </w:r>
      <w:r>
        <w:rPr>
          <w:i/>
          <w:spacing w:val="-19"/>
          <w:sz w:val="28"/>
        </w:rPr>
        <w:t> </w:t>
      </w:r>
      <w:r>
        <w:rPr>
          <w:i/>
          <w:sz w:val="28"/>
        </w:rPr>
        <w:t>сухого</w:t>
      </w:r>
      <w:r>
        <w:rPr>
          <w:i/>
          <w:spacing w:val="-19"/>
          <w:sz w:val="28"/>
        </w:rPr>
        <w:t> </w:t>
      </w:r>
      <w:r>
        <w:rPr>
          <w:i/>
          <w:sz w:val="28"/>
        </w:rPr>
        <w:t>и</w:t>
      </w:r>
      <w:r>
        <w:rPr>
          <w:i/>
          <w:spacing w:val="-19"/>
          <w:sz w:val="28"/>
        </w:rPr>
        <w:t> </w:t>
      </w:r>
      <w:r>
        <w:rPr>
          <w:i/>
          <w:sz w:val="28"/>
        </w:rPr>
        <w:t>третья</w:t>
      </w:r>
      <w:r>
        <w:rPr>
          <w:i/>
          <w:spacing w:val="-19"/>
          <w:sz w:val="28"/>
        </w:rPr>
        <w:t> </w:t>
      </w:r>
      <w:r>
        <w:rPr>
          <w:i/>
          <w:sz w:val="28"/>
        </w:rPr>
        <w:t>группа</w:t>
      </w:r>
      <w:r>
        <w:rPr>
          <w:i/>
          <w:spacing w:val="-19"/>
          <w:sz w:val="28"/>
        </w:rPr>
        <w:t> </w:t>
      </w:r>
      <w:r>
        <w:rPr>
          <w:i/>
          <w:sz w:val="28"/>
        </w:rPr>
        <w:t>(подопытная</w:t>
      </w:r>
      <w:r>
        <w:rPr>
          <w:i/>
          <w:spacing w:val="-19"/>
          <w:sz w:val="28"/>
        </w:rPr>
        <w:t> </w:t>
      </w:r>
      <w:r>
        <w:rPr>
          <w:i/>
          <w:sz w:val="28"/>
        </w:rPr>
        <w:t>2),</w:t>
      </w:r>
      <w:r>
        <w:rPr>
          <w:i/>
          <w:spacing w:val="-17"/>
          <w:sz w:val="28"/>
        </w:rPr>
        <w:t> </w:t>
      </w:r>
      <w:r>
        <w:rPr>
          <w:i/>
          <w:sz w:val="28"/>
        </w:rPr>
        <w:t>кроме</w:t>
      </w:r>
      <w:r>
        <w:rPr>
          <w:i/>
          <w:spacing w:val="-18"/>
          <w:sz w:val="28"/>
        </w:rPr>
        <w:t> </w:t>
      </w:r>
      <w:r>
        <w:rPr>
          <w:i/>
          <w:sz w:val="28"/>
        </w:rPr>
        <w:t>пропиленгликоля сухого дополнительно получала 20 г кормовой добавки Ста-Холл. Добавление в рацион коров во время транзиторного периода пропиленгликоля и Ста-Хола способствует повышению концентрации глюкозы в крови. Происходит снижение</w:t>
      </w:r>
      <w:r>
        <w:rPr>
          <w:i/>
          <w:spacing w:val="-17"/>
          <w:sz w:val="28"/>
        </w:rPr>
        <w:t> </w:t>
      </w:r>
      <w:r>
        <w:rPr>
          <w:i/>
          <w:sz w:val="28"/>
        </w:rPr>
        <w:t>содержания</w:t>
      </w:r>
      <w:r>
        <w:rPr>
          <w:i/>
          <w:spacing w:val="-18"/>
          <w:sz w:val="28"/>
        </w:rPr>
        <w:t> </w:t>
      </w:r>
      <w:r>
        <w:rPr>
          <w:i/>
          <w:sz w:val="28"/>
        </w:rPr>
        <w:t>триацилглицеролов</w:t>
      </w:r>
      <w:r>
        <w:rPr>
          <w:i/>
          <w:spacing w:val="-19"/>
          <w:sz w:val="28"/>
        </w:rPr>
        <w:t> </w:t>
      </w:r>
      <w:r>
        <w:rPr>
          <w:i/>
          <w:sz w:val="28"/>
        </w:rPr>
        <w:t>в</w:t>
      </w:r>
      <w:r>
        <w:rPr>
          <w:i/>
          <w:spacing w:val="-19"/>
          <w:sz w:val="28"/>
        </w:rPr>
        <w:t> </w:t>
      </w:r>
      <w:r>
        <w:rPr>
          <w:i/>
          <w:sz w:val="28"/>
        </w:rPr>
        <w:t>плазме</w:t>
      </w:r>
      <w:r>
        <w:rPr>
          <w:i/>
          <w:spacing w:val="-17"/>
          <w:sz w:val="28"/>
        </w:rPr>
        <w:t> </w:t>
      </w:r>
      <w:r>
        <w:rPr>
          <w:i/>
          <w:sz w:val="28"/>
        </w:rPr>
        <w:t>крови</w:t>
      </w:r>
      <w:r>
        <w:rPr>
          <w:i/>
          <w:spacing w:val="-18"/>
          <w:sz w:val="28"/>
        </w:rPr>
        <w:t> </w:t>
      </w:r>
      <w:r>
        <w:rPr>
          <w:i/>
          <w:sz w:val="28"/>
        </w:rPr>
        <w:t>на</w:t>
      </w:r>
      <w:r>
        <w:rPr>
          <w:i/>
          <w:spacing w:val="-17"/>
          <w:sz w:val="28"/>
        </w:rPr>
        <w:t> </w:t>
      </w:r>
      <w:r>
        <w:rPr>
          <w:i/>
          <w:sz w:val="28"/>
        </w:rPr>
        <w:t>26,7%</w:t>
      </w:r>
      <w:r>
        <w:rPr>
          <w:i/>
          <w:spacing w:val="-33"/>
          <w:sz w:val="28"/>
        </w:rPr>
        <w:t> </w:t>
      </w:r>
      <w:r>
        <w:rPr>
          <w:i/>
          <w:sz w:val="28"/>
        </w:rPr>
        <w:t>по</w:t>
      </w:r>
      <w:r>
        <w:rPr>
          <w:i/>
          <w:spacing w:val="-18"/>
          <w:sz w:val="28"/>
        </w:rPr>
        <w:t> </w:t>
      </w:r>
      <w:r>
        <w:rPr>
          <w:i/>
          <w:sz w:val="28"/>
        </w:rPr>
        <w:t>сравнению с контрольной и </w:t>
      </w:r>
      <w:r>
        <w:rPr>
          <w:i/>
          <w:spacing w:val="3"/>
          <w:sz w:val="28"/>
        </w:rPr>
        <w:t>23% </w:t>
      </w:r>
      <w:r>
        <w:rPr>
          <w:i/>
          <w:sz w:val="28"/>
        </w:rPr>
        <w:t>с первой опытной группами животных. Аналогичные данные получены и по такому показателю липидного обмена, как общий холестерол, которой был ниже во второй опытной группе животных на </w:t>
      </w:r>
      <w:r>
        <w:rPr>
          <w:i/>
          <w:spacing w:val="4"/>
          <w:sz w:val="28"/>
        </w:rPr>
        <w:t>9,9% </w:t>
      </w:r>
      <w:r>
        <w:rPr>
          <w:i/>
          <w:sz w:val="28"/>
        </w:rPr>
        <w:t>по сравнению с контрольной и на 8% по сравнению с первой опытной группами животных. Введение в рацион коров во время транзиторного периода пропиленгликоля и Ста-Хола способствовало снижению во второй</w:t>
      </w:r>
      <w:r>
        <w:rPr>
          <w:i/>
          <w:spacing w:val="-46"/>
          <w:sz w:val="28"/>
        </w:rPr>
        <w:t> </w:t>
      </w:r>
      <w:r>
        <w:rPr>
          <w:i/>
          <w:sz w:val="28"/>
        </w:rPr>
        <w:t>подопытной группе животных содержания β-гидроксибутирата (ВНВА) на </w:t>
      </w:r>
      <w:r>
        <w:rPr>
          <w:i/>
          <w:spacing w:val="2"/>
          <w:sz w:val="28"/>
        </w:rPr>
        <w:t>1,9% </w:t>
      </w:r>
      <w:r>
        <w:rPr>
          <w:i/>
          <w:sz w:val="28"/>
        </w:rPr>
        <w:t>ниже по сравнению с первой подопытной группой и на </w:t>
      </w:r>
      <w:r>
        <w:rPr>
          <w:i/>
          <w:spacing w:val="3"/>
          <w:sz w:val="28"/>
        </w:rPr>
        <w:t>64% </w:t>
      </w:r>
      <w:r>
        <w:rPr>
          <w:i/>
          <w:sz w:val="28"/>
        </w:rPr>
        <w:t>ниже контрольной группы коров и суммы кетоновых тел, по сравнению с первой подопытной и контрольной группами на </w:t>
      </w:r>
      <w:r>
        <w:rPr>
          <w:i/>
          <w:spacing w:val="2"/>
          <w:sz w:val="28"/>
        </w:rPr>
        <w:t>12,9% </w:t>
      </w:r>
      <w:r>
        <w:rPr>
          <w:i/>
          <w:sz w:val="28"/>
        </w:rPr>
        <w:t>и </w:t>
      </w:r>
      <w:r>
        <w:rPr>
          <w:i/>
          <w:spacing w:val="2"/>
          <w:sz w:val="28"/>
        </w:rPr>
        <w:t>64,6% </w:t>
      </w:r>
      <w:r>
        <w:rPr>
          <w:i/>
          <w:sz w:val="28"/>
        </w:rPr>
        <w:t>соответственно. В конце опыта альбуминовая</w:t>
      </w:r>
      <w:r>
        <w:rPr>
          <w:i/>
          <w:spacing w:val="-10"/>
          <w:sz w:val="28"/>
        </w:rPr>
        <w:t> </w:t>
      </w:r>
      <w:r>
        <w:rPr>
          <w:i/>
          <w:sz w:val="28"/>
        </w:rPr>
        <w:t>фракция</w:t>
      </w:r>
      <w:r>
        <w:rPr>
          <w:i/>
          <w:spacing w:val="-9"/>
          <w:sz w:val="28"/>
        </w:rPr>
        <w:t> </w:t>
      </w:r>
      <w:r>
        <w:rPr>
          <w:i/>
          <w:sz w:val="28"/>
        </w:rPr>
        <w:t>белков</w:t>
      </w:r>
      <w:r>
        <w:rPr>
          <w:i/>
          <w:spacing w:val="-9"/>
          <w:sz w:val="28"/>
        </w:rPr>
        <w:t> </w:t>
      </w:r>
      <w:r>
        <w:rPr>
          <w:i/>
          <w:sz w:val="28"/>
        </w:rPr>
        <w:t>сыворотки</w:t>
      </w:r>
      <w:r>
        <w:rPr>
          <w:i/>
          <w:spacing w:val="-8"/>
          <w:sz w:val="28"/>
        </w:rPr>
        <w:t> </w:t>
      </w:r>
      <w:r>
        <w:rPr>
          <w:i/>
          <w:sz w:val="28"/>
        </w:rPr>
        <w:t>крови</w:t>
      </w:r>
      <w:r>
        <w:rPr>
          <w:i/>
          <w:spacing w:val="-8"/>
          <w:sz w:val="28"/>
        </w:rPr>
        <w:t> </w:t>
      </w:r>
      <w:r>
        <w:rPr>
          <w:i/>
          <w:sz w:val="28"/>
        </w:rPr>
        <w:t>во</w:t>
      </w:r>
      <w:r>
        <w:rPr>
          <w:i/>
          <w:spacing w:val="-9"/>
          <w:sz w:val="28"/>
        </w:rPr>
        <w:t> </w:t>
      </w:r>
      <w:r>
        <w:rPr>
          <w:i/>
          <w:sz w:val="28"/>
        </w:rPr>
        <w:t>второй</w:t>
      </w:r>
      <w:r>
        <w:rPr>
          <w:i/>
          <w:spacing w:val="-8"/>
          <w:sz w:val="28"/>
        </w:rPr>
        <w:t> </w:t>
      </w:r>
      <w:r>
        <w:rPr>
          <w:i/>
          <w:sz w:val="28"/>
        </w:rPr>
        <w:t>опытной</w:t>
      </w:r>
      <w:r>
        <w:rPr>
          <w:i/>
          <w:spacing w:val="-8"/>
          <w:sz w:val="28"/>
        </w:rPr>
        <w:t> </w:t>
      </w:r>
      <w:r>
        <w:rPr>
          <w:i/>
          <w:sz w:val="28"/>
        </w:rPr>
        <w:t>группе</w:t>
      </w:r>
      <w:r>
        <w:rPr>
          <w:i/>
          <w:spacing w:val="-8"/>
          <w:sz w:val="28"/>
        </w:rPr>
        <w:t> </w:t>
      </w:r>
      <w:r>
        <w:rPr>
          <w:i/>
          <w:sz w:val="28"/>
        </w:rPr>
        <w:t>была</w:t>
      </w:r>
    </w:p>
    <w:p>
      <w:pPr>
        <w:spacing w:after="0" w:line="240" w:lineRule="auto"/>
        <w:jc w:val="both"/>
        <w:rPr>
          <w:sz w:val="28"/>
        </w:rPr>
        <w:sectPr>
          <w:pgSz w:w="11910" w:h="16840"/>
          <w:pgMar w:header="713" w:footer="778" w:top="1140" w:bottom="960" w:left="940" w:right="520"/>
        </w:sectPr>
      </w:pPr>
    </w:p>
    <w:p>
      <w:pPr>
        <w:spacing w:before="92"/>
        <w:ind w:left="193" w:right="618" w:firstLine="0"/>
        <w:jc w:val="both"/>
        <w:rPr>
          <w:i/>
          <w:sz w:val="28"/>
        </w:rPr>
      </w:pPr>
      <w:r>
        <w:rPr>
          <w:i/>
          <w:sz w:val="28"/>
        </w:rPr>
        <w:t>выше по сравнению с первой опытной и контрольной группами животных на </w:t>
      </w:r>
      <w:r>
        <w:rPr>
          <w:i/>
          <w:sz w:val="28"/>
        </w:rPr>
        <w:t>7,1% и </w:t>
      </w:r>
      <w:r>
        <w:rPr>
          <w:i/>
          <w:spacing w:val="2"/>
          <w:sz w:val="28"/>
        </w:rPr>
        <w:t>18,0%</w:t>
      </w:r>
      <w:r>
        <w:rPr>
          <w:i/>
          <w:spacing w:val="-52"/>
          <w:sz w:val="28"/>
        </w:rPr>
        <w:t> </w:t>
      </w:r>
      <w:r>
        <w:rPr>
          <w:i/>
          <w:sz w:val="28"/>
        </w:rPr>
        <w:t>соответственно. Данный показатель отражает функциональное состояние печени, и свидетельствует о способствовании пропиленгликоля и СТА-хола в восстановлении ее белоксинтетической функции.</w:t>
      </w:r>
    </w:p>
    <w:p>
      <w:pPr>
        <w:spacing w:line="321" w:lineRule="exact" w:before="0"/>
        <w:ind w:left="903" w:right="0" w:firstLine="0"/>
        <w:jc w:val="both"/>
        <w:rPr>
          <w:i/>
          <w:sz w:val="28"/>
        </w:rPr>
      </w:pPr>
      <w:r>
        <w:rPr>
          <w:b/>
          <w:i/>
          <w:sz w:val="28"/>
        </w:rPr>
        <w:t>Ключевые слова: </w:t>
      </w:r>
      <w:r>
        <w:rPr>
          <w:i/>
          <w:sz w:val="28"/>
        </w:rPr>
        <w:t>коровы, пропиленгликоль, Ста-Хол, кетоновые тела.</w:t>
      </w:r>
    </w:p>
    <w:p>
      <w:pPr>
        <w:pStyle w:val="BodyText"/>
        <w:spacing w:before="8"/>
        <w:ind w:left="0"/>
        <w:jc w:val="left"/>
        <w:rPr>
          <w:i/>
        </w:rPr>
      </w:pPr>
    </w:p>
    <w:p>
      <w:pPr>
        <w:pStyle w:val="Heading1"/>
        <w:ind w:left="265" w:right="655" w:firstLine="912"/>
        <w:jc w:val="left"/>
      </w:pPr>
      <w:r>
        <w:rPr/>
        <w:t>INFLUENCE OF INTRODUCTION OF PROPYLENGLYCOL AND STA-HALL INTO THE DIET ON SOME BIOCHEMICAL INDICATORS OF</w:t>
      </w:r>
    </w:p>
    <w:p>
      <w:pPr>
        <w:spacing w:line="319" w:lineRule="exact" w:before="0"/>
        <w:ind w:left="3881" w:right="0" w:firstLine="0"/>
        <w:jc w:val="both"/>
        <w:rPr>
          <w:b/>
          <w:sz w:val="28"/>
        </w:rPr>
      </w:pPr>
      <w:r>
        <w:rPr>
          <w:b/>
          <w:sz w:val="28"/>
        </w:rPr>
        <w:t>BLOOD PLASMA</w:t>
      </w:r>
    </w:p>
    <w:p>
      <w:pPr>
        <w:pStyle w:val="BodyText"/>
        <w:spacing w:line="319" w:lineRule="exact"/>
        <w:ind w:left="4001"/>
      </w:pPr>
      <w:r>
        <w:rPr/>
        <w:t>Todorov M., Kushnir V.</w:t>
      </w:r>
    </w:p>
    <w:p>
      <w:pPr>
        <w:pStyle w:val="BodyText"/>
        <w:spacing w:before="1"/>
        <w:ind w:right="608" w:firstLine="710"/>
      </w:pPr>
      <w:r>
        <w:rPr/>
        <w:t>The</w:t>
      </w:r>
      <w:r>
        <w:rPr>
          <w:spacing w:val="-9"/>
        </w:rPr>
        <w:t> </w:t>
      </w:r>
      <w:r>
        <w:rPr/>
        <w:t>experiment</w:t>
      </w:r>
      <w:r>
        <w:rPr>
          <w:spacing w:val="-8"/>
        </w:rPr>
        <w:t> </w:t>
      </w:r>
      <w:r>
        <w:rPr/>
        <w:t>was</w:t>
      </w:r>
      <w:r>
        <w:rPr>
          <w:spacing w:val="-7"/>
        </w:rPr>
        <w:t> </w:t>
      </w:r>
      <w:r>
        <w:rPr/>
        <w:t>carried</w:t>
      </w:r>
      <w:r>
        <w:rPr>
          <w:spacing w:val="-8"/>
        </w:rPr>
        <w:t> </w:t>
      </w:r>
      <w:r>
        <w:rPr/>
        <w:t>out</w:t>
      </w:r>
      <w:r>
        <w:rPr>
          <w:spacing w:val="-9"/>
        </w:rPr>
        <w:t> </w:t>
      </w:r>
      <w:r>
        <w:rPr/>
        <w:t>on</w:t>
      </w:r>
      <w:r>
        <w:rPr>
          <w:spacing w:val="-12"/>
        </w:rPr>
        <w:t> </w:t>
      </w:r>
      <w:r>
        <w:rPr/>
        <w:t>3</w:t>
      </w:r>
      <w:r>
        <w:rPr>
          <w:spacing w:val="-8"/>
        </w:rPr>
        <w:t> </w:t>
      </w:r>
      <w:r>
        <w:rPr/>
        <w:t>groups</w:t>
      </w:r>
      <w:r>
        <w:rPr>
          <w:spacing w:val="-3"/>
        </w:rPr>
        <w:t> </w:t>
      </w:r>
      <w:r>
        <w:rPr/>
        <w:t>of</w:t>
      </w:r>
      <w:r>
        <w:rPr>
          <w:spacing w:val="-14"/>
        </w:rPr>
        <w:t> </w:t>
      </w:r>
      <w:r>
        <w:rPr/>
        <w:t>cows</w:t>
      </w:r>
      <w:r>
        <w:rPr>
          <w:spacing w:val="-7"/>
        </w:rPr>
        <w:t> </w:t>
      </w:r>
      <w:r>
        <w:rPr/>
        <w:t>of</w:t>
      </w:r>
      <w:r>
        <w:rPr>
          <w:spacing w:val="-14"/>
        </w:rPr>
        <w:t> </w:t>
      </w:r>
      <w:r>
        <w:rPr/>
        <w:t>the</w:t>
      </w:r>
      <w:r>
        <w:rPr>
          <w:spacing w:val="-8"/>
        </w:rPr>
        <w:t> </w:t>
      </w:r>
      <w:r>
        <w:rPr/>
        <w:t>Ukrainian</w:t>
      </w:r>
      <w:r>
        <w:rPr>
          <w:spacing w:val="-8"/>
        </w:rPr>
        <w:t> </w:t>
      </w:r>
      <w:r>
        <w:rPr/>
        <w:t>milk</w:t>
      </w:r>
      <w:r>
        <w:rPr>
          <w:spacing w:val="-8"/>
        </w:rPr>
        <w:t> </w:t>
      </w:r>
      <w:r>
        <w:rPr/>
        <w:t>dairy black-pockmarked breed with a productivity of 5.5-6 thousand kg of milk for the lactation period, 7 animals on each group. The purpose of our work </w:t>
      </w:r>
      <w:r>
        <w:rPr>
          <w:spacing w:val="-3"/>
        </w:rPr>
        <w:t>is </w:t>
      </w:r>
      <w:r>
        <w:rPr/>
        <w:t>to study the effect</w:t>
      </w:r>
      <w:r>
        <w:rPr>
          <w:spacing w:val="-16"/>
        </w:rPr>
        <w:t> </w:t>
      </w:r>
      <w:r>
        <w:rPr/>
        <w:t>of</w:t>
      </w:r>
      <w:r>
        <w:rPr>
          <w:spacing w:val="-20"/>
        </w:rPr>
        <w:t> </w:t>
      </w:r>
      <w:r>
        <w:rPr/>
        <w:t>adding</w:t>
      </w:r>
      <w:r>
        <w:rPr>
          <w:spacing w:val="-15"/>
        </w:rPr>
        <w:t> </w:t>
      </w:r>
      <w:r>
        <w:rPr/>
        <w:t>cows</w:t>
      </w:r>
      <w:r>
        <w:rPr>
          <w:spacing w:val="-12"/>
        </w:rPr>
        <w:t> </w:t>
      </w:r>
      <w:r>
        <w:rPr/>
        <w:t>to</w:t>
      </w:r>
      <w:r>
        <w:rPr>
          <w:spacing w:val="-15"/>
        </w:rPr>
        <w:t> </w:t>
      </w:r>
      <w:r>
        <w:rPr/>
        <w:t>the</w:t>
      </w:r>
      <w:r>
        <w:rPr>
          <w:spacing w:val="-15"/>
        </w:rPr>
        <w:t> </w:t>
      </w:r>
      <w:r>
        <w:rPr/>
        <w:t>diet</w:t>
      </w:r>
      <w:r>
        <w:rPr>
          <w:spacing w:val="-15"/>
        </w:rPr>
        <w:t> </w:t>
      </w:r>
      <w:r>
        <w:rPr/>
        <w:t>during</w:t>
      </w:r>
      <w:r>
        <w:rPr>
          <w:spacing w:val="-19"/>
        </w:rPr>
        <w:t> </w:t>
      </w:r>
      <w:r>
        <w:rPr/>
        <w:t>the</w:t>
      </w:r>
      <w:r>
        <w:rPr>
          <w:spacing w:val="-14"/>
        </w:rPr>
        <w:t> </w:t>
      </w:r>
      <w:r>
        <w:rPr/>
        <w:t>transition</w:t>
      </w:r>
      <w:r>
        <w:rPr>
          <w:spacing w:val="-20"/>
        </w:rPr>
        <w:t> </w:t>
      </w:r>
      <w:r>
        <w:rPr/>
        <w:t>period</w:t>
      </w:r>
      <w:r>
        <w:rPr>
          <w:spacing w:val="-15"/>
        </w:rPr>
        <w:t> </w:t>
      </w:r>
      <w:r>
        <w:rPr/>
        <w:t>of</w:t>
      </w:r>
      <w:r>
        <w:rPr>
          <w:spacing w:val="-21"/>
        </w:rPr>
        <w:t> </w:t>
      </w:r>
      <w:r>
        <w:rPr/>
        <w:t>propylene</w:t>
      </w:r>
      <w:r>
        <w:rPr>
          <w:spacing w:val="-9"/>
        </w:rPr>
        <w:t> </w:t>
      </w:r>
      <w:r>
        <w:rPr/>
        <w:t>glycol,</w:t>
      </w:r>
      <w:r>
        <w:rPr>
          <w:spacing w:val="-13"/>
        </w:rPr>
        <w:t> </w:t>
      </w:r>
      <w:r>
        <w:rPr/>
        <w:t>which increases the amount of propionic acid in the rumen and whose STA-Hall affects</w:t>
      </w:r>
      <w:r>
        <w:rPr>
          <w:spacing w:val="-49"/>
        </w:rPr>
        <w:t> </w:t>
      </w:r>
      <w:r>
        <w:rPr/>
        <w:t>lipid metabolism, prevents fatty liver and ketosis. The first control, the cows of which received the usual diet, which was accepted on the farm, the second (experimental 1) received</w:t>
      </w:r>
      <w:r>
        <w:rPr>
          <w:spacing w:val="-8"/>
        </w:rPr>
        <w:t> </w:t>
      </w:r>
      <w:r>
        <w:rPr/>
        <w:t>150</w:t>
      </w:r>
      <w:r>
        <w:rPr>
          <w:spacing w:val="-6"/>
        </w:rPr>
        <w:t> </w:t>
      </w:r>
      <w:r>
        <w:rPr/>
        <w:t>g</w:t>
      </w:r>
      <w:r>
        <w:rPr>
          <w:spacing w:val="-15"/>
        </w:rPr>
        <w:t> </w:t>
      </w:r>
      <w:r>
        <w:rPr/>
        <w:t>of</w:t>
      </w:r>
      <w:r>
        <w:rPr>
          <w:spacing w:val="-13"/>
        </w:rPr>
        <w:t> </w:t>
      </w:r>
      <w:r>
        <w:rPr/>
        <w:t>dry</w:t>
      </w:r>
      <w:r>
        <w:rPr>
          <w:spacing w:val="-11"/>
        </w:rPr>
        <w:t> </w:t>
      </w:r>
      <w:r>
        <w:rPr/>
        <w:t>propylene</w:t>
      </w:r>
      <w:r>
        <w:rPr>
          <w:spacing w:val="-6"/>
        </w:rPr>
        <w:t> </w:t>
      </w:r>
      <w:r>
        <w:rPr/>
        <w:t>glycol</w:t>
      </w:r>
      <w:r>
        <w:rPr>
          <w:spacing w:val="-7"/>
        </w:rPr>
        <w:t> </w:t>
      </w:r>
      <w:r>
        <w:rPr/>
        <w:t>in</w:t>
      </w:r>
      <w:r>
        <w:rPr>
          <w:spacing w:val="-16"/>
        </w:rPr>
        <w:t> </w:t>
      </w:r>
      <w:r>
        <w:rPr/>
        <w:t>the</w:t>
      </w:r>
      <w:r>
        <w:rPr>
          <w:spacing w:val="-9"/>
        </w:rPr>
        <w:t> </w:t>
      </w:r>
      <w:r>
        <w:rPr/>
        <w:t>diet</w:t>
      </w:r>
      <w:r>
        <w:rPr>
          <w:spacing w:val="-12"/>
        </w:rPr>
        <w:t> </w:t>
      </w:r>
      <w:r>
        <w:rPr/>
        <w:t>and</w:t>
      </w:r>
      <w:r>
        <w:rPr>
          <w:spacing w:val="-11"/>
        </w:rPr>
        <w:t> </w:t>
      </w:r>
      <w:r>
        <w:rPr/>
        <w:t>the</w:t>
      </w:r>
      <w:r>
        <w:rPr>
          <w:spacing w:val="-10"/>
        </w:rPr>
        <w:t> </w:t>
      </w:r>
      <w:r>
        <w:rPr/>
        <w:t>third</w:t>
      </w:r>
      <w:r>
        <w:rPr>
          <w:spacing w:val="-6"/>
        </w:rPr>
        <w:t> </w:t>
      </w:r>
      <w:r>
        <w:rPr/>
        <w:t>group</w:t>
      </w:r>
      <w:r>
        <w:rPr>
          <w:spacing w:val="-6"/>
        </w:rPr>
        <w:t> </w:t>
      </w:r>
      <w:r>
        <w:rPr/>
        <w:t>(experimental</w:t>
      </w:r>
      <w:r>
        <w:rPr>
          <w:spacing w:val="-16"/>
        </w:rPr>
        <w:t> </w:t>
      </w:r>
      <w:r>
        <w:rPr/>
        <w:t>2), in</w:t>
      </w:r>
      <w:r>
        <w:rPr>
          <w:spacing w:val="-23"/>
        </w:rPr>
        <w:t> </w:t>
      </w:r>
      <w:r>
        <w:rPr/>
        <w:t>addition</w:t>
      </w:r>
      <w:r>
        <w:rPr>
          <w:spacing w:val="-22"/>
        </w:rPr>
        <w:t> </w:t>
      </w:r>
      <w:r>
        <w:rPr/>
        <w:t>to</w:t>
      </w:r>
      <w:r>
        <w:rPr>
          <w:spacing w:val="-17"/>
        </w:rPr>
        <w:t> </w:t>
      </w:r>
      <w:r>
        <w:rPr/>
        <w:t>dry</w:t>
      </w:r>
      <w:r>
        <w:rPr>
          <w:spacing w:val="-22"/>
        </w:rPr>
        <w:t> </w:t>
      </w:r>
      <w:r>
        <w:rPr/>
        <w:t>propylene</w:t>
      </w:r>
      <w:r>
        <w:rPr>
          <w:spacing w:val="-16"/>
        </w:rPr>
        <w:t> </w:t>
      </w:r>
      <w:r>
        <w:rPr/>
        <w:t>glycol,</w:t>
      </w:r>
      <w:r>
        <w:rPr>
          <w:spacing w:val="-16"/>
        </w:rPr>
        <w:t> </w:t>
      </w:r>
      <w:r>
        <w:rPr/>
        <w:t>additionally</w:t>
      </w:r>
      <w:r>
        <w:rPr>
          <w:spacing w:val="-22"/>
        </w:rPr>
        <w:t> </w:t>
      </w:r>
      <w:r>
        <w:rPr/>
        <w:t>received</w:t>
      </w:r>
      <w:r>
        <w:rPr>
          <w:spacing w:val="-17"/>
        </w:rPr>
        <w:t> </w:t>
      </w:r>
      <w:r>
        <w:rPr/>
        <w:t>20</w:t>
      </w:r>
      <w:r>
        <w:rPr>
          <w:spacing w:val="-18"/>
        </w:rPr>
        <w:t> </w:t>
      </w:r>
      <w:r>
        <w:rPr/>
        <w:t>g</w:t>
      </w:r>
      <w:r>
        <w:rPr>
          <w:spacing w:val="-22"/>
        </w:rPr>
        <w:t> </w:t>
      </w:r>
      <w:r>
        <w:rPr/>
        <w:t>of</w:t>
      </w:r>
      <w:r>
        <w:rPr>
          <w:spacing w:val="-23"/>
        </w:rPr>
        <w:t> </w:t>
      </w:r>
      <w:r>
        <w:rPr/>
        <w:t>Sta-Hall</w:t>
      </w:r>
      <w:r>
        <w:rPr>
          <w:spacing w:val="-18"/>
        </w:rPr>
        <w:t> </w:t>
      </w:r>
      <w:r>
        <w:rPr/>
        <w:t>feed</w:t>
      </w:r>
      <w:r>
        <w:rPr>
          <w:spacing w:val="-17"/>
        </w:rPr>
        <w:t> </w:t>
      </w:r>
      <w:r>
        <w:rPr/>
        <w:t>additive. The experiment continued during the transition period (three weeks before and three weeks after the calving). The addition of propylene glycol and Sta-Hol to the diet of cows during the transition period helps to increase the concentration of glucose in the blood. There </w:t>
      </w:r>
      <w:r>
        <w:rPr>
          <w:spacing w:val="-3"/>
        </w:rPr>
        <w:t>is </w:t>
      </w:r>
      <w:r>
        <w:rPr/>
        <w:t>a decrease in the content of triacylglycerols in blood plasma by 26.7% compared with the control and 23% with the first experimental groups of animals. Similar datas were obtained on such </w:t>
      </w:r>
      <w:r>
        <w:rPr>
          <w:spacing w:val="2"/>
        </w:rPr>
        <w:t>an </w:t>
      </w:r>
      <w:r>
        <w:rPr/>
        <w:t>indicator of lipid metabolism as total cholesterol, which was lower in the second experimental group of animals by 9.9% compared with the control and 8% compared with the first experimental groups of animals.</w:t>
      </w:r>
      <w:r>
        <w:rPr>
          <w:spacing w:val="-5"/>
        </w:rPr>
        <w:t> </w:t>
      </w:r>
      <w:r>
        <w:rPr>
          <w:spacing w:val="-3"/>
        </w:rPr>
        <w:t>The</w:t>
      </w:r>
      <w:r>
        <w:rPr>
          <w:spacing w:val="-6"/>
        </w:rPr>
        <w:t> </w:t>
      </w:r>
      <w:r>
        <w:rPr/>
        <w:t>introduction</w:t>
      </w:r>
      <w:r>
        <w:rPr>
          <w:spacing w:val="-12"/>
        </w:rPr>
        <w:t> </w:t>
      </w:r>
      <w:r>
        <w:rPr/>
        <w:t>of</w:t>
      </w:r>
      <w:r>
        <w:rPr>
          <w:spacing w:val="-13"/>
        </w:rPr>
        <w:t> </w:t>
      </w:r>
      <w:r>
        <w:rPr/>
        <w:t>propylene</w:t>
      </w:r>
      <w:r>
        <w:rPr>
          <w:spacing w:val="-6"/>
        </w:rPr>
        <w:t> </w:t>
      </w:r>
      <w:r>
        <w:rPr/>
        <w:t>glycol</w:t>
      </w:r>
      <w:r>
        <w:rPr>
          <w:spacing w:val="-12"/>
        </w:rPr>
        <w:t> </w:t>
      </w:r>
      <w:r>
        <w:rPr/>
        <w:t>and</w:t>
      </w:r>
      <w:r>
        <w:rPr>
          <w:spacing w:val="-7"/>
        </w:rPr>
        <w:t> </w:t>
      </w:r>
      <w:r>
        <w:rPr/>
        <w:t>Sta-Hol</w:t>
      </w:r>
      <w:r>
        <w:rPr>
          <w:spacing w:val="-7"/>
        </w:rPr>
        <w:t> </w:t>
      </w:r>
      <w:r>
        <w:rPr/>
        <w:t>into</w:t>
      </w:r>
      <w:r>
        <w:rPr>
          <w:spacing w:val="-6"/>
        </w:rPr>
        <w:t> </w:t>
      </w:r>
      <w:r>
        <w:rPr/>
        <w:t>the</w:t>
      </w:r>
      <w:r>
        <w:rPr>
          <w:spacing w:val="-7"/>
        </w:rPr>
        <w:t> </w:t>
      </w:r>
      <w:r>
        <w:rPr/>
        <w:t>diet</w:t>
      </w:r>
      <w:r>
        <w:rPr>
          <w:spacing w:val="-7"/>
        </w:rPr>
        <w:t> </w:t>
      </w:r>
      <w:r>
        <w:rPr/>
        <w:t>of</w:t>
      </w:r>
      <w:r>
        <w:rPr>
          <w:spacing w:val="-13"/>
        </w:rPr>
        <w:t> </w:t>
      </w:r>
      <w:r>
        <w:rPr/>
        <w:t>cows</w:t>
      </w:r>
      <w:r>
        <w:rPr>
          <w:spacing w:val="-5"/>
        </w:rPr>
        <w:t> </w:t>
      </w:r>
      <w:r>
        <w:rPr/>
        <w:t>during the transitional period contributed to a decrease in the content of β-hydroxybutyrate (VNVA) in the second experimental group of animals by 1.9% lower compared to the first</w:t>
      </w:r>
      <w:r>
        <w:rPr>
          <w:spacing w:val="-13"/>
        </w:rPr>
        <w:t> </w:t>
      </w:r>
      <w:r>
        <w:rPr/>
        <w:t>experimental</w:t>
      </w:r>
      <w:r>
        <w:rPr>
          <w:spacing w:val="-12"/>
        </w:rPr>
        <w:t> </w:t>
      </w:r>
      <w:r>
        <w:rPr/>
        <w:t>group</w:t>
      </w:r>
      <w:r>
        <w:rPr>
          <w:spacing w:val="-12"/>
        </w:rPr>
        <w:t> </w:t>
      </w:r>
      <w:r>
        <w:rPr/>
        <w:t>and</w:t>
      </w:r>
      <w:r>
        <w:rPr>
          <w:spacing w:val="-11"/>
        </w:rPr>
        <w:t> </w:t>
      </w:r>
      <w:r>
        <w:rPr/>
        <w:t>64%</w:t>
      </w:r>
      <w:r>
        <w:rPr>
          <w:spacing w:val="-9"/>
        </w:rPr>
        <w:t> </w:t>
      </w:r>
      <w:r>
        <w:rPr/>
        <w:t>lower</w:t>
      </w:r>
      <w:r>
        <w:rPr>
          <w:spacing w:val="-13"/>
        </w:rPr>
        <w:t> </w:t>
      </w:r>
      <w:r>
        <w:rPr/>
        <w:t>than</w:t>
      </w:r>
      <w:r>
        <w:rPr>
          <w:spacing w:val="-17"/>
        </w:rPr>
        <w:t> </w:t>
      </w:r>
      <w:r>
        <w:rPr/>
        <w:t>the</w:t>
      </w:r>
      <w:r>
        <w:rPr>
          <w:spacing w:val="-10"/>
        </w:rPr>
        <w:t> </w:t>
      </w:r>
      <w:r>
        <w:rPr/>
        <w:t>control</w:t>
      </w:r>
      <w:r>
        <w:rPr>
          <w:spacing w:val="-13"/>
        </w:rPr>
        <w:t> </w:t>
      </w:r>
      <w:r>
        <w:rPr/>
        <w:t>group</w:t>
      </w:r>
      <w:r>
        <w:rPr>
          <w:spacing w:val="-11"/>
        </w:rPr>
        <w:t> </w:t>
      </w:r>
      <w:r>
        <w:rPr/>
        <w:t>of</w:t>
      </w:r>
      <w:r>
        <w:rPr>
          <w:spacing w:val="-18"/>
        </w:rPr>
        <w:t> </w:t>
      </w:r>
      <w:r>
        <w:rPr/>
        <w:t>cows</w:t>
      </w:r>
      <w:r>
        <w:rPr>
          <w:spacing w:val="-10"/>
        </w:rPr>
        <w:t> </w:t>
      </w:r>
      <w:r>
        <w:rPr/>
        <w:t>and</w:t>
      </w:r>
      <w:r>
        <w:rPr>
          <w:spacing w:val="-11"/>
        </w:rPr>
        <w:t> </w:t>
      </w:r>
      <w:r>
        <w:rPr/>
        <w:t>the</w:t>
      </w:r>
      <w:r>
        <w:rPr>
          <w:spacing w:val="-11"/>
        </w:rPr>
        <w:t> </w:t>
      </w:r>
      <w:r>
        <w:rPr/>
        <w:t>amount of ketone bodies, compared with the first experimental and control groups by 12.9% and 64.6%, respectively.At the end of the experiment, the albumin fraction of blood serum proteins in the second experimental group was higher in comparison with the first</w:t>
      </w:r>
      <w:r>
        <w:rPr>
          <w:spacing w:val="-16"/>
        </w:rPr>
        <w:t> </w:t>
      </w:r>
      <w:r>
        <w:rPr/>
        <w:t>experimental</w:t>
      </w:r>
      <w:r>
        <w:rPr>
          <w:spacing w:val="-21"/>
        </w:rPr>
        <w:t> </w:t>
      </w:r>
      <w:r>
        <w:rPr/>
        <w:t>and</w:t>
      </w:r>
      <w:r>
        <w:rPr>
          <w:spacing w:val="-16"/>
        </w:rPr>
        <w:t> </w:t>
      </w:r>
      <w:r>
        <w:rPr/>
        <w:t>control</w:t>
      </w:r>
      <w:r>
        <w:rPr>
          <w:spacing w:val="-16"/>
        </w:rPr>
        <w:t> </w:t>
      </w:r>
      <w:r>
        <w:rPr/>
        <w:t>groups</w:t>
      </w:r>
      <w:r>
        <w:rPr>
          <w:spacing w:val="-14"/>
        </w:rPr>
        <w:t> </w:t>
      </w:r>
      <w:r>
        <w:rPr/>
        <w:t>of</w:t>
      </w:r>
      <w:r>
        <w:rPr>
          <w:spacing w:val="-21"/>
        </w:rPr>
        <w:t> </w:t>
      </w:r>
      <w:r>
        <w:rPr/>
        <w:t>animals</w:t>
      </w:r>
      <w:r>
        <w:rPr>
          <w:spacing w:val="-14"/>
        </w:rPr>
        <w:t> </w:t>
      </w:r>
      <w:r>
        <w:rPr/>
        <w:t>by</w:t>
      </w:r>
      <w:r>
        <w:rPr>
          <w:spacing w:val="-21"/>
        </w:rPr>
        <w:t> </w:t>
      </w:r>
      <w:r>
        <w:rPr/>
        <w:t>7.1%</w:t>
      </w:r>
      <w:r>
        <w:rPr>
          <w:spacing w:val="-16"/>
        </w:rPr>
        <w:t> </w:t>
      </w:r>
      <w:r>
        <w:rPr/>
        <w:t>and</w:t>
      </w:r>
      <w:r>
        <w:rPr>
          <w:spacing w:val="-16"/>
        </w:rPr>
        <w:t> </w:t>
      </w:r>
      <w:r>
        <w:rPr/>
        <w:t>18.0%,</w:t>
      </w:r>
      <w:r>
        <w:rPr>
          <w:spacing w:val="-14"/>
        </w:rPr>
        <w:t> </w:t>
      </w:r>
      <w:r>
        <w:rPr/>
        <w:t>respectively.</w:t>
      </w:r>
      <w:r>
        <w:rPr>
          <w:spacing w:val="-14"/>
        </w:rPr>
        <w:t> </w:t>
      </w:r>
      <w:r>
        <w:rPr/>
        <w:t>This indicator reflects the functional state of the liver, and indicates the contribution of propylene glycol and STA-hol in the restoration of its protein synthesizing</w:t>
      </w:r>
      <w:r>
        <w:rPr>
          <w:spacing w:val="-35"/>
        </w:rPr>
        <w:t> </w:t>
      </w:r>
      <w:r>
        <w:rPr/>
        <w:t>function.</w:t>
      </w:r>
    </w:p>
    <w:p>
      <w:pPr>
        <w:spacing w:before="1"/>
        <w:ind w:left="903" w:right="0" w:firstLine="0"/>
        <w:jc w:val="both"/>
        <w:rPr>
          <w:i/>
          <w:sz w:val="28"/>
        </w:rPr>
      </w:pPr>
      <w:r>
        <w:rPr>
          <w:b/>
          <w:i/>
          <w:sz w:val="28"/>
        </w:rPr>
        <w:t>Key words: </w:t>
      </w:r>
      <w:r>
        <w:rPr>
          <w:i/>
          <w:sz w:val="28"/>
        </w:rPr>
        <w:t>cows, propyleneglycol, Sta-HOL, ketone bodies.</w:t>
      </w:r>
    </w:p>
    <w:p>
      <w:pPr>
        <w:spacing w:after="0"/>
        <w:jc w:val="both"/>
        <w:rPr>
          <w:sz w:val="28"/>
        </w:rPr>
        <w:sectPr>
          <w:pgSz w:w="11910" w:h="16840"/>
          <w:pgMar w:header="713" w:footer="778" w:top="1140" w:bottom="960" w:left="940" w:right="520"/>
        </w:sectPr>
      </w:pPr>
    </w:p>
    <w:p>
      <w:pPr>
        <w:pStyle w:val="Heading1"/>
        <w:spacing w:before="96"/>
        <w:ind w:left="753"/>
      </w:pPr>
      <w:r>
        <w:rPr/>
        <w:t>СІЛЬСЬКОГОСПОДАРСЬКІ НАУКИ</w:t>
      </w:r>
    </w:p>
    <w:p>
      <w:pPr>
        <w:pStyle w:val="BodyText"/>
        <w:spacing w:before="5"/>
        <w:ind w:left="0"/>
        <w:jc w:val="left"/>
        <w:rPr>
          <w:b/>
          <w:sz w:val="27"/>
        </w:rPr>
      </w:pPr>
    </w:p>
    <w:p>
      <w:pPr>
        <w:tabs>
          <w:tab w:pos="5859" w:val="left" w:leader="none"/>
        </w:tabs>
        <w:spacing w:line="650" w:lineRule="atLeast" w:before="0"/>
        <w:ind w:left="774" w:right="634" w:hanging="15"/>
        <w:jc w:val="left"/>
        <w:rPr>
          <w:b/>
          <w:sz w:val="28"/>
        </w:rPr>
      </w:pPr>
      <w:r>
        <w:rPr>
          <w:b/>
          <w:sz w:val="28"/>
        </w:rPr>
        <w:t>УДК</w:t>
      </w:r>
      <w:r>
        <w:rPr>
          <w:b/>
          <w:spacing w:val="-2"/>
          <w:sz w:val="28"/>
        </w:rPr>
        <w:t> </w:t>
      </w:r>
      <w:r>
        <w:rPr>
          <w:b/>
          <w:sz w:val="28"/>
        </w:rPr>
        <w:t>644.4.084/27</w:t>
        <w:tab/>
        <w:t>DOI: 10.37000/abbsl.2020.96.07 ВПЛИВ СУСПЕНЗІЇ ХЛОРЕЛИ НА ПРОДУКТИВНІСТЬ ТА</w:t>
      </w:r>
      <w:r>
        <w:rPr>
          <w:b/>
          <w:spacing w:val="-31"/>
          <w:sz w:val="28"/>
        </w:rPr>
        <w:t> </w:t>
      </w:r>
      <w:r>
        <w:rPr>
          <w:b/>
          <w:sz w:val="28"/>
        </w:rPr>
        <w:t>ЯКІСТЬ</w:t>
      </w:r>
    </w:p>
    <w:p>
      <w:pPr>
        <w:spacing w:line="318" w:lineRule="exact" w:before="0"/>
        <w:ind w:left="181" w:right="603" w:firstLine="0"/>
        <w:jc w:val="center"/>
        <w:rPr>
          <w:b/>
          <w:sz w:val="28"/>
        </w:rPr>
      </w:pPr>
      <w:r>
        <w:rPr>
          <w:b/>
          <w:sz w:val="28"/>
        </w:rPr>
        <w:t>М'ЯСА СВИНЕЙ, ЩО ЗНАХОДЯТЬСЯ НА ВІДГОДІВЛІ</w:t>
      </w:r>
    </w:p>
    <w:p>
      <w:pPr>
        <w:spacing w:line="319" w:lineRule="exact" w:before="0"/>
        <w:ind w:left="745" w:right="603" w:firstLine="0"/>
        <w:jc w:val="center"/>
        <w:rPr>
          <w:b/>
          <w:sz w:val="28"/>
        </w:rPr>
      </w:pPr>
      <w:r>
        <w:rPr>
          <w:b/>
          <w:sz w:val="28"/>
        </w:rPr>
        <w:t>О. Карунський</w:t>
      </w:r>
      <w:r>
        <w:rPr>
          <w:sz w:val="28"/>
        </w:rPr>
        <w:t>, </w:t>
      </w:r>
      <w:r>
        <w:rPr>
          <w:b/>
          <w:sz w:val="28"/>
        </w:rPr>
        <w:t>Т. Воронюк</w:t>
      </w:r>
    </w:p>
    <w:p>
      <w:pPr>
        <w:spacing w:before="0"/>
        <w:ind w:left="742" w:right="603" w:firstLine="0"/>
        <w:jc w:val="center"/>
        <w:rPr>
          <w:i/>
          <w:sz w:val="28"/>
        </w:rPr>
      </w:pPr>
      <w:r>
        <w:rPr>
          <w:i/>
          <w:sz w:val="28"/>
        </w:rPr>
        <w:t>Одеський державний аграрний університет</w:t>
      </w:r>
    </w:p>
    <w:p>
      <w:pPr>
        <w:pStyle w:val="BodyText"/>
        <w:spacing w:before="11"/>
        <w:ind w:left="0"/>
        <w:jc w:val="left"/>
        <w:rPr>
          <w:i/>
          <w:sz w:val="27"/>
        </w:rPr>
      </w:pPr>
    </w:p>
    <w:p>
      <w:pPr>
        <w:spacing w:line="240" w:lineRule="auto" w:before="0"/>
        <w:ind w:left="193" w:right="611" w:firstLine="710"/>
        <w:jc w:val="both"/>
        <w:rPr>
          <w:i/>
          <w:sz w:val="28"/>
        </w:rPr>
      </w:pPr>
      <w:r>
        <w:rPr>
          <w:i/>
          <w:sz w:val="28"/>
        </w:rPr>
        <w:t>В сучасних умовах вирощування високопродуктивних тварин майже </w:t>
      </w:r>
      <w:r>
        <w:rPr>
          <w:i/>
          <w:sz w:val="28"/>
        </w:rPr>
        <w:t>неможливо уявити їх годівлю без використання кормових добавок. Кормові добавки багаті на вітаміни, мінерали, білки, жири необхідні для росту і розвитку тварин, дають можливість скорочувати період зростання, підвищувати продуктивність і економічну ефективність. У статті розглядається питання, щодо впливу суспензії хлорели на продуктивність та якість м’яса свиней, що знаходяться на відгодівлі. Були проведені усі необхідні дослідження, які показали, що використання суспензії хлорели в раціонах</w:t>
      </w:r>
      <w:r>
        <w:rPr>
          <w:i/>
          <w:spacing w:val="-50"/>
          <w:sz w:val="28"/>
        </w:rPr>
        <w:t> </w:t>
      </w:r>
      <w:r>
        <w:rPr>
          <w:i/>
          <w:sz w:val="28"/>
        </w:rPr>
        <w:t>свиней на відгодівлі не впливає негативно на якість м’яса та сприяє збільшенню середньодобових приростів</w:t>
      </w:r>
      <w:r>
        <w:rPr>
          <w:i/>
          <w:spacing w:val="1"/>
          <w:sz w:val="28"/>
        </w:rPr>
        <w:t> </w:t>
      </w:r>
      <w:r>
        <w:rPr>
          <w:i/>
          <w:sz w:val="28"/>
        </w:rPr>
        <w:t>тварин.</w:t>
      </w:r>
    </w:p>
    <w:p>
      <w:pPr>
        <w:spacing w:before="1"/>
        <w:ind w:left="193" w:right="623" w:firstLine="710"/>
        <w:jc w:val="both"/>
        <w:rPr>
          <w:i/>
          <w:sz w:val="28"/>
        </w:rPr>
      </w:pPr>
      <w:r>
        <w:rPr>
          <w:b/>
          <w:i/>
          <w:sz w:val="28"/>
        </w:rPr>
        <w:t>Ключові слова: </w:t>
      </w:r>
      <w:r>
        <w:rPr>
          <w:i/>
          <w:sz w:val="28"/>
        </w:rPr>
        <w:t>суспензія хлорели, годівля, якість м’яса, продуктивність, </w:t>
      </w:r>
      <w:r>
        <w:rPr>
          <w:i/>
          <w:sz w:val="28"/>
        </w:rPr>
        <w:t>добавка.</w:t>
      </w:r>
    </w:p>
    <w:p>
      <w:pPr>
        <w:pStyle w:val="BodyText"/>
        <w:spacing w:before="11"/>
        <w:ind w:left="0"/>
        <w:jc w:val="left"/>
        <w:rPr>
          <w:i/>
          <w:sz w:val="27"/>
        </w:rPr>
      </w:pPr>
    </w:p>
    <w:p>
      <w:pPr>
        <w:pStyle w:val="BodyText"/>
        <w:ind w:right="614" w:firstLine="710"/>
      </w:pPr>
      <w:r>
        <w:rPr>
          <w:b/>
        </w:rPr>
        <w:t>Вступ. </w:t>
      </w:r>
      <w:r>
        <w:rPr/>
        <w:t>Тварини постійно витрачають енергію і поживні речовини на підтримання життєдіяльності і утворення продукції. Тому їх організм потребує безперервного відновлення цих витрат за рахунок поживних речовин, що надходять</w:t>
      </w:r>
      <w:r>
        <w:rPr>
          <w:spacing w:val="-17"/>
        </w:rPr>
        <w:t> </w:t>
      </w:r>
      <w:r>
        <w:rPr/>
        <w:t>з</w:t>
      </w:r>
      <w:r>
        <w:rPr>
          <w:spacing w:val="-15"/>
        </w:rPr>
        <w:t> </w:t>
      </w:r>
      <w:r>
        <w:rPr/>
        <w:t>кормами.</w:t>
      </w:r>
      <w:r>
        <w:rPr>
          <w:spacing w:val="-11"/>
        </w:rPr>
        <w:t> </w:t>
      </w:r>
      <w:r>
        <w:rPr/>
        <w:t>Висока</w:t>
      </w:r>
      <w:r>
        <w:rPr>
          <w:spacing w:val="-14"/>
        </w:rPr>
        <w:t> </w:t>
      </w:r>
      <w:r>
        <w:rPr/>
        <w:t>продуктивність</w:t>
      </w:r>
      <w:r>
        <w:rPr>
          <w:spacing w:val="-13"/>
        </w:rPr>
        <w:t> </w:t>
      </w:r>
      <w:r>
        <w:rPr/>
        <w:t>тварин,</w:t>
      </w:r>
      <w:r>
        <w:rPr>
          <w:spacing w:val="-14"/>
        </w:rPr>
        <w:t> </w:t>
      </w:r>
      <w:r>
        <w:rPr/>
        <w:t>ефективного</w:t>
      </w:r>
      <w:r>
        <w:rPr>
          <w:spacing w:val="-15"/>
        </w:rPr>
        <w:t> </w:t>
      </w:r>
      <w:r>
        <w:rPr/>
        <w:t>використання кормів в даний час неможливе без включення до раціону як природних так і хімічних кормових добавок, що забезпечують необхідний рівень біологічно повноцінної</w:t>
      </w:r>
      <w:r>
        <w:rPr>
          <w:spacing w:val="-5"/>
        </w:rPr>
        <w:t> </w:t>
      </w:r>
      <w:r>
        <w:rPr/>
        <w:t>годівлі.</w:t>
      </w:r>
    </w:p>
    <w:p>
      <w:pPr>
        <w:pStyle w:val="BodyText"/>
        <w:ind w:right="611" w:firstLine="710"/>
      </w:pPr>
      <w:r>
        <w:rPr/>
        <w:t>Більше п’ятдесяти років наука про годівлю сільськогосподарських тварин відпрацьовує методи використання різних біологічних і хімічних препаратів (добавок). Кормові добавки – це надважливі доповнення до раціону харчування тварин,</w:t>
      </w:r>
      <w:r>
        <w:rPr>
          <w:spacing w:val="-19"/>
        </w:rPr>
        <w:t> </w:t>
      </w:r>
      <w:r>
        <w:rPr/>
        <w:t>призначенні</w:t>
      </w:r>
      <w:r>
        <w:rPr>
          <w:spacing w:val="-24"/>
        </w:rPr>
        <w:t> </w:t>
      </w:r>
      <w:r>
        <w:rPr/>
        <w:t>для</w:t>
      </w:r>
      <w:r>
        <w:rPr>
          <w:spacing w:val="-17"/>
        </w:rPr>
        <w:t> </w:t>
      </w:r>
      <w:r>
        <w:rPr/>
        <w:t>збалансування</w:t>
      </w:r>
      <w:r>
        <w:rPr>
          <w:spacing w:val="-18"/>
        </w:rPr>
        <w:t> </w:t>
      </w:r>
      <w:r>
        <w:rPr/>
        <w:t>його</w:t>
      </w:r>
      <w:r>
        <w:rPr>
          <w:spacing w:val="-20"/>
        </w:rPr>
        <w:t> </w:t>
      </w:r>
      <w:r>
        <w:rPr/>
        <w:t>за</w:t>
      </w:r>
      <w:r>
        <w:rPr>
          <w:spacing w:val="-18"/>
        </w:rPr>
        <w:t> </w:t>
      </w:r>
      <w:r>
        <w:rPr/>
        <w:t>певними</w:t>
      </w:r>
      <w:r>
        <w:rPr>
          <w:spacing w:val="-20"/>
        </w:rPr>
        <w:t> </w:t>
      </w:r>
      <w:r>
        <w:rPr/>
        <w:t>поживними</w:t>
      </w:r>
      <w:r>
        <w:rPr>
          <w:spacing w:val="-20"/>
        </w:rPr>
        <w:t> </w:t>
      </w:r>
      <w:r>
        <w:rPr/>
        <w:t>елементами. Мета</w:t>
      </w:r>
      <w:r>
        <w:rPr>
          <w:spacing w:val="-18"/>
        </w:rPr>
        <w:t> </w:t>
      </w:r>
      <w:r>
        <w:rPr/>
        <w:t>–</w:t>
      </w:r>
      <w:r>
        <w:rPr>
          <w:spacing w:val="-18"/>
        </w:rPr>
        <w:t> </w:t>
      </w:r>
      <w:r>
        <w:rPr/>
        <w:t>збільшення</w:t>
      </w:r>
      <w:r>
        <w:rPr>
          <w:spacing w:val="-18"/>
        </w:rPr>
        <w:t> </w:t>
      </w:r>
      <w:r>
        <w:rPr/>
        <w:t>ефективності</w:t>
      </w:r>
      <w:r>
        <w:rPr>
          <w:spacing w:val="-24"/>
        </w:rPr>
        <w:t> </w:t>
      </w:r>
      <w:r>
        <w:rPr/>
        <w:t>застосування</w:t>
      </w:r>
      <w:r>
        <w:rPr>
          <w:spacing w:val="-18"/>
        </w:rPr>
        <w:t> </w:t>
      </w:r>
      <w:r>
        <w:rPr/>
        <w:t>поживних</w:t>
      </w:r>
      <w:r>
        <w:rPr>
          <w:spacing w:val="-19"/>
        </w:rPr>
        <w:t> </w:t>
      </w:r>
      <w:r>
        <w:rPr/>
        <w:t>речовин.</w:t>
      </w:r>
      <w:r>
        <w:rPr>
          <w:spacing w:val="-11"/>
        </w:rPr>
        <w:t> </w:t>
      </w:r>
      <w:r>
        <w:rPr/>
        <w:t>Використання кормових</w:t>
      </w:r>
      <w:r>
        <w:rPr>
          <w:spacing w:val="-13"/>
        </w:rPr>
        <w:t> </w:t>
      </w:r>
      <w:r>
        <w:rPr/>
        <w:t>добавок</w:t>
      </w:r>
      <w:r>
        <w:rPr>
          <w:spacing w:val="-8"/>
        </w:rPr>
        <w:t> </w:t>
      </w:r>
      <w:r>
        <w:rPr/>
        <w:t>в</w:t>
      </w:r>
      <w:r>
        <w:rPr>
          <w:spacing w:val="-10"/>
        </w:rPr>
        <w:t> </w:t>
      </w:r>
      <w:r>
        <w:rPr/>
        <w:t>тваринництві</w:t>
      </w:r>
      <w:r>
        <w:rPr>
          <w:spacing w:val="-13"/>
        </w:rPr>
        <w:t> </w:t>
      </w:r>
      <w:r>
        <w:rPr/>
        <w:t>складно</w:t>
      </w:r>
      <w:r>
        <w:rPr>
          <w:spacing w:val="-8"/>
        </w:rPr>
        <w:t> </w:t>
      </w:r>
      <w:r>
        <w:rPr/>
        <w:t>переоцінити,</w:t>
      </w:r>
      <w:r>
        <w:rPr>
          <w:spacing w:val="-5"/>
        </w:rPr>
        <w:t> </w:t>
      </w:r>
      <w:r>
        <w:rPr/>
        <w:t>так</w:t>
      </w:r>
      <w:r>
        <w:rPr>
          <w:spacing w:val="-9"/>
        </w:rPr>
        <w:t> </w:t>
      </w:r>
      <w:r>
        <w:rPr/>
        <w:t>як</w:t>
      </w:r>
      <w:r>
        <w:rPr>
          <w:spacing w:val="-8"/>
        </w:rPr>
        <w:t> </w:t>
      </w:r>
      <w:r>
        <w:rPr/>
        <w:t>вони</w:t>
      </w:r>
      <w:r>
        <w:rPr>
          <w:spacing w:val="-9"/>
        </w:rPr>
        <w:t> </w:t>
      </w:r>
      <w:r>
        <w:rPr/>
        <w:t>є</w:t>
      </w:r>
      <w:r>
        <w:rPr>
          <w:spacing w:val="-8"/>
        </w:rPr>
        <w:t> </w:t>
      </w:r>
      <w:r>
        <w:rPr/>
        <w:t>джерелами необхідних організму тварин вітамінів, мінералів, білків, жирів, енергетичних запасів, необхідних для росту і розвитку, дають можливість скорочувати період зростання, підвищувати продуктивність і економічну</w:t>
      </w:r>
      <w:r>
        <w:rPr>
          <w:spacing w:val="-7"/>
        </w:rPr>
        <w:t> </w:t>
      </w:r>
      <w:r>
        <w:rPr/>
        <w:t>ефективність.</w:t>
      </w:r>
    </w:p>
    <w:p>
      <w:pPr>
        <w:pStyle w:val="BodyText"/>
        <w:ind w:right="616" w:firstLine="710"/>
      </w:pPr>
      <w:r>
        <w:rPr/>
        <w:t>Свині – багатоплідні тварини з коротким циклом розмноження і високою енергією росту. Вони всеїдні і мають кишковий тип травлення. Особливості травлення і обміну поживних речовин у свиней зумовлюють необхідність більш вимогливого відношення до повноцінності їх годівлі. Вони добре використовують більшість поживних речовин кормів як рослинного, так</w:t>
      </w:r>
      <w:r>
        <w:rPr>
          <w:spacing w:val="58"/>
        </w:rPr>
        <w:t> </w:t>
      </w:r>
      <w:r>
        <w:rPr/>
        <w:t>і</w:t>
      </w:r>
    </w:p>
    <w:p>
      <w:pPr>
        <w:spacing w:after="0"/>
        <w:sectPr>
          <w:pgSz w:w="11910" w:h="16840"/>
          <w:pgMar w:header="713" w:footer="778" w:top="1140" w:bottom="960" w:left="940" w:right="520"/>
        </w:sectPr>
      </w:pPr>
    </w:p>
    <w:p>
      <w:pPr>
        <w:pStyle w:val="BodyText"/>
        <w:spacing w:before="92"/>
        <w:ind w:right="613"/>
      </w:pPr>
      <w:r>
        <w:rPr/>
        <w:t>тваринного походження, але на відміну від жуйних, особливо чутливі до</w:t>
      </w:r>
      <w:r>
        <w:rPr>
          <w:spacing w:val="-46"/>
        </w:rPr>
        <w:t> </w:t>
      </w:r>
      <w:r>
        <w:rPr/>
        <w:t>нестачі у раціонах незамінних амінокислот (лізину, метіоніну, цистину, триптофану та ін.),</w:t>
      </w:r>
      <w:r>
        <w:rPr>
          <w:spacing w:val="-3"/>
        </w:rPr>
        <w:t> </w:t>
      </w:r>
      <w:r>
        <w:rPr/>
        <w:t>вітамінів</w:t>
      </w:r>
      <w:r>
        <w:rPr>
          <w:spacing w:val="-6"/>
        </w:rPr>
        <w:t> </w:t>
      </w:r>
      <w:r>
        <w:rPr/>
        <w:t>групи</w:t>
      </w:r>
      <w:r>
        <w:rPr>
          <w:spacing w:val="-4"/>
        </w:rPr>
        <w:t> </w:t>
      </w:r>
      <w:r>
        <w:rPr/>
        <w:t>В,</w:t>
      </w:r>
      <w:r>
        <w:rPr>
          <w:spacing w:val="-3"/>
        </w:rPr>
        <w:t> </w:t>
      </w:r>
      <w:r>
        <w:rPr/>
        <w:t>оскільки</w:t>
      </w:r>
      <w:r>
        <w:rPr>
          <w:spacing w:val="-5"/>
        </w:rPr>
        <w:t> </w:t>
      </w:r>
      <w:r>
        <w:rPr/>
        <w:t>названі</w:t>
      </w:r>
      <w:r>
        <w:rPr>
          <w:spacing w:val="-9"/>
        </w:rPr>
        <w:t> </w:t>
      </w:r>
      <w:r>
        <w:rPr/>
        <w:t>речовини</w:t>
      </w:r>
      <w:r>
        <w:rPr>
          <w:spacing w:val="-5"/>
        </w:rPr>
        <w:t> </w:t>
      </w:r>
      <w:r>
        <w:rPr/>
        <w:t>у</w:t>
      </w:r>
      <w:r>
        <w:rPr>
          <w:spacing w:val="-9"/>
        </w:rPr>
        <w:t> </w:t>
      </w:r>
      <w:r>
        <w:rPr/>
        <w:t>їх</w:t>
      </w:r>
      <w:r>
        <w:rPr>
          <w:spacing w:val="-9"/>
        </w:rPr>
        <w:t> </w:t>
      </w:r>
      <w:r>
        <w:rPr/>
        <w:t>організмі</w:t>
      </w:r>
      <w:r>
        <w:rPr>
          <w:spacing w:val="-10"/>
        </w:rPr>
        <w:t> </w:t>
      </w:r>
      <w:r>
        <w:rPr/>
        <w:t>не</w:t>
      </w:r>
      <w:r>
        <w:rPr>
          <w:spacing w:val="-4"/>
        </w:rPr>
        <w:t> </w:t>
      </w:r>
      <w:r>
        <w:rPr/>
        <w:t>синтезуються і повинні надходити з кормами та</w:t>
      </w:r>
      <w:r>
        <w:rPr>
          <w:spacing w:val="-5"/>
        </w:rPr>
        <w:t> </w:t>
      </w:r>
      <w:r>
        <w:rPr/>
        <w:t>добавками.[1]</w:t>
      </w:r>
    </w:p>
    <w:p>
      <w:pPr>
        <w:pStyle w:val="BodyText"/>
        <w:ind w:right="613" w:firstLine="710"/>
      </w:pPr>
      <w:r>
        <w:rPr/>
        <w:t>При складанні раціонів для свиней на відгодівлі необхідно досліджувати корм, з врахуванням таких чинників як порода, вік, стать та енергія росту. Раціони повинні бути збалансовані як за протеїном, енергією, так і за амінокислотами, вітамінами та мікроелементами, які хоч і розраховуються в раціонах в міліграмах, але їх дефіцит може вплинути на метаболізм організму, використання корму та стан тварин.</w:t>
      </w:r>
    </w:p>
    <w:p>
      <w:pPr>
        <w:pStyle w:val="BodyText"/>
        <w:spacing w:before="2"/>
        <w:ind w:right="609" w:firstLine="710"/>
      </w:pPr>
      <w:r>
        <w:rPr/>
        <w:t>Особливу увагу необхідно приділяти забезпеченню інтенсивного росту свиней вітамінами і мінеральними речовинами, особливо вітамінами групи </w:t>
      </w:r>
      <w:r>
        <w:rPr>
          <w:spacing w:val="3"/>
        </w:rPr>
        <w:t>В</w:t>
      </w:r>
      <w:r>
        <w:rPr>
          <w:spacing w:val="3"/>
          <w:vertAlign w:val="subscript"/>
        </w:rPr>
        <w:t>1</w:t>
      </w:r>
      <w:r>
        <w:rPr>
          <w:spacing w:val="3"/>
          <w:vertAlign w:val="baseline"/>
        </w:rPr>
        <w:t>, </w:t>
      </w:r>
      <w:r>
        <w:rPr>
          <w:vertAlign w:val="baseline"/>
        </w:rPr>
        <w:t>так</w:t>
      </w:r>
      <w:r>
        <w:rPr>
          <w:spacing w:val="-11"/>
          <w:vertAlign w:val="baseline"/>
        </w:rPr>
        <w:t> </w:t>
      </w:r>
      <w:r>
        <w:rPr>
          <w:vertAlign w:val="baseline"/>
        </w:rPr>
        <w:t>як</w:t>
      </w:r>
      <w:r>
        <w:rPr>
          <w:spacing w:val="-6"/>
          <w:vertAlign w:val="baseline"/>
        </w:rPr>
        <w:t> </w:t>
      </w:r>
      <w:r>
        <w:rPr>
          <w:vertAlign w:val="baseline"/>
        </w:rPr>
        <w:t>їх</w:t>
      </w:r>
      <w:r>
        <w:rPr>
          <w:spacing w:val="-14"/>
          <w:vertAlign w:val="baseline"/>
        </w:rPr>
        <w:t> </w:t>
      </w:r>
      <w:r>
        <w:rPr>
          <w:vertAlign w:val="baseline"/>
        </w:rPr>
        <w:t>знаходження</w:t>
      </w:r>
      <w:r>
        <w:rPr>
          <w:spacing w:val="-9"/>
          <w:vertAlign w:val="baseline"/>
        </w:rPr>
        <w:t> </w:t>
      </w:r>
      <w:r>
        <w:rPr>
          <w:vertAlign w:val="baseline"/>
        </w:rPr>
        <w:t>в</w:t>
      </w:r>
      <w:r>
        <w:rPr>
          <w:spacing w:val="-11"/>
          <w:vertAlign w:val="baseline"/>
        </w:rPr>
        <w:t> </w:t>
      </w:r>
      <w:r>
        <w:rPr>
          <w:vertAlign w:val="baseline"/>
        </w:rPr>
        <w:t>рослинних</w:t>
      </w:r>
      <w:r>
        <w:rPr>
          <w:spacing w:val="-15"/>
          <w:vertAlign w:val="baseline"/>
        </w:rPr>
        <w:t> </w:t>
      </w:r>
      <w:r>
        <w:rPr>
          <w:vertAlign w:val="baseline"/>
        </w:rPr>
        <w:t>кормах</w:t>
      </w:r>
      <w:r>
        <w:rPr>
          <w:spacing w:val="-9"/>
          <w:vertAlign w:val="baseline"/>
        </w:rPr>
        <w:t> </w:t>
      </w:r>
      <w:r>
        <w:rPr>
          <w:vertAlign w:val="baseline"/>
        </w:rPr>
        <w:t>і</w:t>
      </w:r>
      <w:r>
        <w:rPr>
          <w:spacing w:val="-15"/>
          <w:vertAlign w:val="baseline"/>
        </w:rPr>
        <w:t> </w:t>
      </w:r>
      <w:r>
        <w:rPr>
          <w:vertAlign w:val="baseline"/>
        </w:rPr>
        <w:t>синтез</w:t>
      </w:r>
      <w:r>
        <w:rPr>
          <w:spacing w:val="-10"/>
          <w:vertAlign w:val="baseline"/>
        </w:rPr>
        <w:t> </w:t>
      </w:r>
      <w:r>
        <w:rPr>
          <w:vertAlign w:val="baseline"/>
        </w:rPr>
        <w:t>в</w:t>
      </w:r>
      <w:r>
        <w:rPr>
          <w:spacing w:val="-11"/>
          <w:vertAlign w:val="baseline"/>
        </w:rPr>
        <w:t> </w:t>
      </w:r>
      <w:r>
        <w:rPr>
          <w:vertAlign w:val="baseline"/>
        </w:rPr>
        <w:t>товстому</w:t>
      </w:r>
      <w:r>
        <w:rPr>
          <w:spacing w:val="-15"/>
          <w:vertAlign w:val="baseline"/>
        </w:rPr>
        <w:t> </w:t>
      </w:r>
      <w:r>
        <w:rPr>
          <w:vertAlign w:val="baseline"/>
        </w:rPr>
        <w:t>відділі</w:t>
      </w:r>
      <w:r>
        <w:rPr>
          <w:spacing w:val="-14"/>
          <w:vertAlign w:val="baseline"/>
        </w:rPr>
        <w:t> </w:t>
      </w:r>
      <w:r>
        <w:rPr>
          <w:vertAlign w:val="baseline"/>
        </w:rPr>
        <w:t>кишечника недостатній для забезпечення потреб тварин. Найбільш важливим являється вітамін В</w:t>
      </w:r>
      <w:r>
        <w:rPr>
          <w:vertAlign w:val="subscript"/>
        </w:rPr>
        <w:t>12</w:t>
      </w:r>
      <w:r>
        <w:rPr>
          <w:vertAlign w:val="baseline"/>
        </w:rPr>
        <w:t>, який відсутній в рослинних кормах і не синтезується в організмі свиней.</w:t>
      </w:r>
    </w:p>
    <w:p>
      <w:pPr>
        <w:pStyle w:val="BodyText"/>
        <w:ind w:right="609" w:firstLine="710"/>
      </w:pPr>
      <w:r>
        <w:rPr>
          <w:spacing w:val="-3"/>
        </w:rPr>
        <w:t>На</w:t>
      </w:r>
      <w:r>
        <w:rPr>
          <w:spacing w:val="-14"/>
        </w:rPr>
        <w:t> </w:t>
      </w:r>
      <w:r>
        <w:rPr/>
        <w:t>практиці</w:t>
      </w:r>
      <w:r>
        <w:rPr>
          <w:spacing w:val="-19"/>
        </w:rPr>
        <w:t> </w:t>
      </w:r>
      <w:r>
        <w:rPr/>
        <w:t>годівлі</w:t>
      </w:r>
      <w:r>
        <w:rPr>
          <w:spacing w:val="-19"/>
        </w:rPr>
        <w:t> </w:t>
      </w:r>
      <w:r>
        <w:rPr/>
        <w:t>використовують</w:t>
      </w:r>
      <w:r>
        <w:rPr>
          <w:spacing w:val="-17"/>
        </w:rPr>
        <w:t> </w:t>
      </w:r>
      <w:r>
        <w:rPr/>
        <w:t>кормові</w:t>
      </w:r>
      <w:r>
        <w:rPr>
          <w:spacing w:val="-19"/>
        </w:rPr>
        <w:t> </w:t>
      </w:r>
      <w:r>
        <w:rPr/>
        <w:t>добавки</w:t>
      </w:r>
      <w:r>
        <w:rPr>
          <w:spacing w:val="-14"/>
        </w:rPr>
        <w:t> </w:t>
      </w:r>
      <w:r>
        <w:rPr/>
        <w:t>та</w:t>
      </w:r>
      <w:r>
        <w:rPr>
          <w:spacing w:val="-14"/>
        </w:rPr>
        <w:t> </w:t>
      </w:r>
      <w:r>
        <w:rPr/>
        <w:t>біологічно</w:t>
      </w:r>
      <w:r>
        <w:rPr>
          <w:spacing w:val="-14"/>
        </w:rPr>
        <w:t> </w:t>
      </w:r>
      <w:r>
        <w:rPr/>
        <w:t>активні сполуки, які інтенсифікують процеси розщеплення поживних речовин раціону у шлунково-кишковому трактаті, підвищується їх перетравність та засвоєння продуктів гідролізу і сприяють підвищенню продуктивності тварин, але не завжди позитивно впливають на якість м’яса</w:t>
      </w:r>
      <w:r>
        <w:rPr>
          <w:spacing w:val="4"/>
        </w:rPr>
        <w:t> </w:t>
      </w:r>
      <w:r>
        <w:rPr/>
        <w:t>тварин.</w:t>
      </w:r>
    </w:p>
    <w:p>
      <w:pPr>
        <w:pStyle w:val="BodyText"/>
        <w:spacing w:before="1"/>
        <w:ind w:right="617" w:firstLine="710"/>
      </w:pPr>
      <w:r>
        <w:rPr/>
        <w:t>Аналіз наукової літератури показав, що сьогодні в годівлі сільськогосподарських тварин використовують чимало кормів та кормових добавок, з кожним днем кількість і різноманітність яких зростає. Серед них чільне місце посідають кормові добавки з мікроводорості хлорели. Сучасні дослідження українських вчених, щодо впливу хлорели, як кормової добавки в годівлі сільськогосподарських тварин не знайдена взагалі.</w:t>
      </w:r>
    </w:p>
    <w:p>
      <w:pPr>
        <w:pStyle w:val="BodyText"/>
        <w:ind w:right="607" w:firstLine="710"/>
      </w:pPr>
      <w:r>
        <w:rPr/>
        <w:t>Хлорела – одноклітинна зелена водорість, яка містить в своєму складі велику кількість вітамінів </w:t>
      </w:r>
      <w:r>
        <w:rPr>
          <w:spacing w:val="-3"/>
        </w:rPr>
        <w:t>(А, </w:t>
      </w:r>
      <w:r>
        <w:rPr/>
        <w:t>В</w:t>
      </w:r>
      <w:r>
        <w:rPr>
          <w:vertAlign w:val="subscript"/>
        </w:rPr>
        <w:t>1</w:t>
      </w:r>
      <w:r>
        <w:rPr>
          <w:vertAlign w:val="baseline"/>
        </w:rPr>
        <w:t>, В</w:t>
      </w:r>
      <w:r>
        <w:rPr>
          <w:vertAlign w:val="subscript"/>
        </w:rPr>
        <w:t>2</w:t>
      </w:r>
      <w:r>
        <w:rPr>
          <w:vertAlign w:val="baseline"/>
        </w:rPr>
        <w:t>, В</w:t>
      </w:r>
      <w:r>
        <w:rPr>
          <w:vertAlign w:val="subscript"/>
        </w:rPr>
        <w:t>3</w:t>
      </w:r>
      <w:r>
        <w:rPr>
          <w:vertAlign w:val="baseline"/>
        </w:rPr>
        <w:t>, В</w:t>
      </w:r>
      <w:r>
        <w:rPr>
          <w:vertAlign w:val="subscript"/>
        </w:rPr>
        <w:t>6</w:t>
      </w:r>
      <w:r>
        <w:rPr>
          <w:vertAlign w:val="baseline"/>
        </w:rPr>
        <w:t>, С, РР, Е, пантатенової кислоти, фолієвої кислоти, біотина), а також мікро- та макроелементи - магній, кобальт, цинк,</w:t>
      </w:r>
      <w:r>
        <w:rPr>
          <w:spacing w:val="-8"/>
          <w:vertAlign w:val="baseline"/>
        </w:rPr>
        <w:t> </w:t>
      </w:r>
      <w:r>
        <w:rPr>
          <w:vertAlign w:val="baseline"/>
        </w:rPr>
        <w:t>залізо,</w:t>
      </w:r>
      <w:r>
        <w:rPr>
          <w:spacing w:val="-7"/>
          <w:vertAlign w:val="baseline"/>
        </w:rPr>
        <w:t> </w:t>
      </w:r>
      <w:r>
        <w:rPr>
          <w:vertAlign w:val="baseline"/>
        </w:rPr>
        <w:t>кальцій,</w:t>
      </w:r>
      <w:r>
        <w:rPr>
          <w:spacing w:val="-7"/>
          <w:vertAlign w:val="baseline"/>
        </w:rPr>
        <w:t> </w:t>
      </w:r>
      <w:r>
        <w:rPr>
          <w:vertAlign w:val="baseline"/>
        </w:rPr>
        <w:t>фосфор</w:t>
      </w:r>
      <w:r>
        <w:rPr>
          <w:spacing w:val="-9"/>
          <w:vertAlign w:val="baseline"/>
        </w:rPr>
        <w:t> </w:t>
      </w:r>
      <w:r>
        <w:rPr>
          <w:vertAlign w:val="baseline"/>
        </w:rPr>
        <w:t>та</w:t>
      </w:r>
      <w:r>
        <w:rPr>
          <w:spacing w:val="-5"/>
          <w:vertAlign w:val="baseline"/>
        </w:rPr>
        <w:t> </w:t>
      </w:r>
      <w:r>
        <w:rPr>
          <w:vertAlign w:val="baseline"/>
        </w:rPr>
        <w:t>ін.;</w:t>
      </w:r>
      <w:r>
        <w:rPr>
          <w:spacing w:val="-10"/>
          <w:vertAlign w:val="baseline"/>
        </w:rPr>
        <w:t> </w:t>
      </w:r>
      <w:r>
        <w:rPr>
          <w:vertAlign w:val="baseline"/>
        </w:rPr>
        <w:t>багата</w:t>
      </w:r>
      <w:r>
        <w:rPr>
          <w:spacing w:val="-9"/>
          <w:vertAlign w:val="baseline"/>
        </w:rPr>
        <w:t> </w:t>
      </w:r>
      <w:r>
        <w:rPr>
          <w:vertAlign w:val="baseline"/>
        </w:rPr>
        <w:t>на</w:t>
      </w:r>
      <w:r>
        <w:rPr>
          <w:spacing w:val="-9"/>
          <w:vertAlign w:val="baseline"/>
        </w:rPr>
        <w:t> </w:t>
      </w:r>
      <w:r>
        <w:rPr>
          <w:vertAlign w:val="baseline"/>
        </w:rPr>
        <w:t>замінні</w:t>
      </w:r>
      <w:r>
        <w:rPr>
          <w:spacing w:val="-10"/>
          <w:vertAlign w:val="baseline"/>
        </w:rPr>
        <w:t> </w:t>
      </w:r>
      <w:r>
        <w:rPr>
          <w:vertAlign w:val="baseline"/>
        </w:rPr>
        <w:t>та</w:t>
      </w:r>
      <w:r>
        <w:rPr>
          <w:spacing w:val="-9"/>
          <w:vertAlign w:val="baseline"/>
        </w:rPr>
        <w:t> </w:t>
      </w:r>
      <w:r>
        <w:rPr>
          <w:vertAlign w:val="baseline"/>
        </w:rPr>
        <w:t>незамінні</w:t>
      </w:r>
      <w:r>
        <w:rPr>
          <w:spacing w:val="-14"/>
          <w:vertAlign w:val="baseline"/>
        </w:rPr>
        <w:t> </w:t>
      </w:r>
      <w:r>
        <w:rPr>
          <w:vertAlign w:val="baseline"/>
        </w:rPr>
        <w:t>амінокислоти. З перерахунку на суху речовину хлорела містить повноцінних білків 40% і більше, ліпідів – до 20%, вуглеводів – до 35%, зольних речовин – до 10%, є вітаміни групи В, аскорбінова кислота (віт. С) і філохінони (віт. К). Знайдено речовину, яка має антибіотичну активність – «хлорелін».</w:t>
      </w:r>
      <w:r>
        <w:rPr>
          <w:spacing w:val="7"/>
          <w:vertAlign w:val="baseline"/>
        </w:rPr>
        <w:t> </w:t>
      </w:r>
      <w:r>
        <w:rPr>
          <w:vertAlign w:val="baseline"/>
        </w:rPr>
        <w:t>[8]</w:t>
      </w:r>
    </w:p>
    <w:p>
      <w:pPr>
        <w:pStyle w:val="BodyText"/>
        <w:spacing w:before="1"/>
        <w:ind w:right="615" w:firstLine="710"/>
      </w:pPr>
      <w:r>
        <w:rPr/>
        <w:t>Фізіологічна та продуктивна дія хлорели в годівлі сільськогосподарських тварин відображається на показниках приросту живої маси, резистентності організму тварин, репродуктивних функцій, а також хімічного складу м’яса залежить від багатьох факторів, таких як вид, порода, стать, вік тварин</w:t>
      </w:r>
      <w:r>
        <w:rPr>
          <w:spacing w:val="-51"/>
        </w:rPr>
        <w:t> </w:t>
      </w:r>
      <w:r>
        <w:rPr/>
        <w:t>та спосіб їх годівлі. Науково доведено, що сьогодні не можливо отримати м'ясо високої якості будь-якої тварини без застосування біологічно-поживних раціонів, до складу яких входять вітаміни, мінеральні речовини, амінокислоти тощо.[5]</w:t>
      </w:r>
    </w:p>
    <w:p>
      <w:pPr>
        <w:pStyle w:val="BodyText"/>
        <w:ind w:right="617" w:firstLine="710"/>
      </w:pPr>
      <w:r>
        <w:rPr>
          <w:b/>
        </w:rPr>
        <w:t>Постановка питання. </w:t>
      </w:r>
      <w:r>
        <w:rPr/>
        <w:t>Метою наших досліджень було дослідити вплив суспензії хлорели в раціонах свиней, що знаходяться на відгодівлі, на їх</w:t>
      </w:r>
    </w:p>
    <w:p>
      <w:pPr>
        <w:spacing w:after="0"/>
        <w:sectPr>
          <w:pgSz w:w="11910" w:h="16840"/>
          <w:pgMar w:header="713" w:footer="778" w:top="1140" w:bottom="960" w:left="940" w:right="520"/>
        </w:sectPr>
      </w:pPr>
    </w:p>
    <w:p>
      <w:pPr>
        <w:pStyle w:val="BodyText"/>
        <w:spacing w:before="92"/>
        <w:ind w:right="613"/>
      </w:pPr>
      <w:r>
        <w:rPr/>
        <w:t>продуктивність та якість м’яса. Дослідження проводилися на базі дослідного господарства «Южний», село Великий Дальник, Біляївського району, Одеської області. В дослідженнях використовували матеріал (суспензію хлорели), що виробляє фермерське господарство </w:t>
      </w:r>
      <w:r>
        <w:rPr>
          <w:spacing w:val="-3"/>
        </w:rPr>
        <w:t>«У </w:t>
      </w:r>
      <w:r>
        <w:rPr/>
        <w:t>Самвела» Біляївського району, Одеської області. Дослідження за хімічним складом суспензії хлорели проводили</w:t>
      </w:r>
      <w:r>
        <w:rPr>
          <w:spacing w:val="63"/>
        </w:rPr>
        <w:t> </w:t>
      </w:r>
      <w:r>
        <w:rPr/>
        <w:t>в</w:t>
      </w:r>
    </w:p>
    <w:p>
      <w:pPr>
        <w:pStyle w:val="BodyText"/>
        <w:spacing w:before="3"/>
        <w:ind w:right="611"/>
      </w:pPr>
      <w:r>
        <w:rPr/>
        <w:t>«Інституті</w:t>
      </w:r>
      <w:r>
        <w:rPr>
          <w:spacing w:val="-25"/>
        </w:rPr>
        <w:t> </w:t>
      </w:r>
      <w:r>
        <w:rPr/>
        <w:t>охорони</w:t>
      </w:r>
      <w:r>
        <w:rPr>
          <w:spacing w:val="-19"/>
        </w:rPr>
        <w:t> </w:t>
      </w:r>
      <w:r>
        <w:rPr/>
        <w:t>ґрунтів</w:t>
      </w:r>
      <w:r>
        <w:rPr>
          <w:spacing w:val="-22"/>
        </w:rPr>
        <w:t> </w:t>
      </w:r>
      <w:r>
        <w:rPr/>
        <w:t>України»</w:t>
      </w:r>
      <w:r>
        <w:rPr>
          <w:spacing w:val="-24"/>
        </w:rPr>
        <w:t> </w:t>
      </w:r>
      <w:r>
        <w:rPr/>
        <w:t>Овідіопольського</w:t>
      </w:r>
      <w:r>
        <w:rPr>
          <w:spacing w:val="-20"/>
        </w:rPr>
        <w:t> </w:t>
      </w:r>
      <w:r>
        <w:rPr/>
        <w:t>району,</w:t>
      </w:r>
      <w:r>
        <w:rPr>
          <w:spacing w:val="-18"/>
        </w:rPr>
        <w:t> </w:t>
      </w:r>
      <w:r>
        <w:rPr/>
        <w:t>Одеської</w:t>
      </w:r>
      <w:r>
        <w:rPr>
          <w:spacing w:val="-24"/>
        </w:rPr>
        <w:t> </w:t>
      </w:r>
      <w:r>
        <w:rPr/>
        <w:t>області, Ж/М «Червоний хутір». Для проведення науково-господарського досліду сформували дві групи–аналогів піддослідних тварин 3,5 місячного віку, великої білої породи, по 12 голів в кожній (табл.1). Початкова жива маса становила 33,7 кг. Тварини контрольної групи одержували 0,5 кг дерті ячміної, 0,25кг пшеничної дерті, 0,15 кг дерті горохової та 0,1 кг соєвого шроту. Під час підготовчого</w:t>
      </w:r>
      <w:r>
        <w:rPr>
          <w:spacing w:val="-16"/>
        </w:rPr>
        <w:t> </w:t>
      </w:r>
      <w:r>
        <w:rPr/>
        <w:t>періоду</w:t>
      </w:r>
      <w:r>
        <w:rPr>
          <w:spacing w:val="-20"/>
        </w:rPr>
        <w:t> </w:t>
      </w:r>
      <w:r>
        <w:rPr/>
        <w:t>свиням</w:t>
      </w:r>
      <w:r>
        <w:rPr>
          <w:spacing w:val="-15"/>
        </w:rPr>
        <w:t> </w:t>
      </w:r>
      <w:r>
        <w:rPr/>
        <w:t>згодовували</w:t>
      </w:r>
      <w:r>
        <w:rPr>
          <w:spacing w:val="-16"/>
        </w:rPr>
        <w:t> </w:t>
      </w:r>
      <w:r>
        <w:rPr/>
        <w:t>суміш</w:t>
      </w:r>
      <w:r>
        <w:rPr>
          <w:spacing w:val="-15"/>
        </w:rPr>
        <w:t> </w:t>
      </w:r>
      <w:r>
        <w:rPr/>
        <w:t>основного</w:t>
      </w:r>
      <w:r>
        <w:rPr>
          <w:spacing w:val="-16"/>
        </w:rPr>
        <w:t> </w:t>
      </w:r>
      <w:r>
        <w:rPr/>
        <w:t>раціону.</w:t>
      </w:r>
      <w:r>
        <w:rPr>
          <w:spacing w:val="-14"/>
        </w:rPr>
        <w:t> </w:t>
      </w:r>
      <w:r>
        <w:rPr/>
        <w:t>У</w:t>
      </w:r>
      <w:r>
        <w:rPr>
          <w:spacing w:val="-16"/>
        </w:rPr>
        <w:t> </w:t>
      </w:r>
      <w:r>
        <w:rPr/>
        <w:t>дослідний період до основного раціону дослідної групи додатково додавали 500 мл суспензії хлорели. Збагачення раціонів свиней другої дослідної групи кормовою добавкою суспензія хлорели повністю забезпечило їх мінеральними елементами та вітамінами, а також призвело до збільшення кількості перетравного протеїну порівняно з контрольною групою, і кращим співвідношенням амінокислот в раціонах.</w:t>
      </w:r>
    </w:p>
    <w:p>
      <w:pPr>
        <w:pStyle w:val="BodyText"/>
        <w:spacing w:before="1" w:after="7"/>
        <w:ind w:left="903"/>
      </w:pPr>
      <w:r>
        <w:rPr/>
        <w:t>Таблиця 1. Схема досліду</w:t>
      </w:r>
    </w:p>
    <w:tbl>
      <w:tblPr>
        <w:tblW w:w="0" w:type="auto"/>
        <w:jc w:val="left"/>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3"/>
        <w:gridCol w:w="1843"/>
        <w:gridCol w:w="2621"/>
        <w:gridCol w:w="3332"/>
      </w:tblGrid>
      <w:tr>
        <w:trPr>
          <w:trHeight w:val="273" w:hRule="atLeast"/>
        </w:trPr>
        <w:tc>
          <w:tcPr>
            <w:tcW w:w="1983" w:type="dxa"/>
            <w:vMerge w:val="restart"/>
          </w:tcPr>
          <w:p>
            <w:pPr>
              <w:pStyle w:val="TableParagraph"/>
              <w:spacing w:line="268" w:lineRule="exact"/>
              <w:ind w:left="148"/>
              <w:rPr>
                <w:sz w:val="24"/>
              </w:rPr>
            </w:pPr>
            <w:r>
              <w:rPr>
                <w:sz w:val="24"/>
              </w:rPr>
              <w:t>Група</w:t>
            </w:r>
          </w:p>
        </w:tc>
        <w:tc>
          <w:tcPr>
            <w:tcW w:w="1843" w:type="dxa"/>
            <w:vMerge w:val="restart"/>
          </w:tcPr>
          <w:p>
            <w:pPr>
              <w:pStyle w:val="TableParagraph"/>
              <w:spacing w:line="237" w:lineRule="auto"/>
              <w:ind w:left="254" w:right="219" w:firstLine="211"/>
              <w:rPr>
                <w:sz w:val="24"/>
              </w:rPr>
            </w:pPr>
            <w:r>
              <w:rPr>
                <w:sz w:val="24"/>
              </w:rPr>
              <w:t>Кількість тварин, голів</w:t>
            </w:r>
          </w:p>
        </w:tc>
        <w:tc>
          <w:tcPr>
            <w:tcW w:w="5953" w:type="dxa"/>
            <w:gridSpan w:val="2"/>
          </w:tcPr>
          <w:p>
            <w:pPr>
              <w:pStyle w:val="TableParagraph"/>
              <w:spacing w:line="253" w:lineRule="exact"/>
              <w:ind w:left="2117" w:right="2064"/>
              <w:jc w:val="center"/>
              <w:rPr>
                <w:sz w:val="24"/>
              </w:rPr>
            </w:pPr>
            <w:r>
              <w:rPr>
                <w:sz w:val="24"/>
              </w:rPr>
              <w:t>Характер годівлі</w:t>
            </w:r>
          </w:p>
        </w:tc>
      </w:tr>
      <w:tr>
        <w:trPr>
          <w:trHeight w:val="278" w:hRule="atLeast"/>
        </w:trPr>
        <w:tc>
          <w:tcPr>
            <w:tcW w:w="1983" w:type="dxa"/>
            <w:vMerge/>
            <w:tcBorders>
              <w:top w:val="nil"/>
            </w:tcBorders>
          </w:tcPr>
          <w:p>
            <w:pPr>
              <w:rPr>
                <w:sz w:val="2"/>
                <w:szCs w:val="2"/>
              </w:rPr>
            </w:pPr>
          </w:p>
        </w:tc>
        <w:tc>
          <w:tcPr>
            <w:tcW w:w="1843" w:type="dxa"/>
            <w:vMerge/>
            <w:tcBorders>
              <w:top w:val="nil"/>
            </w:tcBorders>
          </w:tcPr>
          <w:p>
            <w:pPr>
              <w:rPr>
                <w:sz w:val="2"/>
                <w:szCs w:val="2"/>
              </w:rPr>
            </w:pPr>
          </w:p>
        </w:tc>
        <w:tc>
          <w:tcPr>
            <w:tcW w:w="2621" w:type="dxa"/>
          </w:tcPr>
          <w:p>
            <w:pPr>
              <w:pStyle w:val="TableParagraph"/>
              <w:spacing w:line="258" w:lineRule="exact"/>
              <w:ind w:left="317" w:right="256"/>
              <w:jc w:val="center"/>
              <w:rPr>
                <w:sz w:val="24"/>
              </w:rPr>
            </w:pPr>
            <w:r>
              <w:rPr>
                <w:sz w:val="24"/>
              </w:rPr>
              <w:t>Зрівняльний період</w:t>
            </w:r>
          </w:p>
        </w:tc>
        <w:tc>
          <w:tcPr>
            <w:tcW w:w="3332" w:type="dxa"/>
          </w:tcPr>
          <w:p>
            <w:pPr>
              <w:pStyle w:val="TableParagraph"/>
              <w:spacing w:line="258" w:lineRule="exact"/>
              <w:ind w:left="792" w:right="739"/>
              <w:jc w:val="center"/>
              <w:rPr>
                <w:sz w:val="24"/>
              </w:rPr>
            </w:pPr>
            <w:r>
              <w:rPr>
                <w:sz w:val="24"/>
              </w:rPr>
              <w:t>Основний період</w:t>
            </w:r>
          </w:p>
        </w:tc>
      </w:tr>
      <w:tr>
        <w:trPr>
          <w:trHeight w:val="273" w:hRule="atLeast"/>
        </w:trPr>
        <w:tc>
          <w:tcPr>
            <w:tcW w:w="1983" w:type="dxa"/>
          </w:tcPr>
          <w:p>
            <w:pPr>
              <w:pStyle w:val="TableParagraph"/>
              <w:spacing w:line="254" w:lineRule="exact"/>
              <w:ind w:left="148"/>
              <w:rPr>
                <w:sz w:val="24"/>
              </w:rPr>
            </w:pPr>
            <w:r>
              <w:rPr>
                <w:color w:val="212121"/>
                <w:sz w:val="24"/>
              </w:rPr>
              <w:t>I - контрольна</w:t>
            </w:r>
          </w:p>
        </w:tc>
        <w:tc>
          <w:tcPr>
            <w:tcW w:w="1843" w:type="dxa"/>
          </w:tcPr>
          <w:p>
            <w:pPr>
              <w:pStyle w:val="TableParagraph"/>
              <w:spacing w:line="254" w:lineRule="exact"/>
              <w:ind w:right="765"/>
              <w:jc w:val="right"/>
              <w:rPr>
                <w:sz w:val="24"/>
              </w:rPr>
            </w:pPr>
            <w:r>
              <w:rPr>
                <w:sz w:val="24"/>
              </w:rPr>
              <w:t>12</w:t>
            </w:r>
          </w:p>
        </w:tc>
        <w:tc>
          <w:tcPr>
            <w:tcW w:w="2621" w:type="dxa"/>
          </w:tcPr>
          <w:p>
            <w:pPr>
              <w:pStyle w:val="TableParagraph"/>
              <w:spacing w:line="254" w:lineRule="exact"/>
              <w:ind w:left="314" w:right="256"/>
              <w:jc w:val="center"/>
              <w:rPr>
                <w:sz w:val="24"/>
              </w:rPr>
            </w:pPr>
            <w:r>
              <w:rPr>
                <w:sz w:val="24"/>
              </w:rPr>
              <w:t>ОР</w:t>
            </w:r>
          </w:p>
        </w:tc>
        <w:tc>
          <w:tcPr>
            <w:tcW w:w="3332" w:type="dxa"/>
          </w:tcPr>
          <w:p>
            <w:pPr>
              <w:pStyle w:val="TableParagraph"/>
              <w:spacing w:line="254" w:lineRule="exact"/>
              <w:ind w:left="789" w:right="739"/>
              <w:jc w:val="center"/>
              <w:rPr>
                <w:sz w:val="24"/>
              </w:rPr>
            </w:pPr>
            <w:r>
              <w:rPr>
                <w:sz w:val="24"/>
              </w:rPr>
              <w:t>ОР</w:t>
            </w:r>
          </w:p>
        </w:tc>
      </w:tr>
      <w:tr>
        <w:trPr>
          <w:trHeight w:val="556" w:hRule="atLeast"/>
        </w:trPr>
        <w:tc>
          <w:tcPr>
            <w:tcW w:w="1983" w:type="dxa"/>
          </w:tcPr>
          <w:p>
            <w:pPr>
              <w:pStyle w:val="TableParagraph"/>
              <w:spacing w:line="268" w:lineRule="exact"/>
              <w:ind w:left="148"/>
              <w:rPr>
                <w:sz w:val="24"/>
              </w:rPr>
            </w:pPr>
            <w:r>
              <w:rPr>
                <w:color w:val="212121"/>
                <w:sz w:val="24"/>
              </w:rPr>
              <w:t>II -дослідна</w:t>
            </w:r>
          </w:p>
        </w:tc>
        <w:tc>
          <w:tcPr>
            <w:tcW w:w="1843" w:type="dxa"/>
          </w:tcPr>
          <w:p>
            <w:pPr>
              <w:pStyle w:val="TableParagraph"/>
              <w:spacing w:line="268" w:lineRule="exact"/>
              <w:ind w:right="765"/>
              <w:jc w:val="right"/>
              <w:rPr>
                <w:sz w:val="24"/>
              </w:rPr>
            </w:pPr>
            <w:r>
              <w:rPr>
                <w:sz w:val="24"/>
              </w:rPr>
              <w:t>12</w:t>
            </w:r>
          </w:p>
        </w:tc>
        <w:tc>
          <w:tcPr>
            <w:tcW w:w="2621" w:type="dxa"/>
          </w:tcPr>
          <w:p>
            <w:pPr>
              <w:pStyle w:val="TableParagraph"/>
              <w:spacing w:line="268" w:lineRule="exact"/>
              <w:ind w:left="314" w:right="256"/>
              <w:jc w:val="center"/>
              <w:rPr>
                <w:sz w:val="24"/>
              </w:rPr>
            </w:pPr>
            <w:r>
              <w:rPr>
                <w:sz w:val="24"/>
              </w:rPr>
              <w:t>ОР</w:t>
            </w:r>
          </w:p>
        </w:tc>
        <w:tc>
          <w:tcPr>
            <w:tcW w:w="3332" w:type="dxa"/>
          </w:tcPr>
          <w:p>
            <w:pPr>
              <w:pStyle w:val="TableParagraph"/>
              <w:spacing w:line="268" w:lineRule="exact"/>
              <w:ind w:left="1"/>
              <w:rPr>
                <w:sz w:val="24"/>
              </w:rPr>
            </w:pPr>
            <w:r>
              <w:rPr>
                <w:sz w:val="24"/>
              </w:rPr>
              <w:t>ОР + суспензія хлорели (500 мл</w:t>
            </w:r>
          </w:p>
          <w:p>
            <w:pPr>
              <w:pStyle w:val="TableParagraph"/>
              <w:spacing w:line="266" w:lineRule="exact" w:before="2"/>
              <w:ind w:left="784"/>
              <w:rPr>
                <w:sz w:val="24"/>
              </w:rPr>
            </w:pPr>
            <w:r>
              <w:rPr>
                <w:sz w:val="24"/>
              </w:rPr>
              <w:t>на голову за добу)</w:t>
            </w:r>
          </w:p>
        </w:tc>
      </w:tr>
    </w:tbl>
    <w:p>
      <w:pPr>
        <w:pStyle w:val="BodyText"/>
        <w:spacing w:before="4"/>
        <w:ind w:left="0"/>
        <w:jc w:val="left"/>
        <w:rPr>
          <w:sz w:val="27"/>
        </w:rPr>
      </w:pPr>
    </w:p>
    <w:p>
      <w:pPr>
        <w:pStyle w:val="BodyText"/>
        <w:ind w:right="612" w:firstLine="710"/>
      </w:pPr>
      <w:r>
        <w:rPr/>
        <w:t>За даними Богданова Н.І. хлорела має наступний біохімічний склад (у % сухої біомаси): білок 55%, ліпіди 12%, вуглеводи 25%, зола 8%. Білок хлорели перевищує за якістю відомі рослинні білки, так як </w:t>
      </w:r>
      <w:r>
        <w:rPr>
          <w:spacing w:val="-3"/>
        </w:rPr>
        <w:t>він </w:t>
      </w:r>
      <w:r>
        <w:rPr/>
        <w:t>містить всі необхідні амінокислоти</w:t>
      </w:r>
      <w:r>
        <w:rPr>
          <w:spacing w:val="-14"/>
        </w:rPr>
        <w:t> </w:t>
      </w:r>
      <w:r>
        <w:rPr/>
        <w:t>в</w:t>
      </w:r>
      <w:r>
        <w:rPr>
          <w:spacing w:val="-15"/>
        </w:rPr>
        <w:t> </w:t>
      </w:r>
      <w:r>
        <w:rPr/>
        <w:t>тому</w:t>
      </w:r>
      <w:r>
        <w:rPr>
          <w:spacing w:val="-17"/>
        </w:rPr>
        <w:t> </w:t>
      </w:r>
      <w:r>
        <w:rPr/>
        <w:t>числі</w:t>
      </w:r>
      <w:r>
        <w:rPr>
          <w:spacing w:val="-18"/>
        </w:rPr>
        <w:t> </w:t>
      </w:r>
      <w:r>
        <w:rPr/>
        <w:t>незамінні.</w:t>
      </w:r>
      <w:r>
        <w:rPr>
          <w:spacing w:val="-11"/>
        </w:rPr>
        <w:t> </w:t>
      </w:r>
      <w:r>
        <w:rPr/>
        <w:t>Вміст</w:t>
      </w:r>
      <w:r>
        <w:rPr>
          <w:spacing w:val="-15"/>
        </w:rPr>
        <w:t> </w:t>
      </w:r>
      <w:r>
        <w:rPr/>
        <w:t>амінокислот</w:t>
      </w:r>
      <w:r>
        <w:rPr>
          <w:spacing w:val="-15"/>
        </w:rPr>
        <w:t> </w:t>
      </w:r>
      <w:r>
        <w:rPr/>
        <w:t>в</w:t>
      </w:r>
      <w:r>
        <w:rPr>
          <w:spacing w:val="-10"/>
        </w:rPr>
        <w:t> </w:t>
      </w:r>
      <w:r>
        <w:rPr/>
        <w:t>хлорелі</w:t>
      </w:r>
      <w:r>
        <w:rPr>
          <w:spacing w:val="-18"/>
        </w:rPr>
        <w:t> </w:t>
      </w:r>
      <w:r>
        <w:rPr/>
        <w:t>(г/кг</w:t>
      </w:r>
      <w:r>
        <w:rPr>
          <w:spacing w:val="-12"/>
        </w:rPr>
        <w:t> </w:t>
      </w:r>
      <w:r>
        <w:rPr/>
        <w:t>повітряні</w:t>
      </w:r>
    </w:p>
    <w:p>
      <w:pPr>
        <w:pStyle w:val="BodyText"/>
        <w:ind w:right="618"/>
      </w:pPr>
      <w:r>
        <w:rPr/>
        <w:t>– сухої речовини) наступний: глютамінова кислота 31,84; аспарагінова 25,66; лейцин 21,68; аланін 20,13; валін 17,58; гліцин 17,02; треанін 13,66.</w:t>
      </w:r>
    </w:p>
    <w:p>
      <w:pPr>
        <w:pStyle w:val="BodyText"/>
        <w:ind w:right="615" w:firstLine="710"/>
      </w:pPr>
      <w:r>
        <w:rPr/>
        <w:t>За багатством вітамінів хлорела перевищує всі рослинні корми і культури сільськогосподарського виробництва. Вітаміни D і B</w:t>
      </w:r>
      <w:r>
        <w:rPr>
          <w:vertAlign w:val="subscript"/>
        </w:rPr>
        <w:t>12</w:t>
      </w:r>
      <w:r>
        <w:rPr>
          <w:vertAlign w:val="baseline"/>
        </w:rPr>
        <w:t> не виробляються рослинами,</w:t>
      </w:r>
      <w:r>
        <w:rPr>
          <w:spacing w:val="-16"/>
          <w:vertAlign w:val="baseline"/>
        </w:rPr>
        <w:t> </w:t>
      </w:r>
      <w:r>
        <w:rPr>
          <w:vertAlign w:val="baseline"/>
        </w:rPr>
        <w:t>проте</w:t>
      </w:r>
      <w:r>
        <w:rPr>
          <w:spacing w:val="-11"/>
          <w:vertAlign w:val="baseline"/>
        </w:rPr>
        <w:t> </w:t>
      </w:r>
      <w:r>
        <w:rPr>
          <w:vertAlign w:val="baseline"/>
        </w:rPr>
        <w:t>в</w:t>
      </w:r>
      <w:r>
        <w:rPr>
          <w:spacing w:val="-14"/>
          <w:vertAlign w:val="baseline"/>
        </w:rPr>
        <w:t> </w:t>
      </w:r>
      <w:r>
        <w:rPr>
          <w:vertAlign w:val="baseline"/>
        </w:rPr>
        <w:t>хлорелі</w:t>
      </w:r>
      <w:r>
        <w:rPr>
          <w:spacing w:val="-22"/>
          <w:vertAlign w:val="baseline"/>
        </w:rPr>
        <w:t> </w:t>
      </w:r>
      <w:r>
        <w:rPr>
          <w:vertAlign w:val="baseline"/>
        </w:rPr>
        <w:t>вони</w:t>
      </w:r>
      <w:r>
        <w:rPr>
          <w:spacing w:val="-17"/>
          <w:vertAlign w:val="baseline"/>
        </w:rPr>
        <w:t> </w:t>
      </w:r>
      <w:r>
        <w:rPr>
          <w:vertAlign w:val="baseline"/>
        </w:rPr>
        <w:t>містяться.</w:t>
      </w:r>
      <w:r>
        <w:rPr>
          <w:spacing w:val="-15"/>
          <w:vertAlign w:val="baseline"/>
        </w:rPr>
        <w:t> </w:t>
      </w:r>
      <w:r>
        <w:rPr>
          <w:vertAlign w:val="baseline"/>
        </w:rPr>
        <w:t>Вміст</w:t>
      </w:r>
      <w:r>
        <w:rPr>
          <w:spacing w:val="-18"/>
          <w:vertAlign w:val="baseline"/>
        </w:rPr>
        <w:t> </w:t>
      </w:r>
      <w:r>
        <w:rPr>
          <w:vertAlign w:val="baseline"/>
        </w:rPr>
        <w:t>вітаміну</w:t>
      </w:r>
      <w:r>
        <w:rPr>
          <w:spacing w:val="-10"/>
          <w:vertAlign w:val="baseline"/>
        </w:rPr>
        <w:t> </w:t>
      </w:r>
      <w:r>
        <w:rPr>
          <w:vertAlign w:val="baseline"/>
        </w:rPr>
        <w:t>С</w:t>
      </w:r>
      <w:r>
        <w:rPr>
          <w:spacing w:val="-16"/>
          <w:vertAlign w:val="baseline"/>
        </w:rPr>
        <w:t> </w:t>
      </w:r>
      <w:r>
        <w:rPr>
          <w:vertAlign w:val="baseline"/>
        </w:rPr>
        <w:t>в</w:t>
      </w:r>
      <w:r>
        <w:rPr>
          <w:spacing w:val="-14"/>
          <w:vertAlign w:val="baseline"/>
        </w:rPr>
        <w:t> </w:t>
      </w:r>
      <w:r>
        <w:rPr>
          <w:vertAlign w:val="baseline"/>
        </w:rPr>
        <w:t>хлорелі</w:t>
      </w:r>
      <w:r>
        <w:rPr>
          <w:spacing w:val="-17"/>
          <w:vertAlign w:val="baseline"/>
        </w:rPr>
        <w:t> </w:t>
      </w:r>
      <w:r>
        <w:rPr>
          <w:vertAlign w:val="baseline"/>
        </w:rPr>
        <w:t>відповідає вмісту його в лимоні, і на відміну від інших рослин водорість містить вітамін А в чистому</w:t>
      </w:r>
      <w:r>
        <w:rPr>
          <w:spacing w:val="-4"/>
          <w:vertAlign w:val="baseline"/>
        </w:rPr>
        <w:t> </w:t>
      </w:r>
      <w:r>
        <w:rPr>
          <w:vertAlign w:val="baseline"/>
        </w:rPr>
        <w:t>вигляді.</w:t>
      </w:r>
    </w:p>
    <w:p>
      <w:pPr>
        <w:pStyle w:val="BodyText"/>
        <w:ind w:right="607" w:firstLine="710"/>
      </w:pPr>
      <w:r>
        <w:rPr/>
        <w:t>Для вивчення хімічного складу і фізичних властивостей м’язової тканини відібрали зразки найдовшого м’язу спини, розташовані над 9-12 грудними хребцями.</w:t>
      </w:r>
      <w:r>
        <w:rPr>
          <w:spacing w:val="-4"/>
        </w:rPr>
        <w:t> </w:t>
      </w:r>
      <w:r>
        <w:rPr/>
        <w:t>Перед</w:t>
      </w:r>
      <w:r>
        <w:rPr>
          <w:spacing w:val="-7"/>
        </w:rPr>
        <w:t> </w:t>
      </w:r>
      <w:r>
        <w:rPr/>
        <w:t>дослідженням</w:t>
      </w:r>
      <w:r>
        <w:rPr>
          <w:spacing w:val="-8"/>
        </w:rPr>
        <w:t> </w:t>
      </w:r>
      <w:r>
        <w:rPr/>
        <w:t>м'ясо</w:t>
      </w:r>
      <w:r>
        <w:rPr>
          <w:spacing w:val="-8"/>
        </w:rPr>
        <w:t> </w:t>
      </w:r>
      <w:r>
        <w:rPr/>
        <w:t>ретельно</w:t>
      </w:r>
      <w:r>
        <w:rPr>
          <w:spacing w:val="-6"/>
        </w:rPr>
        <w:t> </w:t>
      </w:r>
      <w:r>
        <w:rPr/>
        <w:t>препарували</w:t>
      </w:r>
      <w:r>
        <w:rPr>
          <w:spacing w:val="-5"/>
        </w:rPr>
        <w:t> </w:t>
      </w:r>
      <w:r>
        <w:rPr/>
        <w:t>і</w:t>
      </w:r>
      <w:r>
        <w:rPr>
          <w:spacing w:val="-9"/>
        </w:rPr>
        <w:t> </w:t>
      </w:r>
      <w:r>
        <w:rPr/>
        <w:t>відділяли</w:t>
      </w:r>
      <w:r>
        <w:rPr>
          <w:spacing w:val="-9"/>
        </w:rPr>
        <w:t> </w:t>
      </w:r>
      <w:r>
        <w:rPr/>
        <w:t>жирову</w:t>
      </w:r>
      <w:r>
        <w:rPr>
          <w:spacing w:val="-5"/>
        </w:rPr>
        <w:t> </w:t>
      </w:r>
      <w:r>
        <w:rPr/>
        <w:t>і сполучну тканини, а потім пропустили через м’ясорубку. В м’язовій тканині визначали</w:t>
      </w:r>
      <w:r>
        <w:rPr>
          <w:spacing w:val="-7"/>
        </w:rPr>
        <w:t> </w:t>
      </w:r>
      <w:r>
        <w:rPr/>
        <w:t>вологу,</w:t>
      </w:r>
      <w:r>
        <w:rPr>
          <w:spacing w:val="-9"/>
        </w:rPr>
        <w:t> </w:t>
      </w:r>
      <w:r>
        <w:rPr/>
        <w:t>жир,</w:t>
      </w:r>
      <w:r>
        <w:rPr>
          <w:spacing w:val="-9"/>
        </w:rPr>
        <w:t> </w:t>
      </w:r>
      <w:r>
        <w:rPr/>
        <w:t>загальний</w:t>
      </w:r>
      <w:r>
        <w:rPr>
          <w:spacing w:val="-11"/>
        </w:rPr>
        <w:t> </w:t>
      </w:r>
      <w:r>
        <w:rPr/>
        <w:t>азот,</w:t>
      </w:r>
      <w:r>
        <w:rPr>
          <w:spacing w:val="-8"/>
        </w:rPr>
        <w:t> </w:t>
      </w:r>
      <w:r>
        <w:rPr/>
        <w:t>золу</w:t>
      </w:r>
      <w:r>
        <w:rPr>
          <w:spacing w:val="-15"/>
        </w:rPr>
        <w:t> </w:t>
      </w:r>
      <w:r>
        <w:rPr/>
        <w:t>за</w:t>
      </w:r>
      <w:r>
        <w:rPr>
          <w:spacing w:val="-9"/>
        </w:rPr>
        <w:t> </w:t>
      </w:r>
      <w:r>
        <w:rPr/>
        <w:t>загальноприйнятими</w:t>
      </w:r>
      <w:r>
        <w:rPr>
          <w:spacing w:val="-10"/>
        </w:rPr>
        <w:t> </w:t>
      </w:r>
      <w:r>
        <w:rPr/>
        <w:t>методиками [3], волого утримуючу здатність і ніжність м’яса – методом пресування, як кислотність(pH) – потенціометричним методом на універсальному тонометрі ЕВ-74, калорійність - розрахунково на основі даних хімічного складу. Основні показники досліджень оброблені біометрично</w:t>
      </w:r>
      <w:r>
        <w:rPr>
          <w:spacing w:val="2"/>
        </w:rPr>
        <w:t> </w:t>
      </w:r>
      <w:r>
        <w:rPr/>
        <w:t>[4].</w:t>
      </w:r>
    </w:p>
    <w:p>
      <w:pPr>
        <w:spacing w:after="0"/>
        <w:sectPr>
          <w:pgSz w:w="11910" w:h="16840"/>
          <w:pgMar w:header="713" w:footer="778" w:top="1140" w:bottom="960" w:left="940" w:right="520"/>
        </w:sectPr>
      </w:pPr>
    </w:p>
    <w:p>
      <w:pPr>
        <w:pStyle w:val="BodyText"/>
        <w:spacing w:before="92"/>
        <w:ind w:right="614" w:firstLine="710"/>
      </w:pPr>
      <w:r>
        <w:rPr>
          <w:b/>
        </w:rPr>
        <w:t>Результати</w:t>
      </w:r>
      <w:r>
        <w:rPr>
          <w:b/>
          <w:spacing w:val="-12"/>
        </w:rPr>
        <w:t> </w:t>
      </w:r>
      <w:r>
        <w:rPr>
          <w:b/>
        </w:rPr>
        <w:t>досліджень</w:t>
      </w:r>
      <w:r>
        <w:rPr>
          <w:b/>
          <w:spacing w:val="-8"/>
        </w:rPr>
        <w:t> </w:t>
      </w:r>
      <w:r>
        <w:rPr>
          <w:b/>
        </w:rPr>
        <w:t>та</w:t>
      </w:r>
      <w:r>
        <w:rPr>
          <w:b/>
          <w:spacing w:val="-10"/>
        </w:rPr>
        <w:t> </w:t>
      </w:r>
      <w:r>
        <w:rPr>
          <w:b/>
        </w:rPr>
        <w:t>їх</w:t>
      </w:r>
      <w:r>
        <w:rPr>
          <w:b/>
          <w:spacing w:val="-9"/>
        </w:rPr>
        <w:t> </w:t>
      </w:r>
      <w:r>
        <w:rPr>
          <w:b/>
        </w:rPr>
        <w:t>обговорення.</w:t>
      </w:r>
      <w:r>
        <w:rPr>
          <w:b/>
          <w:spacing w:val="3"/>
        </w:rPr>
        <w:t> </w:t>
      </w:r>
      <w:r>
        <w:rPr/>
        <w:t>Аналіз</w:t>
      </w:r>
      <w:r>
        <w:rPr>
          <w:spacing w:val="-9"/>
        </w:rPr>
        <w:t> </w:t>
      </w:r>
      <w:r>
        <w:rPr/>
        <w:t>отриманих</w:t>
      </w:r>
      <w:r>
        <w:rPr>
          <w:spacing w:val="-14"/>
        </w:rPr>
        <w:t> </w:t>
      </w:r>
      <w:r>
        <w:rPr/>
        <w:t>результатів досліджень показує (табл.2), що добавка до раціону суспензії хлорели, як кормової добавки сприяло підвищенню інтенсивності росту піддослідних свиней.</w:t>
      </w:r>
    </w:p>
    <w:p>
      <w:pPr>
        <w:pStyle w:val="BodyText"/>
        <w:spacing w:line="321" w:lineRule="exact" w:after="11"/>
        <w:ind w:left="903"/>
      </w:pPr>
      <w:r>
        <w:rPr/>
        <w:t>Таблиця 2 . Відгодівельні показники свиней</w:t>
      </w:r>
    </w:p>
    <w:tbl>
      <w:tblPr>
        <w:tblW w:w="0" w:type="auto"/>
        <w:jc w:val="left"/>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12"/>
        <w:gridCol w:w="1984"/>
        <w:gridCol w:w="2272"/>
      </w:tblGrid>
      <w:tr>
        <w:trPr>
          <w:trHeight w:val="273" w:hRule="atLeast"/>
        </w:trPr>
        <w:tc>
          <w:tcPr>
            <w:tcW w:w="5412" w:type="dxa"/>
          </w:tcPr>
          <w:p>
            <w:pPr>
              <w:pStyle w:val="TableParagraph"/>
              <w:spacing w:line="253" w:lineRule="exact"/>
              <w:ind w:left="2195" w:right="2181"/>
              <w:jc w:val="center"/>
              <w:rPr>
                <w:sz w:val="24"/>
              </w:rPr>
            </w:pPr>
            <w:r>
              <w:rPr>
                <w:sz w:val="24"/>
              </w:rPr>
              <w:t>Показник</w:t>
            </w:r>
          </w:p>
        </w:tc>
        <w:tc>
          <w:tcPr>
            <w:tcW w:w="4256" w:type="dxa"/>
            <w:gridSpan w:val="2"/>
          </w:tcPr>
          <w:p>
            <w:pPr>
              <w:pStyle w:val="TableParagraph"/>
              <w:spacing w:line="253" w:lineRule="exact"/>
              <w:ind w:left="1797" w:right="1794"/>
              <w:jc w:val="center"/>
              <w:rPr>
                <w:sz w:val="24"/>
              </w:rPr>
            </w:pPr>
            <w:r>
              <w:rPr>
                <w:sz w:val="24"/>
              </w:rPr>
              <w:t>Група</w:t>
            </w:r>
          </w:p>
        </w:tc>
      </w:tr>
      <w:tr>
        <w:trPr>
          <w:trHeight w:val="278" w:hRule="atLeast"/>
        </w:trPr>
        <w:tc>
          <w:tcPr>
            <w:tcW w:w="5412" w:type="dxa"/>
          </w:tcPr>
          <w:p>
            <w:pPr>
              <w:pStyle w:val="TableParagraph"/>
              <w:rPr>
                <w:sz w:val="20"/>
              </w:rPr>
            </w:pPr>
          </w:p>
        </w:tc>
        <w:tc>
          <w:tcPr>
            <w:tcW w:w="1984" w:type="dxa"/>
          </w:tcPr>
          <w:p>
            <w:pPr>
              <w:pStyle w:val="TableParagraph"/>
              <w:spacing w:line="258" w:lineRule="exact"/>
              <w:ind w:left="7"/>
              <w:jc w:val="center"/>
              <w:rPr>
                <w:sz w:val="24"/>
              </w:rPr>
            </w:pPr>
            <w:r>
              <w:rPr>
                <w:sz w:val="24"/>
              </w:rPr>
              <w:t>1</w:t>
            </w:r>
          </w:p>
        </w:tc>
        <w:tc>
          <w:tcPr>
            <w:tcW w:w="2272" w:type="dxa"/>
          </w:tcPr>
          <w:p>
            <w:pPr>
              <w:pStyle w:val="TableParagraph"/>
              <w:spacing w:line="258" w:lineRule="exact"/>
              <w:ind w:left="6"/>
              <w:jc w:val="center"/>
              <w:rPr>
                <w:sz w:val="24"/>
              </w:rPr>
            </w:pPr>
            <w:r>
              <w:rPr>
                <w:sz w:val="24"/>
              </w:rPr>
              <w:t>2</w:t>
            </w:r>
          </w:p>
        </w:tc>
      </w:tr>
      <w:tr>
        <w:trPr>
          <w:trHeight w:val="273" w:hRule="atLeast"/>
        </w:trPr>
        <w:tc>
          <w:tcPr>
            <w:tcW w:w="5412" w:type="dxa"/>
          </w:tcPr>
          <w:p>
            <w:pPr>
              <w:pStyle w:val="TableParagraph"/>
              <w:spacing w:line="253" w:lineRule="exact"/>
              <w:ind w:left="110"/>
              <w:rPr>
                <w:sz w:val="24"/>
              </w:rPr>
            </w:pPr>
            <w:r>
              <w:rPr>
                <w:sz w:val="24"/>
              </w:rPr>
              <w:t>Добова доза суспензії хлорела, мл/гол.</w:t>
            </w:r>
          </w:p>
        </w:tc>
        <w:tc>
          <w:tcPr>
            <w:tcW w:w="1984" w:type="dxa"/>
          </w:tcPr>
          <w:p>
            <w:pPr>
              <w:pStyle w:val="TableParagraph"/>
              <w:spacing w:line="253" w:lineRule="exact"/>
              <w:ind w:left="6"/>
              <w:jc w:val="center"/>
              <w:rPr>
                <w:sz w:val="24"/>
              </w:rPr>
            </w:pPr>
            <w:r>
              <w:rPr>
                <w:w w:val="99"/>
                <w:sz w:val="24"/>
              </w:rPr>
              <w:t>-</w:t>
            </w:r>
          </w:p>
        </w:tc>
        <w:tc>
          <w:tcPr>
            <w:tcW w:w="2272" w:type="dxa"/>
          </w:tcPr>
          <w:p>
            <w:pPr>
              <w:pStyle w:val="TableParagraph"/>
              <w:spacing w:line="253" w:lineRule="exact"/>
              <w:ind w:left="740" w:right="734"/>
              <w:jc w:val="center"/>
              <w:rPr>
                <w:sz w:val="24"/>
              </w:rPr>
            </w:pPr>
            <w:r>
              <w:rPr>
                <w:sz w:val="24"/>
              </w:rPr>
              <w:t>500</w:t>
            </w:r>
          </w:p>
        </w:tc>
      </w:tr>
      <w:tr>
        <w:trPr>
          <w:trHeight w:val="277" w:hRule="atLeast"/>
        </w:trPr>
        <w:tc>
          <w:tcPr>
            <w:tcW w:w="5412" w:type="dxa"/>
          </w:tcPr>
          <w:p>
            <w:pPr>
              <w:pStyle w:val="TableParagraph"/>
              <w:spacing w:line="258" w:lineRule="exact"/>
              <w:ind w:left="110"/>
              <w:rPr>
                <w:sz w:val="24"/>
              </w:rPr>
            </w:pPr>
            <w:r>
              <w:rPr>
                <w:sz w:val="24"/>
              </w:rPr>
              <w:t>Жива маса 1 голови: на початок період, кг</w:t>
            </w:r>
          </w:p>
        </w:tc>
        <w:tc>
          <w:tcPr>
            <w:tcW w:w="1984" w:type="dxa"/>
          </w:tcPr>
          <w:p>
            <w:pPr>
              <w:pStyle w:val="TableParagraph"/>
              <w:spacing w:line="258" w:lineRule="exact"/>
              <w:ind w:left="790" w:right="778"/>
              <w:jc w:val="center"/>
              <w:rPr>
                <w:sz w:val="24"/>
              </w:rPr>
            </w:pPr>
            <w:r>
              <w:rPr>
                <w:sz w:val="24"/>
              </w:rPr>
              <w:t>60</w:t>
            </w:r>
          </w:p>
        </w:tc>
        <w:tc>
          <w:tcPr>
            <w:tcW w:w="2272" w:type="dxa"/>
          </w:tcPr>
          <w:p>
            <w:pPr>
              <w:pStyle w:val="TableParagraph"/>
              <w:spacing w:line="258" w:lineRule="exact"/>
              <w:ind w:left="745" w:right="734"/>
              <w:jc w:val="center"/>
              <w:rPr>
                <w:sz w:val="24"/>
              </w:rPr>
            </w:pPr>
            <w:r>
              <w:rPr>
                <w:sz w:val="24"/>
              </w:rPr>
              <w:t>59,9</w:t>
            </w:r>
          </w:p>
        </w:tc>
      </w:tr>
      <w:tr>
        <w:trPr>
          <w:trHeight w:val="273" w:hRule="atLeast"/>
        </w:trPr>
        <w:tc>
          <w:tcPr>
            <w:tcW w:w="5412" w:type="dxa"/>
          </w:tcPr>
          <w:p>
            <w:pPr>
              <w:pStyle w:val="TableParagraph"/>
              <w:spacing w:line="253" w:lineRule="exact"/>
              <w:ind w:left="110"/>
              <w:rPr>
                <w:sz w:val="24"/>
              </w:rPr>
            </w:pPr>
            <w:r>
              <w:rPr>
                <w:sz w:val="24"/>
              </w:rPr>
              <w:t>Тривалість періоду, діб</w:t>
            </w:r>
          </w:p>
        </w:tc>
        <w:tc>
          <w:tcPr>
            <w:tcW w:w="1984" w:type="dxa"/>
          </w:tcPr>
          <w:p>
            <w:pPr>
              <w:pStyle w:val="TableParagraph"/>
              <w:spacing w:line="253" w:lineRule="exact"/>
              <w:ind w:left="790" w:right="778"/>
              <w:jc w:val="center"/>
              <w:rPr>
                <w:sz w:val="24"/>
              </w:rPr>
            </w:pPr>
            <w:r>
              <w:rPr>
                <w:sz w:val="24"/>
              </w:rPr>
              <w:t>60</w:t>
            </w:r>
          </w:p>
        </w:tc>
        <w:tc>
          <w:tcPr>
            <w:tcW w:w="2272" w:type="dxa"/>
          </w:tcPr>
          <w:p>
            <w:pPr>
              <w:pStyle w:val="TableParagraph"/>
              <w:spacing w:line="253" w:lineRule="exact"/>
              <w:ind w:left="745" w:right="734"/>
              <w:jc w:val="center"/>
              <w:rPr>
                <w:sz w:val="24"/>
              </w:rPr>
            </w:pPr>
            <w:r>
              <w:rPr>
                <w:sz w:val="24"/>
              </w:rPr>
              <w:t>60</w:t>
            </w:r>
          </w:p>
        </w:tc>
      </w:tr>
      <w:tr>
        <w:trPr>
          <w:trHeight w:val="278" w:hRule="atLeast"/>
        </w:trPr>
        <w:tc>
          <w:tcPr>
            <w:tcW w:w="5412" w:type="dxa"/>
          </w:tcPr>
          <w:p>
            <w:pPr>
              <w:pStyle w:val="TableParagraph"/>
              <w:spacing w:line="258" w:lineRule="exact"/>
              <w:ind w:left="110"/>
              <w:rPr>
                <w:sz w:val="24"/>
              </w:rPr>
            </w:pPr>
            <w:r>
              <w:rPr>
                <w:sz w:val="24"/>
              </w:rPr>
              <w:t>Приріст живої маси:</w:t>
            </w:r>
          </w:p>
        </w:tc>
        <w:tc>
          <w:tcPr>
            <w:tcW w:w="1984" w:type="dxa"/>
          </w:tcPr>
          <w:p>
            <w:pPr>
              <w:pStyle w:val="TableParagraph"/>
              <w:rPr>
                <w:sz w:val="20"/>
              </w:rPr>
            </w:pPr>
          </w:p>
        </w:tc>
        <w:tc>
          <w:tcPr>
            <w:tcW w:w="2272" w:type="dxa"/>
          </w:tcPr>
          <w:p>
            <w:pPr>
              <w:pStyle w:val="TableParagraph"/>
              <w:rPr>
                <w:sz w:val="20"/>
              </w:rPr>
            </w:pPr>
          </w:p>
        </w:tc>
      </w:tr>
      <w:tr>
        <w:trPr>
          <w:trHeight w:val="278" w:hRule="atLeast"/>
        </w:trPr>
        <w:tc>
          <w:tcPr>
            <w:tcW w:w="5412" w:type="dxa"/>
          </w:tcPr>
          <w:p>
            <w:pPr>
              <w:pStyle w:val="TableParagraph"/>
              <w:spacing w:line="258" w:lineRule="exact"/>
              <w:ind w:left="172"/>
              <w:rPr>
                <w:sz w:val="24"/>
              </w:rPr>
            </w:pPr>
            <w:r>
              <w:rPr>
                <w:sz w:val="24"/>
              </w:rPr>
              <w:t>загальний, кг</w:t>
            </w:r>
          </w:p>
        </w:tc>
        <w:tc>
          <w:tcPr>
            <w:tcW w:w="1984" w:type="dxa"/>
          </w:tcPr>
          <w:p>
            <w:pPr>
              <w:pStyle w:val="TableParagraph"/>
              <w:spacing w:line="258" w:lineRule="exact"/>
              <w:ind w:left="790" w:right="778"/>
              <w:jc w:val="center"/>
              <w:rPr>
                <w:sz w:val="24"/>
              </w:rPr>
            </w:pPr>
            <w:r>
              <w:rPr>
                <w:sz w:val="24"/>
              </w:rPr>
              <w:t>41</w:t>
            </w:r>
          </w:p>
        </w:tc>
        <w:tc>
          <w:tcPr>
            <w:tcW w:w="2272" w:type="dxa"/>
          </w:tcPr>
          <w:p>
            <w:pPr>
              <w:pStyle w:val="TableParagraph"/>
              <w:spacing w:line="258" w:lineRule="exact"/>
              <w:ind w:left="745" w:right="734"/>
              <w:jc w:val="center"/>
              <w:rPr>
                <w:sz w:val="24"/>
              </w:rPr>
            </w:pPr>
            <w:r>
              <w:rPr>
                <w:sz w:val="24"/>
              </w:rPr>
              <w:t>50</w:t>
            </w:r>
          </w:p>
        </w:tc>
      </w:tr>
      <w:tr>
        <w:trPr>
          <w:trHeight w:val="273" w:hRule="atLeast"/>
        </w:trPr>
        <w:tc>
          <w:tcPr>
            <w:tcW w:w="5412" w:type="dxa"/>
          </w:tcPr>
          <w:p>
            <w:pPr>
              <w:pStyle w:val="TableParagraph"/>
              <w:spacing w:line="253" w:lineRule="exact"/>
              <w:ind w:left="172"/>
              <w:rPr>
                <w:sz w:val="24"/>
              </w:rPr>
            </w:pPr>
            <w:r>
              <w:rPr>
                <w:sz w:val="24"/>
              </w:rPr>
              <w:t>середньодобовий, г</w:t>
            </w:r>
          </w:p>
        </w:tc>
        <w:tc>
          <w:tcPr>
            <w:tcW w:w="1984" w:type="dxa"/>
          </w:tcPr>
          <w:p>
            <w:pPr>
              <w:pStyle w:val="TableParagraph"/>
              <w:spacing w:line="253" w:lineRule="exact"/>
              <w:ind w:left="790" w:right="783"/>
              <w:jc w:val="center"/>
              <w:rPr>
                <w:sz w:val="24"/>
              </w:rPr>
            </w:pPr>
            <w:r>
              <w:rPr>
                <w:sz w:val="24"/>
              </w:rPr>
              <w:t>683</w:t>
            </w:r>
          </w:p>
        </w:tc>
        <w:tc>
          <w:tcPr>
            <w:tcW w:w="2272" w:type="dxa"/>
          </w:tcPr>
          <w:p>
            <w:pPr>
              <w:pStyle w:val="TableParagraph"/>
              <w:spacing w:line="253" w:lineRule="exact"/>
              <w:ind w:left="740" w:right="734"/>
              <w:jc w:val="center"/>
              <w:rPr>
                <w:sz w:val="24"/>
              </w:rPr>
            </w:pPr>
            <w:r>
              <w:rPr>
                <w:sz w:val="24"/>
              </w:rPr>
              <w:t>833</w:t>
            </w:r>
          </w:p>
        </w:tc>
      </w:tr>
      <w:tr>
        <w:trPr>
          <w:trHeight w:val="277" w:hRule="atLeast"/>
        </w:trPr>
        <w:tc>
          <w:tcPr>
            <w:tcW w:w="5412" w:type="dxa"/>
          </w:tcPr>
          <w:p>
            <w:pPr>
              <w:pStyle w:val="TableParagraph"/>
              <w:spacing w:line="258" w:lineRule="exact"/>
              <w:ind w:left="110"/>
              <w:rPr>
                <w:sz w:val="24"/>
              </w:rPr>
            </w:pPr>
            <w:r>
              <w:rPr>
                <w:sz w:val="24"/>
              </w:rPr>
              <w:t>± до контролю, %</w:t>
            </w:r>
          </w:p>
        </w:tc>
        <w:tc>
          <w:tcPr>
            <w:tcW w:w="1984" w:type="dxa"/>
          </w:tcPr>
          <w:p>
            <w:pPr>
              <w:pStyle w:val="TableParagraph"/>
              <w:spacing w:line="258" w:lineRule="exact"/>
              <w:ind w:left="6"/>
              <w:jc w:val="center"/>
              <w:rPr>
                <w:sz w:val="24"/>
              </w:rPr>
            </w:pPr>
            <w:r>
              <w:rPr>
                <w:w w:val="99"/>
                <w:sz w:val="24"/>
              </w:rPr>
              <w:t>-</w:t>
            </w:r>
          </w:p>
        </w:tc>
        <w:tc>
          <w:tcPr>
            <w:tcW w:w="2272" w:type="dxa"/>
          </w:tcPr>
          <w:p>
            <w:pPr>
              <w:pStyle w:val="TableParagraph"/>
              <w:spacing w:line="258" w:lineRule="exact"/>
              <w:ind w:left="739" w:right="734"/>
              <w:jc w:val="center"/>
              <w:rPr>
                <w:sz w:val="24"/>
              </w:rPr>
            </w:pPr>
            <w:r>
              <w:rPr>
                <w:sz w:val="24"/>
              </w:rPr>
              <w:t>+121,9</w:t>
            </w:r>
          </w:p>
        </w:tc>
      </w:tr>
      <w:tr>
        <w:trPr>
          <w:trHeight w:val="273" w:hRule="atLeast"/>
        </w:trPr>
        <w:tc>
          <w:tcPr>
            <w:tcW w:w="5412" w:type="dxa"/>
          </w:tcPr>
          <w:p>
            <w:pPr>
              <w:pStyle w:val="TableParagraph"/>
              <w:spacing w:line="253" w:lineRule="exact"/>
              <w:ind w:left="110"/>
              <w:rPr>
                <w:sz w:val="24"/>
              </w:rPr>
            </w:pPr>
            <w:r>
              <w:rPr>
                <w:sz w:val="24"/>
              </w:rPr>
              <w:t>Витрати корму на 1 кг приросту, корм. од.</w:t>
            </w:r>
          </w:p>
        </w:tc>
        <w:tc>
          <w:tcPr>
            <w:tcW w:w="1984" w:type="dxa"/>
          </w:tcPr>
          <w:p>
            <w:pPr>
              <w:pStyle w:val="TableParagraph"/>
              <w:spacing w:line="253" w:lineRule="exact"/>
              <w:ind w:left="790" w:right="773"/>
              <w:jc w:val="center"/>
              <w:rPr>
                <w:sz w:val="24"/>
              </w:rPr>
            </w:pPr>
            <w:r>
              <w:rPr>
                <w:sz w:val="24"/>
              </w:rPr>
              <w:t>3,9</w:t>
            </w:r>
          </w:p>
        </w:tc>
        <w:tc>
          <w:tcPr>
            <w:tcW w:w="2272" w:type="dxa"/>
          </w:tcPr>
          <w:p>
            <w:pPr>
              <w:pStyle w:val="TableParagraph"/>
              <w:spacing w:line="253" w:lineRule="exact"/>
              <w:ind w:left="747" w:right="731"/>
              <w:jc w:val="center"/>
              <w:rPr>
                <w:sz w:val="24"/>
              </w:rPr>
            </w:pPr>
            <w:r>
              <w:rPr>
                <w:sz w:val="24"/>
              </w:rPr>
              <w:t>3,2</w:t>
            </w:r>
          </w:p>
        </w:tc>
      </w:tr>
      <w:tr>
        <w:trPr>
          <w:trHeight w:val="277" w:hRule="atLeast"/>
        </w:trPr>
        <w:tc>
          <w:tcPr>
            <w:tcW w:w="5412" w:type="dxa"/>
          </w:tcPr>
          <w:p>
            <w:pPr>
              <w:pStyle w:val="TableParagraph"/>
              <w:spacing w:line="258" w:lineRule="exact"/>
              <w:ind w:left="110"/>
              <w:rPr>
                <w:sz w:val="24"/>
              </w:rPr>
            </w:pPr>
            <w:r>
              <w:rPr>
                <w:sz w:val="24"/>
              </w:rPr>
              <w:t>± до контролю, корм.од.</w:t>
            </w:r>
          </w:p>
        </w:tc>
        <w:tc>
          <w:tcPr>
            <w:tcW w:w="1984" w:type="dxa"/>
          </w:tcPr>
          <w:p>
            <w:pPr>
              <w:pStyle w:val="TableParagraph"/>
              <w:spacing w:line="258" w:lineRule="exact"/>
              <w:ind w:left="6"/>
              <w:jc w:val="center"/>
              <w:rPr>
                <w:sz w:val="24"/>
              </w:rPr>
            </w:pPr>
            <w:r>
              <w:rPr>
                <w:w w:val="99"/>
                <w:sz w:val="24"/>
              </w:rPr>
              <w:t>-</w:t>
            </w:r>
          </w:p>
        </w:tc>
        <w:tc>
          <w:tcPr>
            <w:tcW w:w="2272" w:type="dxa"/>
          </w:tcPr>
          <w:p>
            <w:pPr>
              <w:pStyle w:val="TableParagraph"/>
              <w:spacing w:line="258" w:lineRule="exact"/>
              <w:ind w:left="745" w:right="734"/>
              <w:jc w:val="center"/>
              <w:rPr>
                <w:sz w:val="24"/>
              </w:rPr>
            </w:pPr>
            <w:r>
              <w:rPr>
                <w:sz w:val="24"/>
              </w:rPr>
              <w:t>-0,7</w:t>
            </w:r>
          </w:p>
        </w:tc>
      </w:tr>
      <w:tr>
        <w:trPr>
          <w:trHeight w:val="278" w:hRule="atLeast"/>
        </w:trPr>
        <w:tc>
          <w:tcPr>
            <w:tcW w:w="5412" w:type="dxa"/>
          </w:tcPr>
          <w:p>
            <w:pPr>
              <w:pStyle w:val="TableParagraph"/>
              <w:spacing w:line="259" w:lineRule="exact"/>
              <w:ind w:left="110"/>
              <w:rPr>
                <w:sz w:val="24"/>
              </w:rPr>
            </w:pPr>
            <w:r>
              <w:rPr>
                <w:sz w:val="24"/>
              </w:rPr>
              <w:t>± до контролю, %</w:t>
            </w:r>
          </w:p>
        </w:tc>
        <w:tc>
          <w:tcPr>
            <w:tcW w:w="1984" w:type="dxa"/>
          </w:tcPr>
          <w:p>
            <w:pPr>
              <w:pStyle w:val="TableParagraph"/>
              <w:spacing w:line="259" w:lineRule="exact"/>
              <w:ind w:left="6"/>
              <w:jc w:val="center"/>
              <w:rPr>
                <w:sz w:val="24"/>
              </w:rPr>
            </w:pPr>
            <w:r>
              <w:rPr>
                <w:w w:val="99"/>
                <w:sz w:val="24"/>
              </w:rPr>
              <w:t>-</w:t>
            </w:r>
          </w:p>
        </w:tc>
        <w:tc>
          <w:tcPr>
            <w:tcW w:w="2272" w:type="dxa"/>
          </w:tcPr>
          <w:p>
            <w:pPr>
              <w:pStyle w:val="TableParagraph"/>
              <w:spacing w:line="259" w:lineRule="exact"/>
              <w:ind w:left="747" w:right="734"/>
              <w:jc w:val="center"/>
              <w:rPr>
                <w:sz w:val="24"/>
              </w:rPr>
            </w:pPr>
            <w:r>
              <w:rPr>
                <w:sz w:val="24"/>
              </w:rPr>
              <w:t>82,05%</w:t>
            </w:r>
          </w:p>
        </w:tc>
      </w:tr>
    </w:tbl>
    <w:p>
      <w:pPr>
        <w:pStyle w:val="BodyText"/>
        <w:spacing w:before="4"/>
        <w:ind w:left="0"/>
        <w:jc w:val="left"/>
        <w:rPr>
          <w:sz w:val="27"/>
        </w:rPr>
      </w:pPr>
    </w:p>
    <w:p>
      <w:pPr>
        <w:pStyle w:val="BodyText"/>
        <w:ind w:right="613" w:firstLine="710"/>
      </w:pPr>
      <w:r>
        <w:rPr/>
        <w:t>Так у другій дослідній групі за основний період було одержано приросту на 8,9 кг більше в порівняні </w:t>
      </w:r>
      <w:r>
        <w:rPr>
          <w:spacing w:val="-3"/>
        </w:rPr>
        <w:t>із </w:t>
      </w:r>
      <w:r>
        <w:rPr/>
        <w:t>тваринами контрольної групи. Як за приростом живої маси, так і за середньодобовими приростами між контрольною та дослідною групами, різниця була однаково вірогідна (p&lt;0,01). Дослідження туш піддослідних</w:t>
      </w:r>
      <w:r>
        <w:rPr>
          <w:spacing w:val="-23"/>
        </w:rPr>
        <w:t> </w:t>
      </w:r>
      <w:r>
        <w:rPr/>
        <w:t>тварин</w:t>
      </w:r>
      <w:r>
        <w:rPr>
          <w:spacing w:val="-19"/>
        </w:rPr>
        <w:t> </w:t>
      </w:r>
      <w:r>
        <w:rPr/>
        <w:t>у</w:t>
      </w:r>
      <w:r>
        <w:rPr>
          <w:spacing w:val="-23"/>
        </w:rPr>
        <w:t> </w:t>
      </w:r>
      <w:r>
        <w:rPr/>
        <w:t>досліді</w:t>
      </w:r>
      <w:r>
        <w:rPr>
          <w:spacing w:val="-23"/>
        </w:rPr>
        <w:t> </w:t>
      </w:r>
      <w:r>
        <w:rPr/>
        <w:t>показали,</w:t>
      </w:r>
      <w:r>
        <w:rPr>
          <w:spacing w:val="-16"/>
        </w:rPr>
        <w:t> </w:t>
      </w:r>
      <w:r>
        <w:rPr/>
        <w:t>що</w:t>
      </w:r>
      <w:r>
        <w:rPr>
          <w:spacing w:val="-19"/>
        </w:rPr>
        <w:t> </w:t>
      </w:r>
      <w:r>
        <w:rPr/>
        <w:t>показник</w:t>
      </w:r>
      <w:r>
        <w:rPr>
          <w:spacing w:val="-19"/>
        </w:rPr>
        <w:t> </w:t>
      </w:r>
      <w:r>
        <w:rPr/>
        <w:t>калорійності</w:t>
      </w:r>
      <w:r>
        <w:rPr>
          <w:spacing w:val="-23"/>
        </w:rPr>
        <w:t> </w:t>
      </w:r>
      <w:r>
        <w:rPr/>
        <w:t>м’яса</w:t>
      </w:r>
      <w:r>
        <w:rPr>
          <w:spacing w:val="-21"/>
        </w:rPr>
        <w:t> </w:t>
      </w:r>
      <w:r>
        <w:rPr/>
        <w:t>у</w:t>
      </w:r>
      <w:r>
        <w:rPr>
          <w:spacing w:val="-23"/>
        </w:rPr>
        <w:t> </w:t>
      </w:r>
      <w:r>
        <w:rPr/>
        <w:t>тварин дослідної групи був вищим на 3,5 кДж, ніж у контрольній. Потрібно відзначити, що</w:t>
      </w:r>
      <w:r>
        <w:rPr>
          <w:spacing w:val="-8"/>
        </w:rPr>
        <w:t> </w:t>
      </w:r>
      <w:r>
        <w:rPr/>
        <w:t>при</w:t>
      </w:r>
      <w:r>
        <w:rPr>
          <w:spacing w:val="-7"/>
        </w:rPr>
        <w:t> </w:t>
      </w:r>
      <w:r>
        <w:rPr/>
        <w:t>забої</w:t>
      </w:r>
      <w:r>
        <w:rPr>
          <w:spacing w:val="-13"/>
        </w:rPr>
        <w:t> </w:t>
      </w:r>
      <w:r>
        <w:rPr/>
        <w:t>туші</w:t>
      </w:r>
      <w:r>
        <w:rPr>
          <w:spacing w:val="-13"/>
        </w:rPr>
        <w:t> </w:t>
      </w:r>
      <w:r>
        <w:rPr/>
        <w:t>свиней</w:t>
      </w:r>
      <w:r>
        <w:rPr>
          <w:spacing w:val="-7"/>
        </w:rPr>
        <w:t> </w:t>
      </w:r>
      <w:r>
        <w:rPr/>
        <w:t>на</w:t>
      </w:r>
      <w:r>
        <w:rPr>
          <w:spacing w:val="-2"/>
        </w:rPr>
        <w:t> </w:t>
      </w:r>
      <w:r>
        <w:rPr/>
        <w:t>відгодівлі,</w:t>
      </w:r>
      <w:r>
        <w:rPr>
          <w:spacing w:val="-5"/>
        </w:rPr>
        <w:t> </w:t>
      </w:r>
      <w:r>
        <w:rPr>
          <w:spacing w:val="3"/>
        </w:rPr>
        <w:t>які</w:t>
      </w:r>
      <w:r>
        <w:rPr>
          <w:spacing w:val="-13"/>
        </w:rPr>
        <w:t> </w:t>
      </w:r>
      <w:r>
        <w:rPr/>
        <w:t>отримували</w:t>
      </w:r>
      <w:r>
        <w:rPr>
          <w:spacing w:val="-7"/>
        </w:rPr>
        <w:t> </w:t>
      </w:r>
      <w:r>
        <w:rPr/>
        <w:t>суспензію</w:t>
      </w:r>
      <w:r>
        <w:rPr>
          <w:spacing w:val="-4"/>
        </w:rPr>
        <w:t> </w:t>
      </w:r>
      <w:r>
        <w:rPr/>
        <w:t>хлорели,</w:t>
      </w:r>
      <w:r>
        <w:rPr>
          <w:spacing w:val="-5"/>
        </w:rPr>
        <w:t> </w:t>
      </w:r>
      <w:r>
        <w:rPr/>
        <w:t>мали більшу</w:t>
      </w:r>
      <w:r>
        <w:rPr>
          <w:spacing w:val="-19"/>
        </w:rPr>
        <w:t> </w:t>
      </w:r>
      <w:r>
        <w:rPr/>
        <w:t>інтенсивність</w:t>
      </w:r>
      <w:r>
        <w:rPr>
          <w:spacing w:val="-20"/>
        </w:rPr>
        <w:t> </w:t>
      </w:r>
      <w:r>
        <w:rPr/>
        <w:t>забарвлення.</w:t>
      </w:r>
      <w:r>
        <w:rPr>
          <w:spacing w:val="-13"/>
        </w:rPr>
        <w:t> </w:t>
      </w:r>
      <w:r>
        <w:rPr/>
        <w:t>Цей</w:t>
      </w:r>
      <w:r>
        <w:rPr>
          <w:spacing w:val="-18"/>
        </w:rPr>
        <w:t> </w:t>
      </w:r>
      <w:r>
        <w:rPr/>
        <w:t>показник</w:t>
      </w:r>
      <w:r>
        <w:rPr>
          <w:spacing w:val="-19"/>
        </w:rPr>
        <w:t> </w:t>
      </w:r>
      <w:r>
        <w:rPr/>
        <w:t>ми</w:t>
      </w:r>
      <w:r>
        <w:rPr>
          <w:spacing w:val="-19"/>
        </w:rPr>
        <w:t> </w:t>
      </w:r>
      <w:r>
        <w:rPr/>
        <w:t>пов’язуємо</w:t>
      </w:r>
      <w:r>
        <w:rPr>
          <w:spacing w:val="-19"/>
        </w:rPr>
        <w:t> </w:t>
      </w:r>
      <w:r>
        <w:rPr/>
        <w:t>з</w:t>
      </w:r>
      <w:r>
        <w:rPr>
          <w:spacing w:val="-18"/>
        </w:rPr>
        <w:t> </w:t>
      </w:r>
      <w:r>
        <w:rPr/>
        <w:t>вищим</w:t>
      </w:r>
      <w:r>
        <w:rPr>
          <w:spacing w:val="-18"/>
        </w:rPr>
        <w:t> </w:t>
      </w:r>
      <w:r>
        <w:rPr/>
        <w:t>вмістом міоглобіну, за рахунок інтенсивного обміну в організмі тварин</w:t>
      </w:r>
      <w:r>
        <w:rPr>
          <w:spacing w:val="-5"/>
        </w:rPr>
        <w:t> </w:t>
      </w:r>
      <w:r>
        <w:rPr/>
        <w:t>(табл.3).</w:t>
      </w:r>
    </w:p>
    <w:p>
      <w:pPr>
        <w:pStyle w:val="BodyText"/>
        <w:spacing w:after="4"/>
        <w:ind w:right="625" w:firstLine="710"/>
      </w:pPr>
      <w:r>
        <w:rPr/>
        <w:t>Таблиця 3. Показники якості м’яса піддослідних свиней (через 24 години після забою)</w:t>
      </w:r>
    </w:p>
    <w:tbl>
      <w:tblPr>
        <w:tblW w:w="0" w:type="auto"/>
        <w:jc w:val="left"/>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21"/>
        <w:gridCol w:w="2016"/>
        <w:gridCol w:w="2804"/>
      </w:tblGrid>
      <w:tr>
        <w:trPr>
          <w:trHeight w:val="278" w:hRule="atLeast"/>
        </w:trPr>
        <w:tc>
          <w:tcPr>
            <w:tcW w:w="4821" w:type="dxa"/>
            <w:vMerge w:val="restart"/>
          </w:tcPr>
          <w:p>
            <w:pPr>
              <w:pStyle w:val="TableParagraph"/>
              <w:spacing w:line="273" w:lineRule="exact"/>
              <w:ind w:left="667"/>
              <w:rPr>
                <w:sz w:val="24"/>
              </w:rPr>
            </w:pPr>
            <w:r>
              <w:rPr>
                <w:sz w:val="24"/>
              </w:rPr>
              <w:t>Показники</w:t>
            </w:r>
          </w:p>
        </w:tc>
        <w:tc>
          <w:tcPr>
            <w:tcW w:w="4820" w:type="dxa"/>
            <w:gridSpan w:val="2"/>
          </w:tcPr>
          <w:p>
            <w:pPr>
              <w:pStyle w:val="TableParagraph"/>
              <w:spacing w:line="258" w:lineRule="exact"/>
              <w:ind w:left="2350" w:right="1784"/>
              <w:jc w:val="center"/>
              <w:rPr>
                <w:sz w:val="24"/>
              </w:rPr>
            </w:pPr>
            <w:r>
              <w:rPr>
                <w:sz w:val="24"/>
              </w:rPr>
              <w:t>Групи</w:t>
            </w:r>
          </w:p>
        </w:tc>
      </w:tr>
      <w:tr>
        <w:trPr>
          <w:trHeight w:val="277" w:hRule="atLeast"/>
        </w:trPr>
        <w:tc>
          <w:tcPr>
            <w:tcW w:w="4821" w:type="dxa"/>
            <w:vMerge/>
            <w:tcBorders>
              <w:top w:val="nil"/>
            </w:tcBorders>
          </w:tcPr>
          <w:p>
            <w:pPr>
              <w:rPr>
                <w:sz w:val="2"/>
                <w:szCs w:val="2"/>
              </w:rPr>
            </w:pPr>
          </w:p>
        </w:tc>
        <w:tc>
          <w:tcPr>
            <w:tcW w:w="2016" w:type="dxa"/>
          </w:tcPr>
          <w:p>
            <w:pPr>
              <w:pStyle w:val="TableParagraph"/>
              <w:spacing w:line="258" w:lineRule="exact"/>
              <w:ind w:left="322" w:right="269"/>
              <w:jc w:val="center"/>
              <w:rPr>
                <w:sz w:val="24"/>
              </w:rPr>
            </w:pPr>
            <w:r>
              <w:rPr>
                <w:sz w:val="24"/>
              </w:rPr>
              <w:t>1-контрольна</w:t>
            </w:r>
          </w:p>
        </w:tc>
        <w:tc>
          <w:tcPr>
            <w:tcW w:w="2804" w:type="dxa"/>
          </w:tcPr>
          <w:p>
            <w:pPr>
              <w:pStyle w:val="TableParagraph"/>
              <w:spacing w:line="258" w:lineRule="exact"/>
              <w:ind w:left="856" w:right="802"/>
              <w:jc w:val="center"/>
              <w:rPr>
                <w:sz w:val="24"/>
              </w:rPr>
            </w:pPr>
            <w:r>
              <w:rPr>
                <w:sz w:val="24"/>
              </w:rPr>
              <w:t>2-дослідна</w:t>
            </w:r>
          </w:p>
        </w:tc>
      </w:tr>
      <w:tr>
        <w:trPr>
          <w:trHeight w:val="273" w:hRule="atLeast"/>
        </w:trPr>
        <w:tc>
          <w:tcPr>
            <w:tcW w:w="4821" w:type="dxa"/>
          </w:tcPr>
          <w:p>
            <w:pPr>
              <w:pStyle w:val="TableParagraph"/>
              <w:spacing w:line="253" w:lineRule="exact"/>
              <w:ind w:left="105"/>
              <w:rPr>
                <w:sz w:val="24"/>
              </w:rPr>
            </w:pPr>
            <w:r>
              <w:rPr>
                <w:sz w:val="24"/>
              </w:rPr>
              <w:t>Загальна волога ,%</w:t>
            </w:r>
          </w:p>
        </w:tc>
        <w:tc>
          <w:tcPr>
            <w:tcW w:w="2016" w:type="dxa"/>
          </w:tcPr>
          <w:p>
            <w:pPr>
              <w:pStyle w:val="TableParagraph"/>
              <w:spacing w:line="253" w:lineRule="exact"/>
              <w:ind w:left="316" w:right="269"/>
              <w:jc w:val="center"/>
              <w:rPr>
                <w:sz w:val="24"/>
              </w:rPr>
            </w:pPr>
            <w:r>
              <w:rPr>
                <w:sz w:val="24"/>
              </w:rPr>
              <w:t>75,15±1,45</w:t>
            </w:r>
          </w:p>
        </w:tc>
        <w:tc>
          <w:tcPr>
            <w:tcW w:w="2804" w:type="dxa"/>
          </w:tcPr>
          <w:p>
            <w:pPr>
              <w:pStyle w:val="TableParagraph"/>
              <w:spacing w:line="253" w:lineRule="exact"/>
              <w:ind w:left="857" w:right="799"/>
              <w:jc w:val="center"/>
              <w:rPr>
                <w:sz w:val="24"/>
              </w:rPr>
            </w:pPr>
            <w:r>
              <w:rPr>
                <w:sz w:val="24"/>
              </w:rPr>
              <w:t>76,25±2,70</w:t>
            </w:r>
          </w:p>
        </w:tc>
      </w:tr>
      <w:tr>
        <w:trPr>
          <w:trHeight w:val="277" w:hRule="atLeast"/>
        </w:trPr>
        <w:tc>
          <w:tcPr>
            <w:tcW w:w="4821" w:type="dxa"/>
          </w:tcPr>
          <w:p>
            <w:pPr>
              <w:pStyle w:val="TableParagraph"/>
              <w:spacing w:line="258" w:lineRule="exact"/>
              <w:ind w:left="167"/>
              <w:rPr>
                <w:sz w:val="24"/>
              </w:rPr>
            </w:pPr>
            <w:r>
              <w:rPr>
                <w:sz w:val="24"/>
              </w:rPr>
              <w:t>в т.ч. вільна, %</w:t>
            </w:r>
          </w:p>
        </w:tc>
        <w:tc>
          <w:tcPr>
            <w:tcW w:w="2016" w:type="dxa"/>
          </w:tcPr>
          <w:p>
            <w:pPr>
              <w:pStyle w:val="TableParagraph"/>
              <w:spacing w:line="258" w:lineRule="exact"/>
              <w:ind w:left="316" w:right="269"/>
              <w:jc w:val="center"/>
              <w:rPr>
                <w:sz w:val="24"/>
              </w:rPr>
            </w:pPr>
            <w:r>
              <w:rPr>
                <w:sz w:val="24"/>
              </w:rPr>
              <w:t>36,20±3,18</w:t>
            </w:r>
          </w:p>
        </w:tc>
        <w:tc>
          <w:tcPr>
            <w:tcW w:w="2804" w:type="dxa"/>
          </w:tcPr>
          <w:p>
            <w:pPr>
              <w:pStyle w:val="TableParagraph"/>
              <w:spacing w:line="258" w:lineRule="exact"/>
              <w:ind w:left="857" w:right="799"/>
              <w:jc w:val="center"/>
              <w:rPr>
                <w:sz w:val="24"/>
              </w:rPr>
            </w:pPr>
            <w:r>
              <w:rPr>
                <w:sz w:val="24"/>
              </w:rPr>
              <w:t>38,51±2,17</w:t>
            </w:r>
          </w:p>
        </w:tc>
      </w:tr>
      <w:tr>
        <w:trPr>
          <w:trHeight w:val="273" w:hRule="atLeast"/>
        </w:trPr>
        <w:tc>
          <w:tcPr>
            <w:tcW w:w="4821" w:type="dxa"/>
          </w:tcPr>
          <w:p>
            <w:pPr>
              <w:pStyle w:val="TableParagraph"/>
              <w:spacing w:line="254" w:lineRule="exact"/>
              <w:ind w:left="167"/>
              <w:rPr>
                <w:sz w:val="24"/>
              </w:rPr>
            </w:pPr>
            <w:r>
              <w:rPr>
                <w:sz w:val="24"/>
              </w:rPr>
              <w:t>зв’язана, %</w:t>
            </w:r>
          </w:p>
        </w:tc>
        <w:tc>
          <w:tcPr>
            <w:tcW w:w="2016" w:type="dxa"/>
          </w:tcPr>
          <w:p>
            <w:pPr>
              <w:pStyle w:val="TableParagraph"/>
              <w:spacing w:line="254" w:lineRule="exact"/>
              <w:ind w:left="316" w:right="269"/>
              <w:jc w:val="center"/>
              <w:rPr>
                <w:sz w:val="24"/>
              </w:rPr>
            </w:pPr>
            <w:r>
              <w:rPr>
                <w:sz w:val="24"/>
              </w:rPr>
              <w:t>38,95±3,92</w:t>
            </w:r>
          </w:p>
        </w:tc>
        <w:tc>
          <w:tcPr>
            <w:tcW w:w="2804" w:type="dxa"/>
          </w:tcPr>
          <w:p>
            <w:pPr>
              <w:pStyle w:val="TableParagraph"/>
              <w:spacing w:line="254" w:lineRule="exact"/>
              <w:ind w:left="857" w:right="799"/>
              <w:jc w:val="center"/>
              <w:rPr>
                <w:sz w:val="24"/>
              </w:rPr>
            </w:pPr>
            <w:r>
              <w:rPr>
                <w:sz w:val="24"/>
              </w:rPr>
              <w:t>37,74±3,91</w:t>
            </w:r>
          </w:p>
        </w:tc>
      </w:tr>
      <w:tr>
        <w:trPr>
          <w:trHeight w:val="277" w:hRule="atLeast"/>
        </w:trPr>
        <w:tc>
          <w:tcPr>
            <w:tcW w:w="4821" w:type="dxa"/>
          </w:tcPr>
          <w:p>
            <w:pPr>
              <w:pStyle w:val="TableParagraph"/>
              <w:spacing w:line="258" w:lineRule="exact"/>
              <w:ind w:left="105"/>
              <w:rPr>
                <w:sz w:val="24"/>
              </w:rPr>
            </w:pPr>
            <w:r>
              <w:rPr>
                <w:sz w:val="24"/>
              </w:rPr>
              <w:t>Суха речовина, %</w:t>
            </w:r>
          </w:p>
        </w:tc>
        <w:tc>
          <w:tcPr>
            <w:tcW w:w="2016" w:type="dxa"/>
          </w:tcPr>
          <w:p>
            <w:pPr>
              <w:pStyle w:val="TableParagraph"/>
              <w:spacing w:line="258" w:lineRule="exact"/>
              <w:ind w:left="316" w:right="269"/>
              <w:jc w:val="center"/>
              <w:rPr>
                <w:sz w:val="24"/>
              </w:rPr>
            </w:pPr>
            <w:r>
              <w:rPr>
                <w:sz w:val="24"/>
              </w:rPr>
              <w:t>24,85±1,28</w:t>
            </w:r>
          </w:p>
        </w:tc>
        <w:tc>
          <w:tcPr>
            <w:tcW w:w="2804" w:type="dxa"/>
          </w:tcPr>
          <w:p>
            <w:pPr>
              <w:pStyle w:val="TableParagraph"/>
              <w:spacing w:line="258" w:lineRule="exact"/>
              <w:ind w:left="857" w:right="799"/>
              <w:jc w:val="center"/>
              <w:rPr>
                <w:sz w:val="24"/>
              </w:rPr>
            </w:pPr>
            <w:r>
              <w:rPr>
                <w:sz w:val="24"/>
              </w:rPr>
              <w:t>23,75±2,19</w:t>
            </w:r>
          </w:p>
        </w:tc>
      </w:tr>
      <w:tr>
        <w:trPr>
          <w:trHeight w:val="277" w:hRule="atLeast"/>
        </w:trPr>
        <w:tc>
          <w:tcPr>
            <w:tcW w:w="4821" w:type="dxa"/>
          </w:tcPr>
          <w:p>
            <w:pPr>
              <w:pStyle w:val="TableParagraph"/>
              <w:spacing w:line="258" w:lineRule="exact"/>
              <w:ind w:left="105"/>
              <w:rPr>
                <w:sz w:val="24"/>
              </w:rPr>
            </w:pPr>
            <w:r>
              <w:rPr>
                <w:sz w:val="24"/>
              </w:rPr>
              <w:t>pH</w:t>
            </w:r>
          </w:p>
        </w:tc>
        <w:tc>
          <w:tcPr>
            <w:tcW w:w="2016" w:type="dxa"/>
          </w:tcPr>
          <w:p>
            <w:pPr>
              <w:pStyle w:val="TableParagraph"/>
              <w:spacing w:line="258" w:lineRule="exact"/>
              <w:ind w:left="321" w:right="269"/>
              <w:jc w:val="center"/>
              <w:rPr>
                <w:sz w:val="24"/>
              </w:rPr>
            </w:pPr>
            <w:r>
              <w:rPr>
                <w:sz w:val="24"/>
              </w:rPr>
              <w:t>5,21±1,07</w:t>
            </w:r>
          </w:p>
        </w:tc>
        <w:tc>
          <w:tcPr>
            <w:tcW w:w="2804" w:type="dxa"/>
          </w:tcPr>
          <w:p>
            <w:pPr>
              <w:pStyle w:val="TableParagraph"/>
              <w:spacing w:line="258" w:lineRule="exact"/>
              <w:ind w:left="857" w:right="794"/>
              <w:jc w:val="center"/>
              <w:rPr>
                <w:sz w:val="24"/>
              </w:rPr>
            </w:pPr>
            <w:r>
              <w:rPr>
                <w:sz w:val="24"/>
              </w:rPr>
              <w:t>5,19±0,03</w:t>
            </w:r>
          </w:p>
        </w:tc>
      </w:tr>
      <w:tr>
        <w:trPr>
          <w:trHeight w:val="273" w:hRule="atLeast"/>
        </w:trPr>
        <w:tc>
          <w:tcPr>
            <w:tcW w:w="4821" w:type="dxa"/>
          </w:tcPr>
          <w:p>
            <w:pPr>
              <w:pStyle w:val="TableParagraph"/>
              <w:spacing w:line="253" w:lineRule="exact"/>
              <w:ind w:left="105"/>
              <w:rPr>
                <w:sz w:val="24"/>
              </w:rPr>
            </w:pPr>
            <w:r>
              <w:rPr>
                <w:sz w:val="24"/>
              </w:rPr>
              <w:t>Інтенсивність забарвлення, е-100</w:t>
            </w:r>
          </w:p>
        </w:tc>
        <w:tc>
          <w:tcPr>
            <w:tcW w:w="2016" w:type="dxa"/>
          </w:tcPr>
          <w:p>
            <w:pPr>
              <w:pStyle w:val="TableParagraph"/>
              <w:spacing w:line="253" w:lineRule="exact"/>
              <w:ind w:left="321" w:right="269"/>
              <w:jc w:val="center"/>
              <w:rPr>
                <w:sz w:val="24"/>
              </w:rPr>
            </w:pPr>
            <w:r>
              <w:rPr>
                <w:sz w:val="24"/>
              </w:rPr>
              <w:t>16,1±0,51</w:t>
            </w:r>
          </w:p>
        </w:tc>
        <w:tc>
          <w:tcPr>
            <w:tcW w:w="2804" w:type="dxa"/>
          </w:tcPr>
          <w:p>
            <w:pPr>
              <w:pStyle w:val="TableParagraph"/>
              <w:spacing w:line="253" w:lineRule="exact"/>
              <w:ind w:left="857" w:right="799"/>
              <w:jc w:val="center"/>
              <w:rPr>
                <w:sz w:val="24"/>
              </w:rPr>
            </w:pPr>
            <w:r>
              <w:rPr>
                <w:sz w:val="24"/>
              </w:rPr>
              <w:t>16,9±0,9</w:t>
            </w:r>
          </w:p>
        </w:tc>
      </w:tr>
      <w:tr>
        <w:trPr>
          <w:trHeight w:val="277" w:hRule="atLeast"/>
        </w:trPr>
        <w:tc>
          <w:tcPr>
            <w:tcW w:w="4821" w:type="dxa"/>
          </w:tcPr>
          <w:p>
            <w:pPr>
              <w:pStyle w:val="TableParagraph"/>
              <w:spacing w:line="258" w:lineRule="exact"/>
              <w:ind w:left="105"/>
              <w:rPr>
                <w:sz w:val="16"/>
              </w:rPr>
            </w:pPr>
            <w:r>
              <w:rPr>
                <w:sz w:val="24"/>
              </w:rPr>
              <w:t>Площа відпресованого м’яса, см</w:t>
            </w:r>
            <w:r>
              <w:rPr>
                <w:position w:val="9"/>
                <w:sz w:val="16"/>
              </w:rPr>
              <w:t>2</w:t>
            </w:r>
          </w:p>
        </w:tc>
        <w:tc>
          <w:tcPr>
            <w:tcW w:w="2016" w:type="dxa"/>
          </w:tcPr>
          <w:p>
            <w:pPr>
              <w:pStyle w:val="TableParagraph"/>
              <w:spacing w:line="258" w:lineRule="exact"/>
              <w:ind w:left="321" w:right="269"/>
              <w:jc w:val="center"/>
              <w:rPr>
                <w:sz w:val="24"/>
              </w:rPr>
            </w:pPr>
            <w:r>
              <w:rPr>
                <w:sz w:val="24"/>
              </w:rPr>
              <w:t>2,49±0,17</w:t>
            </w:r>
          </w:p>
        </w:tc>
        <w:tc>
          <w:tcPr>
            <w:tcW w:w="2804" w:type="dxa"/>
          </w:tcPr>
          <w:p>
            <w:pPr>
              <w:pStyle w:val="TableParagraph"/>
              <w:spacing w:line="258" w:lineRule="exact"/>
              <w:ind w:left="857" w:right="794"/>
              <w:jc w:val="center"/>
              <w:rPr>
                <w:sz w:val="24"/>
              </w:rPr>
            </w:pPr>
            <w:r>
              <w:rPr>
                <w:sz w:val="24"/>
              </w:rPr>
              <w:t>2,20±0,14</w:t>
            </w:r>
          </w:p>
        </w:tc>
      </w:tr>
      <w:tr>
        <w:trPr>
          <w:trHeight w:val="273" w:hRule="atLeast"/>
        </w:trPr>
        <w:tc>
          <w:tcPr>
            <w:tcW w:w="4821" w:type="dxa"/>
          </w:tcPr>
          <w:p>
            <w:pPr>
              <w:pStyle w:val="TableParagraph"/>
              <w:spacing w:line="253" w:lineRule="exact"/>
              <w:ind w:left="105"/>
              <w:rPr>
                <w:sz w:val="24"/>
              </w:rPr>
            </w:pPr>
            <w:r>
              <w:rPr>
                <w:sz w:val="24"/>
              </w:rPr>
              <w:t>Кількість, см</w:t>
            </w:r>
            <w:r>
              <w:rPr>
                <w:position w:val="9"/>
                <w:sz w:val="16"/>
              </w:rPr>
              <w:t>2</w:t>
            </w:r>
            <w:r>
              <w:rPr>
                <w:sz w:val="24"/>
              </w:rPr>
              <w:t>/г загального азоту</w:t>
            </w:r>
          </w:p>
        </w:tc>
        <w:tc>
          <w:tcPr>
            <w:tcW w:w="2016" w:type="dxa"/>
          </w:tcPr>
          <w:p>
            <w:pPr>
              <w:pStyle w:val="TableParagraph"/>
              <w:spacing w:line="253" w:lineRule="exact"/>
              <w:ind w:left="316" w:right="269"/>
              <w:jc w:val="center"/>
              <w:rPr>
                <w:sz w:val="24"/>
              </w:rPr>
            </w:pPr>
            <w:r>
              <w:rPr>
                <w:sz w:val="24"/>
              </w:rPr>
              <w:t>210±11,2</w:t>
            </w:r>
          </w:p>
        </w:tc>
        <w:tc>
          <w:tcPr>
            <w:tcW w:w="2804" w:type="dxa"/>
          </w:tcPr>
          <w:p>
            <w:pPr>
              <w:pStyle w:val="TableParagraph"/>
              <w:spacing w:line="253" w:lineRule="exact"/>
              <w:ind w:left="855" w:right="802"/>
              <w:jc w:val="center"/>
              <w:rPr>
                <w:sz w:val="24"/>
              </w:rPr>
            </w:pPr>
            <w:r>
              <w:rPr>
                <w:sz w:val="24"/>
              </w:rPr>
              <w:t>195±6,9</w:t>
            </w:r>
          </w:p>
        </w:tc>
      </w:tr>
      <w:tr>
        <w:trPr>
          <w:trHeight w:val="277" w:hRule="atLeast"/>
        </w:trPr>
        <w:tc>
          <w:tcPr>
            <w:tcW w:w="4821" w:type="dxa"/>
          </w:tcPr>
          <w:p>
            <w:pPr>
              <w:pStyle w:val="TableParagraph"/>
              <w:spacing w:line="258" w:lineRule="exact"/>
              <w:ind w:left="105"/>
              <w:rPr>
                <w:sz w:val="24"/>
              </w:rPr>
            </w:pPr>
            <w:r>
              <w:rPr>
                <w:sz w:val="24"/>
              </w:rPr>
              <w:t>Мармуровість</w:t>
            </w:r>
          </w:p>
        </w:tc>
        <w:tc>
          <w:tcPr>
            <w:tcW w:w="2016" w:type="dxa"/>
          </w:tcPr>
          <w:p>
            <w:pPr>
              <w:pStyle w:val="TableParagraph"/>
              <w:spacing w:line="258" w:lineRule="exact"/>
              <w:ind w:left="316" w:right="269"/>
              <w:jc w:val="center"/>
              <w:rPr>
                <w:sz w:val="24"/>
              </w:rPr>
            </w:pPr>
            <w:r>
              <w:rPr>
                <w:sz w:val="24"/>
              </w:rPr>
              <w:t>6,8±1,29</w:t>
            </w:r>
          </w:p>
        </w:tc>
        <w:tc>
          <w:tcPr>
            <w:tcW w:w="2804" w:type="dxa"/>
          </w:tcPr>
          <w:p>
            <w:pPr>
              <w:pStyle w:val="TableParagraph"/>
              <w:spacing w:line="258" w:lineRule="exact"/>
              <w:ind w:left="857" w:right="799"/>
              <w:jc w:val="center"/>
              <w:rPr>
                <w:sz w:val="24"/>
              </w:rPr>
            </w:pPr>
            <w:r>
              <w:rPr>
                <w:sz w:val="24"/>
              </w:rPr>
              <w:t>7,0±1,30</w:t>
            </w:r>
          </w:p>
        </w:tc>
      </w:tr>
      <w:tr>
        <w:trPr>
          <w:trHeight w:val="273" w:hRule="atLeast"/>
        </w:trPr>
        <w:tc>
          <w:tcPr>
            <w:tcW w:w="4821" w:type="dxa"/>
          </w:tcPr>
          <w:p>
            <w:pPr>
              <w:pStyle w:val="TableParagraph"/>
              <w:spacing w:line="254" w:lineRule="exact"/>
              <w:ind w:left="105"/>
              <w:rPr>
                <w:sz w:val="24"/>
              </w:rPr>
            </w:pPr>
            <w:r>
              <w:rPr>
                <w:sz w:val="24"/>
              </w:rPr>
              <w:t>Калорійність, кДж</w:t>
            </w:r>
          </w:p>
        </w:tc>
        <w:tc>
          <w:tcPr>
            <w:tcW w:w="2016" w:type="dxa"/>
          </w:tcPr>
          <w:p>
            <w:pPr>
              <w:pStyle w:val="TableParagraph"/>
              <w:spacing w:line="254" w:lineRule="exact"/>
              <w:ind w:left="312" w:right="269"/>
              <w:jc w:val="center"/>
              <w:rPr>
                <w:sz w:val="24"/>
              </w:rPr>
            </w:pPr>
            <w:r>
              <w:rPr>
                <w:sz w:val="24"/>
              </w:rPr>
              <w:t>5040±3,71</w:t>
            </w:r>
          </w:p>
        </w:tc>
        <w:tc>
          <w:tcPr>
            <w:tcW w:w="2804" w:type="dxa"/>
          </w:tcPr>
          <w:p>
            <w:pPr>
              <w:pStyle w:val="TableParagraph"/>
              <w:spacing w:line="254" w:lineRule="exact"/>
              <w:ind w:left="855" w:right="802"/>
              <w:jc w:val="center"/>
              <w:rPr>
                <w:sz w:val="24"/>
              </w:rPr>
            </w:pPr>
            <w:r>
              <w:rPr>
                <w:sz w:val="24"/>
              </w:rPr>
              <w:t>5393±3,50</w:t>
            </w:r>
          </w:p>
        </w:tc>
      </w:tr>
      <w:tr>
        <w:trPr>
          <w:trHeight w:val="278" w:hRule="atLeast"/>
        </w:trPr>
        <w:tc>
          <w:tcPr>
            <w:tcW w:w="4821" w:type="dxa"/>
          </w:tcPr>
          <w:p>
            <w:pPr>
              <w:pStyle w:val="TableParagraph"/>
              <w:spacing w:line="258" w:lineRule="exact"/>
              <w:ind w:left="105"/>
              <w:rPr>
                <w:sz w:val="24"/>
              </w:rPr>
            </w:pPr>
            <w:r>
              <w:rPr>
                <w:sz w:val="24"/>
              </w:rPr>
              <w:t>Азот, %</w:t>
            </w:r>
          </w:p>
        </w:tc>
        <w:tc>
          <w:tcPr>
            <w:tcW w:w="2016" w:type="dxa"/>
          </w:tcPr>
          <w:p>
            <w:pPr>
              <w:pStyle w:val="TableParagraph"/>
              <w:spacing w:line="258" w:lineRule="exact"/>
              <w:ind w:left="316" w:right="269"/>
              <w:jc w:val="center"/>
              <w:rPr>
                <w:sz w:val="24"/>
              </w:rPr>
            </w:pPr>
            <w:r>
              <w:rPr>
                <w:sz w:val="24"/>
              </w:rPr>
              <w:t>4,0±1,12</w:t>
            </w:r>
          </w:p>
        </w:tc>
        <w:tc>
          <w:tcPr>
            <w:tcW w:w="2804" w:type="dxa"/>
          </w:tcPr>
          <w:p>
            <w:pPr>
              <w:pStyle w:val="TableParagraph"/>
              <w:spacing w:line="258" w:lineRule="exact"/>
              <w:ind w:left="857" w:right="799"/>
              <w:jc w:val="center"/>
              <w:rPr>
                <w:sz w:val="24"/>
              </w:rPr>
            </w:pPr>
            <w:r>
              <w:rPr>
                <w:sz w:val="24"/>
              </w:rPr>
              <w:t>4,4±0,19</w:t>
            </w:r>
          </w:p>
        </w:tc>
      </w:tr>
      <w:tr>
        <w:trPr>
          <w:trHeight w:val="277" w:hRule="atLeast"/>
        </w:trPr>
        <w:tc>
          <w:tcPr>
            <w:tcW w:w="4821" w:type="dxa"/>
          </w:tcPr>
          <w:p>
            <w:pPr>
              <w:pStyle w:val="TableParagraph"/>
              <w:spacing w:line="258" w:lineRule="exact"/>
              <w:ind w:left="105"/>
              <w:rPr>
                <w:sz w:val="24"/>
              </w:rPr>
            </w:pPr>
            <w:r>
              <w:rPr>
                <w:sz w:val="24"/>
              </w:rPr>
              <w:t>Жир,%</w:t>
            </w:r>
          </w:p>
        </w:tc>
        <w:tc>
          <w:tcPr>
            <w:tcW w:w="2016" w:type="dxa"/>
          </w:tcPr>
          <w:p>
            <w:pPr>
              <w:pStyle w:val="TableParagraph"/>
              <w:spacing w:line="258" w:lineRule="exact"/>
              <w:ind w:left="321" w:right="269"/>
              <w:jc w:val="center"/>
              <w:rPr>
                <w:sz w:val="24"/>
              </w:rPr>
            </w:pPr>
            <w:r>
              <w:rPr>
                <w:sz w:val="24"/>
              </w:rPr>
              <w:t>1,95±0,29</w:t>
            </w:r>
          </w:p>
        </w:tc>
        <w:tc>
          <w:tcPr>
            <w:tcW w:w="2804" w:type="dxa"/>
          </w:tcPr>
          <w:p>
            <w:pPr>
              <w:pStyle w:val="TableParagraph"/>
              <w:spacing w:line="258" w:lineRule="exact"/>
              <w:ind w:left="857" w:right="799"/>
              <w:jc w:val="center"/>
              <w:rPr>
                <w:sz w:val="24"/>
              </w:rPr>
            </w:pPr>
            <w:r>
              <w:rPr>
                <w:sz w:val="24"/>
              </w:rPr>
              <w:t>2,2±0,45</w:t>
            </w:r>
          </w:p>
        </w:tc>
      </w:tr>
    </w:tbl>
    <w:p>
      <w:pPr>
        <w:pStyle w:val="BodyText"/>
        <w:ind w:right="619" w:firstLine="710"/>
      </w:pPr>
      <w:r>
        <w:rPr/>
        <w:t>Проведені дослідження по кількості зв’язаної води в м’ясі піддослідних тварин показали, що цей показник був дещо більшим у тушах дослідної групи і склав 38,56% по відношенню до м’яса тушок контрольної групи, а кількість вільної води була менша на 5,6%, у тварин які споживали суспензію хлорели</w:t>
      </w:r>
    </w:p>
    <w:p>
      <w:pPr>
        <w:spacing w:after="0"/>
        <w:sectPr>
          <w:pgSz w:w="11910" w:h="16840"/>
          <w:pgMar w:header="713" w:footer="778" w:top="1140" w:bottom="960" w:left="940" w:right="520"/>
        </w:sectPr>
      </w:pPr>
    </w:p>
    <w:p>
      <w:pPr>
        <w:pStyle w:val="BodyText"/>
        <w:spacing w:before="92"/>
        <w:ind w:right="611"/>
      </w:pPr>
      <w:r>
        <w:rPr/>
        <w:t>кількість азоту і жиру в м’ясі піддослідних свиней, як через 24 години після забою так і після 30-добового зберігання при температурі 25</w:t>
      </w:r>
      <w:r>
        <w:rPr>
          <w:rFonts w:ascii="Tahoma" w:hAnsi="Tahoma"/>
          <w:i/>
        </w:rPr>
        <w:t>̊</w:t>
      </w:r>
      <w:r>
        <w:rPr/>
        <w:t>C не змінилась (табл.4).</w:t>
      </w:r>
    </w:p>
    <w:p>
      <w:pPr>
        <w:pStyle w:val="BodyText"/>
        <w:spacing w:after="7"/>
        <w:ind w:right="627" w:firstLine="710"/>
      </w:pPr>
      <w:r>
        <w:rPr/>
        <w:t>Таблиця 4. Показники якості м’яса піддослідних свиней після розморожування через 30 діб зберігання (-25</w:t>
      </w:r>
      <w:r>
        <w:rPr>
          <w:rFonts w:ascii="Tahoma" w:hAnsi="Tahoma"/>
          <w:i/>
        </w:rPr>
        <w:t>̊</w:t>
      </w:r>
      <w:r>
        <w:rPr>
          <w:rFonts w:ascii="Tahoma" w:hAnsi="Tahoma"/>
          <w:i/>
          <w:spacing w:val="-9"/>
        </w:rPr>
        <w:t> </w:t>
      </w:r>
      <w:r>
        <w:rPr/>
        <w:t>C)</w:t>
      </w:r>
    </w:p>
    <w:tbl>
      <w:tblPr>
        <w:tblW w:w="0" w:type="auto"/>
        <w:jc w:val="left"/>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60"/>
        <w:gridCol w:w="2161"/>
        <w:gridCol w:w="2627"/>
      </w:tblGrid>
      <w:tr>
        <w:trPr>
          <w:trHeight w:val="278" w:hRule="atLeast"/>
        </w:trPr>
        <w:tc>
          <w:tcPr>
            <w:tcW w:w="4960" w:type="dxa"/>
            <w:vMerge w:val="restart"/>
          </w:tcPr>
          <w:p>
            <w:pPr>
              <w:pStyle w:val="TableParagraph"/>
              <w:spacing w:line="268" w:lineRule="exact"/>
              <w:ind w:left="1901" w:right="1894"/>
              <w:jc w:val="center"/>
              <w:rPr>
                <w:sz w:val="24"/>
              </w:rPr>
            </w:pPr>
            <w:r>
              <w:rPr>
                <w:sz w:val="24"/>
              </w:rPr>
              <w:t>Показники</w:t>
            </w:r>
          </w:p>
        </w:tc>
        <w:tc>
          <w:tcPr>
            <w:tcW w:w="4788" w:type="dxa"/>
            <w:gridSpan w:val="2"/>
          </w:tcPr>
          <w:p>
            <w:pPr>
              <w:pStyle w:val="TableParagraph"/>
              <w:spacing w:line="258" w:lineRule="exact"/>
              <w:ind w:left="2057" w:right="2045"/>
              <w:jc w:val="center"/>
              <w:rPr>
                <w:sz w:val="24"/>
              </w:rPr>
            </w:pPr>
            <w:r>
              <w:rPr>
                <w:sz w:val="24"/>
              </w:rPr>
              <w:t>Групи</w:t>
            </w:r>
          </w:p>
        </w:tc>
      </w:tr>
      <w:tr>
        <w:trPr>
          <w:trHeight w:val="277" w:hRule="atLeast"/>
        </w:trPr>
        <w:tc>
          <w:tcPr>
            <w:tcW w:w="4960" w:type="dxa"/>
            <w:vMerge/>
            <w:tcBorders>
              <w:top w:val="nil"/>
            </w:tcBorders>
          </w:tcPr>
          <w:p>
            <w:pPr>
              <w:rPr>
                <w:sz w:val="2"/>
                <w:szCs w:val="2"/>
              </w:rPr>
            </w:pPr>
          </w:p>
        </w:tc>
        <w:tc>
          <w:tcPr>
            <w:tcW w:w="2161" w:type="dxa"/>
          </w:tcPr>
          <w:p>
            <w:pPr>
              <w:pStyle w:val="TableParagraph"/>
              <w:spacing w:line="258" w:lineRule="exact"/>
              <w:ind w:left="393"/>
              <w:rPr>
                <w:sz w:val="24"/>
              </w:rPr>
            </w:pPr>
            <w:r>
              <w:rPr>
                <w:sz w:val="24"/>
              </w:rPr>
              <w:t>1-контрольна</w:t>
            </w:r>
          </w:p>
        </w:tc>
        <w:tc>
          <w:tcPr>
            <w:tcW w:w="2627" w:type="dxa"/>
          </w:tcPr>
          <w:p>
            <w:pPr>
              <w:pStyle w:val="TableParagraph"/>
              <w:spacing w:line="258" w:lineRule="exact"/>
              <w:ind w:right="756"/>
              <w:jc w:val="right"/>
              <w:rPr>
                <w:sz w:val="24"/>
              </w:rPr>
            </w:pPr>
            <w:r>
              <w:rPr>
                <w:sz w:val="24"/>
              </w:rPr>
              <w:t>2-дослідна</w:t>
            </w:r>
          </w:p>
        </w:tc>
      </w:tr>
      <w:tr>
        <w:trPr>
          <w:trHeight w:val="273" w:hRule="atLeast"/>
        </w:trPr>
        <w:tc>
          <w:tcPr>
            <w:tcW w:w="4960" w:type="dxa"/>
          </w:tcPr>
          <w:p>
            <w:pPr>
              <w:pStyle w:val="TableParagraph"/>
              <w:spacing w:line="253" w:lineRule="exact"/>
              <w:ind w:left="105"/>
              <w:rPr>
                <w:sz w:val="24"/>
              </w:rPr>
            </w:pPr>
            <w:r>
              <w:rPr>
                <w:sz w:val="24"/>
              </w:rPr>
              <w:t>Загальна волога ,%</w:t>
            </w:r>
          </w:p>
        </w:tc>
        <w:tc>
          <w:tcPr>
            <w:tcW w:w="2161" w:type="dxa"/>
          </w:tcPr>
          <w:p>
            <w:pPr>
              <w:pStyle w:val="TableParagraph"/>
              <w:spacing w:line="253" w:lineRule="exact"/>
              <w:ind w:left="537"/>
              <w:rPr>
                <w:sz w:val="24"/>
              </w:rPr>
            </w:pPr>
            <w:r>
              <w:rPr>
                <w:sz w:val="24"/>
              </w:rPr>
              <w:t>72,67±1,39</w:t>
            </w:r>
          </w:p>
        </w:tc>
        <w:tc>
          <w:tcPr>
            <w:tcW w:w="2627" w:type="dxa"/>
          </w:tcPr>
          <w:p>
            <w:pPr>
              <w:pStyle w:val="TableParagraph"/>
              <w:spacing w:line="253" w:lineRule="exact"/>
              <w:ind w:left="1027" w:right="1009"/>
              <w:jc w:val="center"/>
              <w:rPr>
                <w:sz w:val="24"/>
              </w:rPr>
            </w:pPr>
            <w:r>
              <w:rPr>
                <w:sz w:val="24"/>
              </w:rPr>
              <w:t>71,56</w:t>
            </w:r>
          </w:p>
        </w:tc>
      </w:tr>
      <w:tr>
        <w:trPr>
          <w:trHeight w:val="277" w:hRule="atLeast"/>
        </w:trPr>
        <w:tc>
          <w:tcPr>
            <w:tcW w:w="4960" w:type="dxa"/>
          </w:tcPr>
          <w:p>
            <w:pPr>
              <w:pStyle w:val="TableParagraph"/>
              <w:spacing w:line="258" w:lineRule="exact"/>
              <w:ind w:left="167"/>
              <w:rPr>
                <w:sz w:val="24"/>
              </w:rPr>
            </w:pPr>
            <w:r>
              <w:rPr>
                <w:sz w:val="24"/>
              </w:rPr>
              <w:t>в т.ч. вільна, %</w:t>
            </w:r>
          </w:p>
        </w:tc>
        <w:tc>
          <w:tcPr>
            <w:tcW w:w="2161" w:type="dxa"/>
          </w:tcPr>
          <w:p>
            <w:pPr>
              <w:pStyle w:val="TableParagraph"/>
              <w:spacing w:line="258" w:lineRule="exact"/>
              <w:ind w:left="792" w:right="778"/>
              <w:jc w:val="center"/>
              <w:rPr>
                <w:sz w:val="24"/>
              </w:rPr>
            </w:pPr>
            <w:r>
              <w:rPr>
                <w:sz w:val="24"/>
              </w:rPr>
              <w:t>38,60</w:t>
            </w:r>
          </w:p>
        </w:tc>
        <w:tc>
          <w:tcPr>
            <w:tcW w:w="2627" w:type="dxa"/>
          </w:tcPr>
          <w:p>
            <w:pPr>
              <w:pStyle w:val="TableParagraph"/>
              <w:spacing w:line="258" w:lineRule="exact"/>
              <w:ind w:left="1023" w:right="1009"/>
              <w:jc w:val="center"/>
              <w:rPr>
                <w:sz w:val="24"/>
              </w:rPr>
            </w:pPr>
            <w:r>
              <w:rPr>
                <w:sz w:val="24"/>
              </w:rPr>
              <w:t>33,0</w:t>
            </w:r>
          </w:p>
        </w:tc>
      </w:tr>
      <w:tr>
        <w:trPr>
          <w:trHeight w:val="273" w:hRule="atLeast"/>
        </w:trPr>
        <w:tc>
          <w:tcPr>
            <w:tcW w:w="4960" w:type="dxa"/>
          </w:tcPr>
          <w:p>
            <w:pPr>
              <w:pStyle w:val="TableParagraph"/>
              <w:spacing w:line="253" w:lineRule="exact"/>
              <w:ind w:left="167"/>
              <w:rPr>
                <w:sz w:val="24"/>
              </w:rPr>
            </w:pPr>
            <w:r>
              <w:rPr>
                <w:sz w:val="24"/>
              </w:rPr>
              <w:t>зв’язана, %</w:t>
            </w:r>
          </w:p>
        </w:tc>
        <w:tc>
          <w:tcPr>
            <w:tcW w:w="2161" w:type="dxa"/>
          </w:tcPr>
          <w:p>
            <w:pPr>
              <w:pStyle w:val="TableParagraph"/>
              <w:spacing w:line="253" w:lineRule="exact"/>
              <w:ind w:left="792" w:right="778"/>
              <w:jc w:val="center"/>
              <w:rPr>
                <w:sz w:val="24"/>
              </w:rPr>
            </w:pPr>
            <w:r>
              <w:rPr>
                <w:sz w:val="24"/>
              </w:rPr>
              <w:t>34,07</w:t>
            </w:r>
          </w:p>
        </w:tc>
        <w:tc>
          <w:tcPr>
            <w:tcW w:w="2627" w:type="dxa"/>
          </w:tcPr>
          <w:p>
            <w:pPr>
              <w:pStyle w:val="TableParagraph"/>
              <w:spacing w:line="253" w:lineRule="exact"/>
              <w:ind w:left="1027" w:right="1009"/>
              <w:jc w:val="center"/>
              <w:rPr>
                <w:sz w:val="24"/>
              </w:rPr>
            </w:pPr>
            <w:r>
              <w:rPr>
                <w:sz w:val="24"/>
              </w:rPr>
              <w:t>38,56</w:t>
            </w:r>
          </w:p>
        </w:tc>
      </w:tr>
      <w:tr>
        <w:trPr>
          <w:trHeight w:val="278" w:hRule="atLeast"/>
        </w:trPr>
        <w:tc>
          <w:tcPr>
            <w:tcW w:w="4960" w:type="dxa"/>
          </w:tcPr>
          <w:p>
            <w:pPr>
              <w:pStyle w:val="TableParagraph"/>
              <w:spacing w:line="258" w:lineRule="exact"/>
              <w:ind w:left="105"/>
              <w:rPr>
                <w:sz w:val="24"/>
              </w:rPr>
            </w:pPr>
            <w:r>
              <w:rPr>
                <w:sz w:val="24"/>
              </w:rPr>
              <w:t>Суха речовина, %</w:t>
            </w:r>
          </w:p>
        </w:tc>
        <w:tc>
          <w:tcPr>
            <w:tcW w:w="2161" w:type="dxa"/>
          </w:tcPr>
          <w:p>
            <w:pPr>
              <w:pStyle w:val="TableParagraph"/>
              <w:spacing w:line="258" w:lineRule="exact"/>
              <w:ind w:left="792" w:right="778"/>
              <w:jc w:val="center"/>
              <w:rPr>
                <w:sz w:val="24"/>
              </w:rPr>
            </w:pPr>
            <w:r>
              <w:rPr>
                <w:sz w:val="24"/>
              </w:rPr>
              <w:t>27,28</w:t>
            </w:r>
          </w:p>
        </w:tc>
        <w:tc>
          <w:tcPr>
            <w:tcW w:w="2627" w:type="dxa"/>
          </w:tcPr>
          <w:p>
            <w:pPr>
              <w:pStyle w:val="TableParagraph"/>
              <w:spacing w:line="258" w:lineRule="exact"/>
              <w:ind w:left="1027" w:right="1009"/>
              <w:jc w:val="center"/>
              <w:rPr>
                <w:sz w:val="24"/>
              </w:rPr>
            </w:pPr>
            <w:r>
              <w:rPr>
                <w:sz w:val="24"/>
              </w:rPr>
              <w:t>28,44</w:t>
            </w:r>
          </w:p>
        </w:tc>
      </w:tr>
      <w:tr>
        <w:trPr>
          <w:trHeight w:val="273" w:hRule="atLeast"/>
        </w:trPr>
        <w:tc>
          <w:tcPr>
            <w:tcW w:w="4960" w:type="dxa"/>
          </w:tcPr>
          <w:p>
            <w:pPr>
              <w:pStyle w:val="TableParagraph"/>
              <w:spacing w:line="253" w:lineRule="exact"/>
              <w:ind w:left="105"/>
              <w:rPr>
                <w:sz w:val="24"/>
              </w:rPr>
            </w:pPr>
            <w:r>
              <w:rPr>
                <w:sz w:val="24"/>
              </w:rPr>
              <w:t>pH</w:t>
            </w:r>
          </w:p>
        </w:tc>
        <w:tc>
          <w:tcPr>
            <w:tcW w:w="2161" w:type="dxa"/>
          </w:tcPr>
          <w:p>
            <w:pPr>
              <w:pStyle w:val="TableParagraph"/>
              <w:spacing w:line="253" w:lineRule="exact"/>
              <w:ind w:left="792" w:right="773"/>
              <w:jc w:val="center"/>
              <w:rPr>
                <w:sz w:val="24"/>
              </w:rPr>
            </w:pPr>
            <w:r>
              <w:rPr>
                <w:sz w:val="24"/>
              </w:rPr>
              <w:t>5,20</w:t>
            </w:r>
          </w:p>
        </w:tc>
        <w:tc>
          <w:tcPr>
            <w:tcW w:w="2627" w:type="dxa"/>
          </w:tcPr>
          <w:p>
            <w:pPr>
              <w:pStyle w:val="TableParagraph"/>
              <w:spacing w:line="253" w:lineRule="exact"/>
              <w:ind w:left="1023" w:right="1009"/>
              <w:jc w:val="center"/>
              <w:rPr>
                <w:sz w:val="24"/>
              </w:rPr>
            </w:pPr>
            <w:r>
              <w:rPr>
                <w:sz w:val="24"/>
              </w:rPr>
              <w:t>5,17</w:t>
            </w:r>
          </w:p>
        </w:tc>
      </w:tr>
      <w:tr>
        <w:trPr>
          <w:trHeight w:val="277" w:hRule="atLeast"/>
        </w:trPr>
        <w:tc>
          <w:tcPr>
            <w:tcW w:w="4960" w:type="dxa"/>
          </w:tcPr>
          <w:p>
            <w:pPr>
              <w:pStyle w:val="TableParagraph"/>
              <w:spacing w:line="258" w:lineRule="exact"/>
              <w:ind w:left="105"/>
              <w:rPr>
                <w:sz w:val="24"/>
              </w:rPr>
            </w:pPr>
            <w:r>
              <w:rPr>
                <w:sz w:val="24"/>
              </w:rPr>
              <w:t>Інтенсивність забарвлення , е-100</w:t>
            </w:r>
          </w:p>
        </w:tc>
        <w:tc>
          <w:tcPr>
            <w:tcW w:w="2161" w:type="dxa"/>
          </w:tcPr>
          <w:p>
            <w:pPr>
              <w:pStyle w:val="TableParagraph"/>
              <w:spacing w:line="258" w:lineRule="exact"/>
              <w:ind w:left="792" w:right="778"/>
              <w:jc w:val="center"/>
              <w:rPr>
                <w:sz w:val="24"/>
              </w:rPr>
            </w:pPr>
            <w:r>
              <w:rPr>
                <w:sz w:val="24"/>
              </w:rPr>
              <w:t>12,48</w:t>
            </w:r>
          </w:p>
        </w:tc>
        <w:tc>
          <w:tcPr>
            <w:tcW w:w="2627" w:type="dxa"/>
          </w:tcPr>
          <w:p>
            <w:pPr>
              <w:pStyle w:val="TableParagraph"/>
              <w:spacing w:line="258" w:lineRule="exact"/>
              <w:ind w:left="1027" w:right="1009"/>
              <w:jc w:val="center"/>
              <w:rPr>
                <w:sz w:val="24"/>
              </w:rPr>
            </w:pPr>
            <w:r>
              <w:rPr>
                <w:sz w:val="24"/>
              </w:rPr>
              <w:t>12,45</w:t>
            </w:r>
          </w:p>
        </w:tc>
      </w:tr>
      <w:tr>
        <w:trPr>
          <w:trHeight w:val="277" w:hRule="atLeast"/>
        </w:trPr>
        <w:tc>
          <w:tcPr>
            <w:tcW w:w="4960" w:type="dxa"/>
          </w:tcPr>
          <w:p>
            <w:pPr>
              <w:pStyle w:val="TableParagraph"/>
              <w:spacing w:line="258" w:lineRule="exact"/>
              <w:ind w:left="105"/>
              <w:rPr>
                <w:sz w:val="16"/>
              </w:rPr>
            </w:pPr>
            <w:r>
              <w:rPr>
                <w:sz w:val="24"/>
              </w:rPr>
              <w:t>Площа відпресованого м’яса, см</w:t>
            </w:r>
            <w:r>
              <w:rPr>
                <w:position w:val="9"/>
                <w:sz w:val="16"/>
              </w:rPr>
              <w:t>2</w:t>
            </w:r>
          </w:p>
        </w:tc>
        <w:tc>
          <w:tcPr>
            <w:tcW w:w="2161" w:type="dxa"/>
          </w:tcPr>
          <w:p>
            <w:pPr>
              <w:pStyle w:val="TableParagraph"/>
              <w:spacing w:line="258" w:lineRule="exact"/>
              <w:ind w:left="792" w:right="773"/>
              <w:jc w:val="center"/>
              <w:rPr>
                <w:sz w:val="24"/>
              </w:rPr>
            </w:pPr>
            <w:r>
              <w:rPr>
                <w:sz w:val="24"/>
              </w:rPr>
              <w:t>2,19</w:t>
            </w:r>
          </w:p>
        </w:tc>
        <w:tc>
          <w:tcPr>
            <w:tcW w:w="2627" w:type="dxa"/>
          </w:tcPr>
          <w:p>
            <w:pPr>
              <w:pStyle w:val="TableParagraph"/>
              <w:spacing w:line="258" w:lineRule="exact"/>
              <w:ind w:left="1027" w:right="1008"/>
              <w:jc w:val="center"/>
              <w:rPr>
                <w:sz w:val="24"/>
              </w:rPr>
            </w:pPr>
            <w:r>
              <w:rPr>
                <w:sz w:val="24"/>
              </w:rPr>
              <w:t>2,0</w:t>
            </w:r>
          </w:p>
        </w:tc>
      </w:tr>
      <w:tr>
        <w:trPr>
          <w:trHeight w:val="273" w:hRule="atLeast"/>
        </w:trPr>
        <w:tc>
          <w:tcPr>
            <w:tcW w:w="4960" w:type="dxa"/>
          </w:tcPr>
          <w:p>
            <w:pPr>
              <w:pStyle w:val="TableParagraph"/>
              <w:spacing w:line="253" w:lineRule="exact"/>
              <w:ind w:left="105"/>
              <w:rPr>
                <w:sz w:val="24"/>
              </w:rPr>
            </w:pPr>
            <w:r>
              <w:rPr>
                <w:sz w:val="24"/>
              </w:rPr>
              <w:t>Кількість, см</w:t>
            </w:r>
            <w:r>
              <w:rPr>
                <w:position w:val="9"/>
                <w:sz w:val="16"/>
              </w:rPr>
              <w:t>2</w:t>
            </w:r>
            <w:r>
              <w:rPr>
                <w:sz w:val="24"/>
              </w:rPr>
              <w:t>/г загального азоту</w:t>
            </w:r>
          </w:p>
        </w:tc>
        <w:tc>
          <w:tcPr>
            <w:tcW w:w="2161" w:type="dxa"/>
          </w:tcPr>
          <w:p>
            <w:pPr>
              <w:pStyle w:val="TableParagraph"/>
              <w:spacing w:line="253" w:lineRule="exact"/>
              <w:ind w:left="792" w:right="778"/>
              <w:jc w:val="center"/>
              <w:rPr>
                <w:sz w:val="24"/>
              </w:rPr>
            </w:pPr>
            <w:r>
              <w:rPr>
                <w:sz w:val="24"/>
              </w:rPr>
              <w:t>180,3</w:t>
            </w:r>
          </w:p>
        </w:tc>
        <w:tc>
          <w:tcPr>
            <w:tcW w:w="2627" w:type="dxa"/>
          </w:tcPr>
          <w:p>
            <w:pPr>
              <w:pStyle w:val="TableParagraph"/>
              <w:spacing w:line="253" w:lineRule="exact"/>
              <w:ind w:left="1027" w:right="1009"/>
              <w:jc w:val="center"/>
              <w:rPr>
                <w:sz w:val="24"/>
              </w:rPr>
            </w:pPr>
            <w:r>
              <w:rPr>
                <w:sz w:val="24"/>
              </w:rPr>
              <w:t>160,5</w:t>
            </w:r>
          </w:p>
        </w:tc>
      </w:tr>
      <w:tr>
        <w:trPr>
          <w:trHeight w:val="278" w:hRule="atLeast"/>
        </w:trPr>
        <w:tc>
          <w:tcPr>
            <w:tcW w:w="4960" w:type="dxa"/>
          </w:tcPr>
          <w:p>
            <w:pPr>
              <w:pStyle w:val="TableParagraph"/>
              <w:spacing w:line="258" w:lineRule="exact"/>
              <w:ind w:left="105"/>
              <w:rPr>
                <w:sz w:val="24"/>
              </w:rPr>
            </w:pPr>
            <w:r>
              <w:rPr>
                <w:sz w:val="24"/>
              </w:rPr>
              <w:t>Мармуровість</w:t>
            </w:r>
          </w:p>
        </w:tc>
        <w:tc>
          <w:tcPr>
            <w:tcW w:w="2161" w:type="dxa"/>
          </w:tcPr>
          <w:p>
            <w:pPr>
              <w:pStyle w:val="TableParagraph"/>
              <w:spacing w:line="258" w:lineRule="exact"/>
              <w:ind w:left="792" w:right="773"/>
              <w:jc w:val="center"/>
              <w:rPr>
                <w:sz w:val="24"/>
              </w:rPr>
            </w:pPr>
            <w:r>
              <w:rPr>
                <w:sz w:val="24"/>
              </w:rPr>
              <w:t>7,09</w:t>
            </w:r>
          </w:p>
        </w:tc>
        <w:tc>
          <w:tcPr>
            <w:tcW w:w="2627" w:type="dxa"/>
          </w:tcPr>
          <w:p>
            <w:pPr>
              <w:pStyle w:val="TableParagraph"/>
              <w:spacing w:line="258" w:lineRule="exact"/>
              <w:ind w:left="1023" w:right="1009"/>
              <w:jc w:val="center"/>
              <w:rPr>
                <w:sz w:val="24"/>
              </w:rPr>
            </w:pPr>
            <w:r>
              <w:rPr>
                <w:sz w:val="24"/>
              </w:rPr>
              <w:t>7,02</w:t>
            </w:r>
          </w:p>
        </w:tc>
      </w:tr>
      <w:tr>
        <w:trPr>
          <w:trHeight w:val="273" w:hRule="atLeast"/>
        </w:trPr>
        <w:tc>
          <w:tcPr>
            <w:tcW w:w="4960" w:type="dxa"/>
          </w:tcPr>
          <w:p>
            <w:pPr>
              <w:pStyle w:val="TableParagraph"/>
              <w:spacing w:line="254" w:lineRule="exact"/>
              <w:ind w:left="105"/>
              <w:rPr>
                <w:sz w:val="24"/>
              </w:rPr>
            </w:pPr>
            <w:r>
              <w:rPr>
                <w:sz w:val="24"/>
              </w:rPr>
              <w:t>Азот, %</w:t>
            </w:r>
          </w:p>
        </w:tc>
        <w:tc>
          <w:tcPr>
            <w:tcW w:w="2161" w:type="dxa"/>
          </w:tcPr>
          <w:p>
            <w:pPr>
              <w:pStyle w:val="TableParagraph"/>
              <w:spacing w:line="254" w:lineRule="exact"/>
              <w:ind w:left="792" w:right="773"/>
              <w:jc w:val="center"/>
              <w:rPr>
                <w:sz w:val="24"/>
              </w:rPr>
            </w:pPr>
            <w:r>
              <w:rPr>
                <w:sz w:val="24"/>
              </w:rPr>
              <w:t>4,19</w:t>
            </w:r>
          </w:p>
        </w:tc>
        <w:tc>
          <w:tcPr>
            <w:tcW w:w="2627" w:type="dxa"/>
          </w:tcPr>
          <w:p>
            <w:pPr>
              <w:pStyle w:val="TableParagraph"/>
              <w:spacing w:line="254" w:lineRule="exact"/>
              <w:ind w:left="1023" w:right="1009"/>
              <w:jc w:val="center"/>
              <w:rPr>
                <w:sz w:val="24"/>
              </w:rPr>
            </w:pPr>
            <w:r>
              <w:rPr>
                <w:sz w:val="24"/>
              </w:rPr>
              <w:t>4,42</w:t>
            </w:r>
          </w:p>
        </w:tc>
      </w:tr>
      <w:tr>
        <w:trPr>
          <w:trHeight w:val="277" w:hRule="atLeast"/>
        </w:trPr>
        <w:tc>
          <w:tcPr>
            <w:tcW w:w="4960" w:type="dxa"/>
          </w:tcPr>
          <w:p>
            <w:pPr>
              <w:pStyle w:val="TableParagraph"/>
              <w:spacing w:line="258" w:lineRule="exact"/>
              <w:ind w:left="667"/>
              <w:rPr>
                <w:sz w:val="24"/>
              </w:rPr>
            </w:pPr>
            <w:r>
              <w:rPr>
                <w:sz w:val="24"/>
              </w:rPr>
              <w:t>Жир,%</w:t>
            </w:r>
          </w:p>
        </w:tc>
        <w:tc>
          <w:tcPr>
            <w:tcW w:w="2161" w:type="dxa"/>
          </w:tcPr>
          <w:p>
            <w:pPr>
              <w:pStyle w:val="TableParagraph"/>
              <w:spacing w:line="258" w:lineRule="exact"/>
              <w:ind w:left="1152"/>
              <w:rPr>
                <w:sz w:val="24"/>
              </w:rPr>
            </w:pPr>
            <w:r>
              <w:rPr>
                <w:sz w:val="24"/>
              </w:rPr>
              <w:t>21,3</w:t>
            </w:r>
          </w:p>
        </w:tc>
        <w:tc>
          <w:tcPr>
            <w:tcW w:w="2627" w:type="dxa"/>
          </w:tcPr>
          <w:p>
            <w:pPr>
              <w:pStyle w:val="TableParagraph"/>
              <w:spacing w:line="258" w:lineRule="exact"/>
              <w:ind w:right="805"/>
              <w:jc w:val="right"/>
              <w:rPr>
                <w:sz w:val="24"/>
              </w:rPr>
            </w:pPr>
            <w:r>
              <w:rPr>
                <w:sz w:val="24"/>
              </w:rPr>
              <w:t>22,5</w:t>
            </w:r>
          </w:p>
        </w:tc>
      </w:tr>
    </w:tbl>
    <w:p>
      <w:pPr>
        <w:pStyle w:val="BodyText"/>
        <w:spacing w:before="4"/>
        <w:ind w:left="0"/>
        <w:jc w:val="left"/>
        <w:rPr>
          <w:sz w:val="27"/>
        </w:rPr>
      </w:pPr>
    </w:p>
    <w:p>
      <w:pPr>
        <w:pStyle w:val="BodyText"/>
        <w:ind w:right="612" w:firstLine="710"/>
      </w:pPr>
      <w:r>
        <w:rPr/>
        <w:t>Результати досліджень туш піддослідних свиней показали, що використання суспензії хлорели в раціонах свиней на відгодівлі в кількості 500 мл на голову, не виявлено достовірних змін в якості м’яса як через 24 години після забою, так і після 30-добового</w:t>
      </w:r>
      <w:r>
        <w:rPr>
          <w:spacing w:val="8"/>
        </w:rPr>
        <w:t> </w:t>
      </w:r>
      <w:r>
        <w:rPr/>
        <w:t>зберігання.</w:t>
      </w:r>
    </w:p>
    <w:p>
      <w:pPr>
        <w:pStyle w:val="BodyText"/>
        <w:ind w:right="611" w:firstLine="561"/>
      </w:pPr>
      <w:r>
        <w:rPr>
          <w:b/>
        </w:rPr>
        <w:t>Висновки. </w:t>
      </w:r>
      <w:r>
        <w:rPr/>
        <w:t>Проведені дослідження показали, що використання суспензії хлорели в раціонах свиней на відгодівлі не впливає негативно на показники якості м’яса. Використання суспензії хлорели в раціонах свиней на відгодівлі, сприяє збільшенню середньодобових приростів тварин дослідної групи на 82,05</w:t>
      </w:r>
    </w:p>
    <w:p>
      <w:pPr>
        <w:pStyle w:val="BodyText"/>
        <w:spacing w:before="2"/>
        <w:jc w:val="left"/>
      </w:pPr>
      <w:r>
        <w:rPr/>
        <w:t>%.</w:t>
      </w:r>
    </w:p>
    <w:p>
      <w:pPr>
        <w:pStyle w:val="Heading1"/>
        <w:spacing w:line="319" w:lineRule="exact" w:before="5"/>
        <w:ind w:left="187"/>
      </w:pPr>
      <w:r>
        <w:rPr/>
        <w:t>ЛІТЕРАТУРА</w:t>
      </w:r>
    </w:p>
    <w:p>
      <w:pPr>
        <w:pStyle w:val="ListParagraph"/>
        <w:numPr>
          <w:ilvl w:val="0"/>
          <w:numId w:val="12"/>
        </w:numPr>
        <w:tabs>
          <w:tab w:pos="1221" w:val="left" w:leader="none"/>
        </w:tabs>
        <w:spacing w:line="240" w:lineRule="auto" w:before="0" w:after="0"/>
        <w:ind w:left="193" w:right="618" w:firstLine="710"/>
        <w:jc w:val="both"/>
        <w:rPr>
          <w:sz w:val="28"/>
        </w:rPr>
      </w:pPr>
      <w:r>
        <w:rPr>
          <w:sz w:val="28"/>
        </w:rPr>
        <w:t>Ібатулін І.І. Годівля с.- г. тварин / І.І. Ібатулін, Д.О. Мельничук, Г.О. Богданов та </w:t>
      </w:r>
      <w:r>
        <w:rPr>
          <w:spacing w:val="-3"/>
          <w:sz w:val="28"/>
        </w:rPr>
        <w:t>ін. </w:t>
      </w:r>
      <w:r>
        <w:rPr>
          <w:sz w:val="28"/>
        </w:rPr>
        <w:t>: підручник,Вінниця; Нова книга, 2007 – 616</w:t>
      </w:r>
      <w:r>
        <w:rPr>
          <w:spacing w:val="20"/>
          <w:sz w:val="28"/>
        </w:rPr>
        <w:t> </w:t>
      </w:r>
      <w:r>
        <w:rPr>
          <w:sz w:val="28"/>
        </w:rPr>
        <w:t>с.</w:t>
      </w:r>
    </w:p>
    <w:p>
      <w:pPr>
        <w:pStyle w:val="ListParagraph"/>
        <w:numPr>
          <w:ilvl w:val="0"/>
          <w:numId w:val="12"/>
        </w:numPr>
        <w:tabs>
          <w:tab w:pos="1361" w:val="left" w:leader="none"/>
        </w:tabs>
        <w:spacing w:line="240" w:lineRule="auto" w:before="0" w:after="0"/>
        <w:ind w:left="193" w:right="611" w:firstLine="710"/>
        <w:jc w:val="both"/>
        <w:rPr>
          <w:sz w:val="28"/>
        </w:rPr>
      </w:pPr>
      <w:r>
        <w:rPr>
          <w:sz w:val="28"/>
        </w:rPr>
        <w:t>Петухова Е.А., Зоотехнический анализ кормов Петухова Е.А., Бессарабова Р.Ф., Халенева Л.Д., Антонова О.Л. – Санкт-Петербург: Квадро, 2016.- 240 c.</w:t>
      </w:r>
    </w:p>
    <w:p>
      <w:pPr>
        <w:pStyle w:val="ListParagraph"/>
        <w:numPr>
          <w:ilvl w:val="0"/>
          <w:numId w:val="12"/>
        </w:numPr>
        <w:tabs>
          <w:tab w:pos="1217" w:val="left" w:leader="none"/>
        </w:tabs>
        <w:spacing w:line="240" w:lineRule="auto" w:before="0" w:after="0"/>
        <w:ind w:left="193" w:right="623" w:firstLine="710"/>
        <w:jc w:val="both"/>
        <w:rPr>
          <w:sz w:val="28"/>
        </w:rPr>
      </w:pPr>
      <w:r>
        <w:rPr>
          <w:sz w:val="28"/>
        </w:rPr>
        <w:t>Плохинский </w:t>
      </w:r>
      <w:r>
        <w:rPr>
          <w:spacing w:val="-3"/>
          <w:sz w:val="28"/>
        </w:rPr>
        <w:t>Н. А. </w:t>
      </w:r>
      <w:r>
        <w:rPr>
          <w:sz w:val="28"/>
        </w:rPr>
        <w:t>Руководство по биометрии для зоотехников / </w:t>
      </w:r>
      <w:r>
        <w:rPr>
          <w:spacing w:val="-3"/>
          <w:sz w:val="28"/>
        </w:rPr>
        <w:t>Н. А. </w:t>
      </w:r>
      <w:r>
        <w:rPr>
          <w:sz w:val="28"/>
        </w:rPr>
        <w:t>Плохинский. — М. : Колос, 1969. — 352</w:t>
      </w:r>
      <w:r>
        <w:rPr>
          <w:spacing w:val="14"/>
          <w:sz w:val="28"/>
        </w:rPr>
        <w:t> </w:t>
      </w:r>
      <w:r>
        <w:rPr>
          <w:sz w:val="28"/>
        </w:rPr>
        <w:t>с.</w:t>
      </w:r>
    </w:p>
    <w:p>
      <w:pPr>
        <w:pStyle w:val="ListParagraph"/>
        <w:numPr>
          <w:ilvl w:val="0"/>
          <w:numId w:val="12"/>
        </w:numPr>
        <w:tabs>
          <w:tab w:pos="1207" w:val="left" w:leader="none"/>
        </w:tabs>
        <w:spacing w:line="240" w:lineRule="auto" w:before="0" w:after="0"/>
        <w:ind w:left="193" w:right="609" w:firstLine="710"/>
        <w:jc w:val="both"/>
        <w:rPr>
          <w:sz w:val="28"/>
        </w:rPr>
      </w:pPr>
      <w:r>
        <w:rPr>
          <w:sz w:val="28"/>
        </w:rPr>
        <w:t>Лимар В. О. Прогресивні технології в свинарстві та їх переваги / В. О. Лимар,</w:t>
      </w:r>
      <w:r>
        <w:rPr>
          <w:spacing w:val="-13"/>
          <w:sz w:val="28"/>
        </w:rPr>
        <w:t> </w:t>
      </w:r>
      <w:r>
        <w:rPr>
          <w:sz w:val="28"/>
        </w:rPr>
        <w:t>В.</w:t>
      </w:r>
      <w:r>
        <w:rPr>
          <w:spacing w:val="-12"/>
          <w:sz w:val="28"/>
        </w:rPr>
        <w:t> </w:t>
      </w:r>
      <w:r>
        <w:rPr>
          <w:sz w:val="28"/>
        </w:rPr>
        <w:t>М.</w:t>
      </w:r>
      <w:r>
        <w:rPr>
          <w:spacing w:val="-12"/>
          <w:sz w:val="28"/>
        </w:rPr>
        <w:t> </w:t>
      </w:r>
      <w:r>
        <w:rPr>
          <w:sz w:val="28"/>
        </w:rPr>
        <w:t>Волощук,</w:t>
      </w:r>
      <w:r>
        <w:rPr>
          <w:spacing w:val="-12"/>
          <w:sz w:val="28"/>
        </w:rPr>
        <w:t> </w:t>
      </w:r>
      <w:r>
        <w:rPr>
          <w:sz w:val="28"/>
        </w:rPr>
        <w:t>І.</w:t>
      </w:r>
      <w:r>
        <w:rPr>
          <w:spacing w:val="-12"/>
          <w:sz w:val="28"/>
        </w:rPr>
        <w:t> </w:t>
      </w:r>
      <w:r>
        <w:rPr>
          <w:sz w:val="28"/>
        </w:rPr>
        <w:t>В.</w:t>
      </w:r>
      <w:r>
        <w:rPr>
          <w:spacing w:val="-12"/>
          <w:sz w:val="28"/>
        </w:rPr>
        <w:t> </w:t>
      </w:r>
      <w:r>
        <w:rPr>
          <w:sz w:val="28"/>
        </w:rPr>
        <w:t>Хатько</w:t>
      </w:r>
      <w:r>
        <w:rPr>
          <w:spacing w:val="-14"/>
          <w:sz w:val="28"/>
        </w:rPr>
        <w:t> </w:t>
      </w:r>
      <w:r>
        <w:rPr>
          <w:sz w:val="28"/>
        </w:rPr>
        <w:t>(та</w:t>
      </w:r>
      <w:r>
        <w:rPr>
          <w:spacing w:val="-14"/>
          <w:sz w:val="28"/>
        </w:rPr>
        <w:t> </w:t>
      </w:r>
      <w:r>
        <w:rPr>
          <w:sz w:val="28"/>
        </w:rPr>
        <w:t>інші)</w:t>
      </w:r>
      <w:r>
        <w:rPr>
          <w:spacing w:val="-15"/>
          <w:sz w:val="28"/>
        </w:rPr>
        <w:t> </w:t>
      </w:r>
      <w:r>
        <w:rPr>
          <w:sz w:val="28"/>
        </w:rPr>
        <w:t>//</w:t>
      </w:r>
      <w:r>
        <w:rPr>
          <w:spacing w:val="-15"/>
          <w:sz w:val="28"/>
        </w:rPr>
        <w:t> </w:t>
      </w:r>
      <w:r>
        <w:rPr>
          <w:sz w:val="28"/>
        </w:rPr>
        <w:t>СвинарствоУкраїни</w:t>
      </w:r>
      <w:r>
        <w:rPr>
          <w:spacing w:val="-14"/>
          <w:sz w:val="28"/>
        </w:rPr>
        <w:t> </w:t>
      </w:r>
      <w:r>
        <w:rPr>
          <w:sz w:val="28"/>
        </w:rPr>
        <w:t>.</w:t>
      </w:r>
      <w:r>
        <w:rPr>
          <w:spacing w:val="-5"/>
          <w:sz w:val="28"/>
        </w:rPr>
        <w:t> </w:t>
      </w:r>
      <w:r>
        <w:rPr>
          <w:sz w:val="28"/>
        </w:rPr>
        <w:t>–</w:t>
      </w:r>
      <w:r>
        <w:rPr>
          <w:spacing w:val="-14"/>
          <w:sz w:val="28"/>
        </w:rPr>
        <w:t> </w:t>
      </w:r>
      <w:r>
        <w:rPr>
          <w:sz w:val="28"/>
        </w:rPr>
        <w:t>2012.</w:t>
      </w:r>
      <w:r>
        <w:rPr>
          <w:spacing w:val="-16"/>
          <w:sz w:val="28"/>
        </w:rPr>
        <w:t> </w:t>
      </w:r>
      <w:r>
        <w:rPr>
          <w:sz w:val="28"/>
        </w:rPr>
        <w:t>-</w:t>
      </w:r>
      <w:r>
        <w:rPr>
          <w:spacing w:val="-19"/>
          <w:sz w:val="28"/>
        </w:rPr>
        <w:t> </w:t>
      </w:r>
      <w:r>
        <w:rPr>
          <w:sz w:val="28"/>
        </w:rPr>
        <w:t>№7.</w:t>
      </w:r>
    </w:p>
    <w:p>
      <w:pPr>
        <w:pStyle w:val="BodyText"/>
      </w:pPr>
      <w:r>
        <w:rPr/>
        <w:t>– с. 6-7.</w:t>
      </w:r>
    </w:p>
    <w:p>
      <w:pPr>
        <w:pStyle w:val="ListParagraph"/>
        <w:numPr>
          <w:ilvl w:val="0"/>
          <w:numId w:val="12"/>
        </w:numPr>
        <w:tabs>
          <w:tab w:pos="1207" w:val="left" w:leader="none"/>
        </w:tabs>
        <w:spacing w:line="240" w:lineRule="auto" w:before="0" w:after="0"/>
        <w:ind w:left="193" w:right="621" w:firstLine="710"/>
        <w:jc w:val="both"/>
        <w:rPr>
          <w:sz w:val="28"/>
        </w:rPr>
      </w:pPr>
      <w:r>
        <w:rPr>
          <w:sz w:val="28"/>
        </w:rPr>
        <w:t>Богданов Н.И. Хлорелла: зеленый корм круглый год / Н.И. Богданов // Комбикорма. – 2004. – № 3. – С.</w:t>
      </w:r>
      <w:r>
        <w:rPr>
          <w:spacing w:val="13"/>
          <w:sz w:val="28"/>
        </w:rPr>
        <w:t> </w:t>
      </w:r>
      <w:r>
        <w:rPr>
          <w:sz w:val="28"/>
        </w:rPr>
        <w:t>66.</w:t>
      </w:r>
    </w:p>
    <w:p>
      <w:pPr>
        <w:pStyle w:val="ListParagraph"/>
        <w:numPr>
          <w:ilvl w:val="0"/>
          <w:numId w:val="12"/>
        </w:numPr>
        <w:tabs>
          <w:tab w:pos="1173" w:val="left" w:leader="none"/>
        </w:tabs>
        <w:spacing w:line="321" w:lineRule="exact" w:before="0" w:after="0"/>
        <w:ind w:left="1173" w:right="0" w:hanging="270"/>
        <w:jc w:val="both"/>
        <w:rPr>
          <w:sz w:val="28"/>
        </w:rPr>
      </w:pPr>
      <w:r>
        <w:rPr>
          <w:sz w:val="28"/>
        </w:rPr>
        <w:t>Куликов</w:t>
      </w:r>
      <w:r>
        <w:rPr>
          <w:spacing w:val="-13"/>
          <w:sz w:val="28"/>
        </w:rPr>
        <w:t> </w:t>
      </w:r>
      <w:r>
        <w:rPr>
          <w:sz w:val="28"/>
        </w:rPr>
        <w:t>В.М.</w:t>
      </w:r>
      <w:r>
        <w:rPr>
          <w:spacing w:val="-13"/>
          <w:sz w:val="28"/>
        </w:rPr>
        <w:t> </w:t>
      </w:r>
      <w:r>
        <w:rPr>
          <w:sz w:val="28"/>
        </w:rPr>
        <w:t>Нетрадиционные</w:t>
      </w:r>
      <w:r>
        <w:rPr>
          <w:spacing w:val="-14"/>
          <w:sz w:val="28"/>
        </w:rPr>
        <w:t> </w:t>
      </w:r>
      <w:r>
        <w:rPr>
          <w:sz w:val="28"/>
        </w:rPr>
        <w:t>корма</w:t>
      </w:r>
      <w:r>
        <w:rPr>
          <w:spacing w:val="-14"/>
          <w:sz w:val="28"/>
        </w:rPr>
        <w:t> </w:t>
      </w:r>
      <w:r>
        <w:rPr>
          <w:sz w:val="28"/>
        </w:rPr>
        <w:t>и</w:t>
      </w:r>
      <w:r>
        <w:rPr>
          <w:spacing w:val="-15"/>
          <w:sz w:val="28"/>
        </w:rPr>
        <w:t> </w:t>
      </w:r>
      <w:r>
        <w:rPr>
          <w:sz w:val="28"/>
        </w:rPr>
        <w:t>их</w:t>
      </w:r>
      <w:r>
        <w:rPr>
          <w:spacing w:val="-20"/>
          <w:sz w:val="28"/>
        </w:rPr>
        <w:t> </w:t>
      </w:r>
      <w:r>
        <w:rPr>
          <w:sz w:val="28"/>
        </w:rPr>
        <w:t>использование/В.М.</w:t>
      </w:r>
      <w:r>
        <w:rPr>
          <w:spacing w:val="-13"/>
          <w:sz w:val="28"/>
        </w:rPr>
        <w:t> </w:t>
      </w:r>
      <w:r>
        <w:rPr>
          <w:sz w:val="28"/>
        </w:rPr>
        <w:t>Куликов</w:t>
      </w:r>
    </w:p>
    <w:p>
      <w:pPr>
        <w:pStyle w:val="BodyText"/>
        <w:spacing w:line="322" w:lineRule="exact"/>
      </w:pPr>
      <w:r>
        <w:rPr/>
        <w:t>// Оптимизация кормления животных. — 1991. — с. 159–163.</w:t>
      </w:r>
    </w:p>
    <w:p>
      <w:pPr>
        <w:pStyle w:val="ListParagraph"/>
        <w:numPr>
          <w:ilvl w:val="0"/>
          <w:numId w:val="12"/>
        </w:numPr>
        <w:tabs>
          <w:tab w:pos="1221" w:val="left" w:leader="none"/>
        </w:tabs>
        <w:spacing w:line="240" w:lineRule="auto" w:before="0" w:after="0"/>
        <w:ind w:left="193" w:right="614" w:firstLine="710"/>
        <w:jc w:val="both"/>
        <w:rPr>
          <w:sz w:val="28"/>
        </w:rPr>
      </w:pPr>
      <w:r>
        <w:rPr>
          <w:sz w:val="28"/>
        </w:rPr>
        <w:t>Ібатуллін І.І./ Практикум з годівлі сільськогосподарських тварин / І.І. Ібатуллін, (та інші) : Київ; 2015 –</w:t>
      </w:r>
      <w:r>
        <w:rPr>
          <w:spacing w:val="15"/>
          <w:sz w:val="28"/>
        </w:rPr>
        <w:t> </w:t>
      </w:r>
      <w:r>
        <w:rPr>
          <w:sz w:val="28"/>
        </w:rPr>
        <w:t>421с.</w:t>
      </w:r>
    </w:p>
    <w:p>
      <w:pPr>
        <w:pStyle w:val="ListParagraph"/>
        <w:numPr>
          <w:ilvl w:val="0"/>
          <w:numId w:val="12"/>
        </w:numPr>
        <w:tabs>
          <w:tab w:pos="1341" w:val="left" w:leader="none"/>
        </w:tabs>
        <w:spacing w:line="322" w:lineRule="exact" w:before="0" w:after="0"/>
        <w:ind w:left="1341" w:right="0" w:hanging="438"/>
        <w:jc w:val="both"/>
        <w:rPr>
          <w:sz w:val="28"/>
        </w:rPr>
      </w:pPr>
      <w:r>
        <w:rPr>
          <w:sz w:val="28"/>
        </w:rPr>
        <w:t>Золотарьова О.К. Перспективи використання мікроводоростей</w:t>
      </w:r>
      <w:r>
        <w:rPr>
          <w:spacing w:val="60"/>
          <w:sz w:val="28"/>
        </w:rPr>
        <w:t> </w:t>
      </w:r>
      <w:r>
        <w:rPr>
          <w:sz w:val="28"/>
        </w:rPr>
        <w:t>у</w:t>
      </w:r>
    </w:p>
    <w:p>
      <w:pPr>
        <w:spacing w:after="0" w:line="322" w:lineRule="exact"/>
        <w:jc w:val="both"/>
        <w:rPr>
          <w:sz w:val="28"/>
        </w:rPr>
        <w:sectPr>
          <w:pgSz w:w="11910" w:h="16840"/>
          <w:pgMar w:header="713" w:footer="778" w:top="1140" w:bottom="960" w:left="940" w:right="520"/>
        </w:sectPr>
      </w:pPr>
    </w:p>
    <w:p>
      <w:pPr>
        <w:pStyle w:val="BodyText"/>
        <w:spacing w:before="92"/>
        <w:ind w:right="616"/>
      </w:pPr>
      <w:r>
        <w:rPr/>
        <w:t>біотехнології / О.К.Золотарьова, Є.І. Шнюкова, О.О. Сиваш, Н.Ф. Михайленко. Перспективи використання мікроводоростей у біотехнології – К.: Альтерпрес, 2008 – 234 с.</w:t>
      </w:r>
    </w:p>
    <w:p>
      <w:pPr>
        <w:pStyle w:val="BodyText"/>
        <w:spacing w:before="3"/>
        <w:ind w:left="0"/>
        <w:jc w:val="left"/>
      </w:pPr>
    </w:p>
    <w:p>
      <w:pPr>
        <w:pStyle w:val="Heading1"/>
        <w:spacing w:before="1"/>
        <w:ind w:left="892"/>
      </w:pPr>
      <w:r>
        <w:rPr/>
        <w:t>ВЛИЯНИЕ СУСПЕНЗИИ ХЛОРЕЛЛЫ НА</w:t>
      </w:r>
    </w:p>
    <w:p>
      <w:pPr>
        <w:spacing w:before="4"/>
        <w:ind w:left="179" w:right="603" w:firstLine="0"/>
        <w:jc w:val="center"/>
        <w:rPr>
          <w:b/>
          <w:sz w:val="28"/>
        </w:rPr>
      </w:pPr>
      <w:r>
        <w:rPr>
          <w:b/>
          <w:sz w:val="28"/>
        </w:rPr>
        <w:t>ПРОИЗВОДИТЕЛЬНОСТЬ И КАЧЕСТВО МЯСАСВИНЕЙ, НАХОДЯЩИХСЯ НА ОТКОРМЕ</w:t>
      </w:r>
    </w:p>
    <w:p>
      <w:pPr>
        <w:pStyle w:val="BodyText"/>
        <w:spacing w:line="316" w:lineRule="exact"/>
        <w:ind w:left="3737"/>
      </w:pPr>
      <w:r>
        <w:rPr/>
        <w:t>Карунский А. , Воронюк Т.</w:t>
      </w:r>
    </w:p>
    <w:p>
      <w:pPr>
        <w:spacing w:line="240" w:lineRule="auto" w:before="0"/>
        <w:ind w:left="193" w:right="606" w:firstLine="710"/>
        <w:jc w:val="both"/>
        <w:rPr>
          <w:rFonts w:ascii="Cambria" w:hAnsi="Cambria"/>
          <w:b/>
          <w:sz w:val="22"/>
        </w:rPr>
      </w:pPr>
      <w:r>
        <w:rPr>
          <w:i/>
          <w:sz w:val="28"/>
        </w:rPr>
        <w:t>В современных условиях выращивания высокопродуктивных животных </w:t>
      </w:r>
      <w:r>
        <w:rPr>
          <w:i/>
          <w:sz w:val="28"/>
        </w:rPr>
        <w:t>почти невозможно представить их кормление без использования кормовых добавок. Кормовые добавки богатые витамины, минералы, белки, жиры необходимы для роста и развития животных, дают возможность сокращать период роста, повышать производительность и экономическую эффективность. В статье рассматривается вопрос, о влиянии суспензии хлореллы на производительность и качество мяса свиней, находящихся на откорме. Были проведены все необходимые исследования, которые показали, что использование суспензии хлореллы в рационах свиней на откорме не влияет отрицательно на качество мяса и способствует увеличению среднесуточных приростов </w:t>
      </w:r>
      <w:r>
        <w:rPr>
          <w:rFonts w:ascii="Cambria" w:hAnsi="Cambria"/>
          <w:b/>
          <w:sz w:val="22"/>
        </w:rPr>
        <w:t>животных.</w:t>
      </w:r>
    </w:p>
    <w:p>
      <w:pPr>
        <w:spacing w:before="1"/>
        <w:ind w:left="193" w:right="613" w:firstLine="710"/>
        <w:jc w:val="both"/>
        <w:rPr>
          <w:i/>
          <w:sz w:val="28"/>
        </w:rPr>
      </w:pPr>
      <w:r>
        <w:rPr>
          <w:b/>
          <w:i/>
          <w:sz w:val="28"/>
        </w:rPr>
        <w:t>Ключевые слова: </w:t>
      </w:r>
      <w:r>
        <w:rPr>
          <w:i/>
          <w:sz w:val="28"/>
        </w:rPr>
        <w:t>суспензия хлореллы, кормление, качество мяса, </w:t>
      </w:r>
      <w:r>
        <w:rPr>
          <w:i/>
          <w:sz w:val="28"/>
        </w:rPr>
        <w:t>производительность, добавка.</w:t>
      </w:r>
    </w:p>
    <w:p>
      <w:pPr>
        <w:pStyle w:val="BodyText"/>
        <w:spacing w:before="4"/>
        <w:ind w:left="0"/>
        <w:jc w:val="left"/>
        <w:rPr>
          <w:i/>
        </w:rPr>
      </w:pPr>
    </w:p>
    <w:p>
      <w:pPr>
        <w:pStyle w:val="Heading1"/>
        <w:spacing w:before="1"/>
        <w:ind w:left="2843" w:right="798" w:hanging="1892"/>
        <w:jc w:val="left"/>
      </w:pPr>
      <w:r>
        <w:rPr/>
        <w:t>EFFECT OF CHLORELLA SUSPENSION ON THE PERFORMANCE AND QUALITY OF FATTENING PIGS</w:t>
      </w:r>
    </w:p>
    <w:p>
      <w:pPr>
        <w:pStyle w:val="BodyText"/>
        <w:spacing w:line="316" w:lineRule="exact"/>
        <w:ind w:left="3785"/>
      </w:pPr>
      <w:r>
        <w:rPr/>
        <w:t>Karunsky O., Voronyuk T.</w:t>
      </w:r>
    </w:p>
    <w:p>
      <w:pPr>
        <w:spacing w:line="240" w:lineRule="auto" w:before="0"/>
        <w:ind w:left="193" w:right="607" w:firstLine="710"/>
        <w:jc w:val="both"/>
        <w:rPr>
          <w:i/>
          <w:sz w:val="28"/>
        </w:rPr>
      </w:pPr>
      <w:r>
        <w:rPr>
          <w:i/>
          <w:sz w:val="28"/>
        </w:rPr>
        <w:t>In modern conditions, it is almost impossible to imagine feeding high-yielding </w:t>
      </w:r>
      <w:r>
        <w:rPr>
          <w:i/>
          <w:sz w:val="28"/>
        </w:rPr>
        <w:t>animals without the use of feed additives. Feed additives rich in vitamins, minerals, proteins, fats are necessary for the growth and development of animals, give the opportunity to shorten the period of growth, increase productivity and economic efficiency. The article discusses the effect of chlorella suspension on the performance and quality of fattening pigs. All necessary studies have been conducted to show that the use of chlorella suspension in pigs' diets for fattening does not adversely affect</w:t>
      </w:r>
      <w:r>
        <w:rPr>
          <w:i/>
          <w:spacing w:val="-37"/>
          <w:sz w:val="28"/>
        </w:rPr>
        <w:t> </w:t>
      </w:r>
      <w:r>
        <w:rPr>
          <w:i/>
          <w:sz w:val="28"/>
        </w:rPr>
        <w:t>the quality of the meat and contributes to the increase in average daily growth of the animals.</w:t>
      </w:r>
    </w:p>
    <w:p>
      <w:pPr>
        <w:spacing w:before="2"/>
        <w:ind w:left="193" w:right="620" w:firstLine="710"/>
        <w:jc w:val="both"/>
        <w:rPr>
          <w:i/>
          <w:sz w:val="28"/>
        </w:rPr>
      </w:pPr>
      <w:r>
        <w:rPr>
          <w:b/>
          <w:i/>
          <w:sz w:val="28"/>
        </w:rPr>
        <w:t>Key words: </w:t>
      </w:r>
      <w:r>
        <w:rPr>
          <w:i/>
          <w:sz w:val="28"/>
        </w:rPr>
        <w:t>Chlorella suspension, Feeding, Meat Quality, Productivity, </w:t>
      </w:r>
      <w:r>
        <w:rPr>
          <w:i/>
          <w:sz w:val="28"/>
        </w:rPr>
        <w:t>Supplement.</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left="754" w:right="0"/>
        <w:jc w:val="left"/>
      </w:pPr>
      <w:r>
        <w:rPr/>
        <w:t>УДК</w:t>
      </w:r>
      <w:r>
        <w:rPr>
          <w:spacing w:val="-2"/>
        </w:rPr>
        <w:t> </w:t>
      </w:r>
      <w:r>
        <w:rPr/>
        <w:t>636.082.11:636.1.061</w:t>
        <w:tab/>
        <w:t>DOI:</w:t>
      </w:r>
      <w:r>
        <w:rPr>
          <w:spacing w:val="-1"/>
        </w:rPr>
        <w:t> </w:t>
      </w:r>
      <w:r>
        <w:rPr/>
        <w:t>10.37000/abbsl.2020.96.08</w:t>
      </w:r>
    </w:p>
    <w:p>
      <w:pPr>
        <w:pStyle w:val="BodyText"/>
        <w:spacing w:before="2"/>
        <w:ind w:left="0"/>
        <w:jc w:val="left"/>
        <w:rPr>
          <w:b/>
          <w:sz w:val="24"/>
        </w:rPr>
      </w:pPr>
    </w:p>
    <w:p>
      <w:pPr>
        <w:spacing w:before="0"/>
        <w:ind w:left="183" w:right="603" w:firstLine="0"/>
        <w:jc w:val="center"/>
        <w:rPr>
          <w:b/>
          <w:sz w:val="28"/>
        </w:rPr>
      </w:pPr>
      <w:r>
        <w:rPr>
          <w:b/>
          <w:sz w:val="28"/>
        </w:rPr>
        <w:t>БІОТЕХНОЛОГІЯ ОДЕРЖАННЯ ДОБРОЯКІСНОЇ «ЧИСТОЇ» ПРОДУКЦІЇ ТВАРИННИЦТВА</w:t>
      </w:r>
    </w:p>
    <w:p>
      <w:pPr>
        <w:spacing w:line="319" w:lineRule="exact" w:before="0"/>
        <w:ind w:left="187" w:right="603" w:firstLine="0"/>
        <w:jc w:val="center"/>
        <w:rPr>
          <w:b/>
          <w:sz w:val="28"/>
        </w:rPr>
      </w:pPr>
      <w:r>
        <w:rPr>
          <w:b/>
          <w:sz w:val="28"/>
        </w:rPr>
        <w:t>Шалімов М.О.</w:t>
      </w:r>
    </w:p>
    <w:p>
      <w:pPr>
        <w:spacing w:line="319" w:lineRule="exact" w:before="0"/>
        <w:ind w:left="178" w:right="603" w:firstLine="0"/>
        <w:jc w:val="center"/>
        <w:rPr>
          <w:i/>
          <w:sz w:val="28"/>
        </w:rPr>
      </w:pPr>
      <w:r>
        <w:rPr>
          <w:i/>
          <w:sz w:val="28"/>
        </w:rPr>
        <w:t>Одеський державний аграрний університет</w:t>
      </w:r>
    </w:p>
    <w:p>
      <w:pPr>
        <w:tabs>
          <w:tab w:pos="5859" w:val="left" w:leader="none"/>
          <w:tab w:pos="7183" w:val="left" w:leader="none"/>
          <w:tab w:pos="8872" w:val="left" w:leader="none"/>
        </w:tabs>
        <w:spacing w:line="240" w:lineRule="auto" w:before="0"/>
        <w:ind w:left="193" w:right="603" w:firstLine="0"/>
        <w:jc w:val="both"/>
        <w:rPr>
          <w:i/>
          <w:sz w:val="28"/>
        </w:rPr>
      </w:pPr>
      <w:r>
        <w:rPr>
          <w:i/>
          <w:sz w:val="28"/>
        </w:rPr>
        <w:t>Стаття містить інформацію щодо окремих заходів запобігання надходження </w:t>
      </w:r>
      <w:r>
        <w:rPr>
          <w:i/>
          <w:sz w:val="28"/>
        </w:rPr>
        <w:t>й накопичення радіоактивних речовин до сільськогосподарських тварин. Заходи можуть виявитися малоефективними, у зв'язку із чим їх вміст в отриманій продукції може перевищувати припустимі норми. Але така продукція не повинна</w:t>
      </w:r>
      <w:r>
        <w:rPr>
          <w:i/>
          <w:spacing w:val="-16"/>
          <w:sz w:val="28"/>
        </w:rPr>
        <w:t> </w:t>
      </w:r>
      <w:r>
        <w:rPr>
          <w:i/>
          <w:sz w:val="28"/>
        </w:rPr>
        <w:t>бути</w:t>
      </w:r>
      <w:r>
        <w:rPr>
          <w:i/>
          <w:spacing w:val="-15"/>
          <w:sz w:val="28"/>
        </w:rPr>
        <w:t> </w:t>
      </w:r>
      <w:r>
        <w:rPr>
          <w:i/>
          <w:sz w:val="28"/>
        </w:rPr>
        <w:t>знищена.</w:t>
      </w:r>
      <w:r>
        <w:rPr>
          <w:i/>
          <w:spacing w:val="-13"/>
          <w:sz w:val="28"/>
        </w:rPr>
        <w:t> </w:t>
      </w:r>
      <w:r>
        <w:rPr>
          <w:i/>
          <w:sz w:val="28"/>
        </w:rPr>
        <w:t>При</w:t>
      </w:r>
      <w:r>
        <w:rPr>
          <w:i/>
          <w:spacing w:val="-15"/>
          <w:sz w:val="28"/>
        </w:rPr>
        <w:t> </w:t>
      </w:r>
      <w:r>
        <w:rPr>
          <w:i/>
          <w:sz w:val="28"/>
        </w:rPr>
        <w:t>спеціальних</w:t>
      </w:r>
      <w:r>
        <w:rPr>
          <w:i/>
          <w:spacing w:val="-14"/>
          <w:sz w:val="28"/>
        </w:rPr>
        <w:t> </w:t>
      </w:r>
      <w:r>
        <w:rPr>
          <w:i/>
          <w:sz w:val="28"/>
        </w:rPr>
        <w:t>технологічних</w:t>
      </w:r>
      <w:r>
        <w:rPr>
          <w:i/>
          <w:spacing w:val="-15"/>
          <w:sz w:val="28"/>
        </w:rPr>
        <w:t> </w:t>
      </w:r>
      <w:r>
        <w:rPr>
          <w:i/>
          <w:sz w:val="28"/>
        </w:rPr>
        <w:t>переробках</w:t>
      </w:r>
      <w:r>
        <w:rPr>
          <w:i/>
          <w:spacing w:val="-14"/>
          <w:sz w:val="28"/>
        </w:rPr>
        <w:t> </w:t>
      </w:r>
      <w:r>
        <w:rPr>
          <w:i/>
          <w:sz w:val="28"/>
        </w:rPr>
        <w:t>здійснюється розподіл продукції на окремі компоненти. При цьому частина радіоактивних речовин може зосереджуватися в одному з компонентів продукції. Ним може виявляться не основний, а побічний продукт переробки. Знизити концентрацію радіоактивних речовин у м'ясі можна шляхом його тривалого зберігання в засоленому виді й подальшому вимочуванні. Застосування цих технологічних прийомів (чотири обробки зі зміною розчину) дозволяє зменшити вміст </w:t>
      </w:r>
      <w:r>
        <w:rPr>
          <w:i/>
          <w:position w:val="9"/>
          <w:sz w:val="18"/>
        </w:rPr>
        <w:t>I37</w:t>
      </w:r>
      <w:r>
        <w:rPr>
          <w:i/>
          <w:sz w:val="28"/>
        </w:rPr>
        <w:t>Cs на 63-99</w:t>
      </w:r>
      <w:r>
        <w:rPr>
          <w:i/>
          <w:spacing w:val="-6"/>
          <w:sz w:val="28"/>
        </w:rPr>
        <w:t> %.</w:t>
      </w:r>
      <w:r>
        <w:rPr>
          <w:i/>
          <w:spacing w:val="-12"/>
          <w:sz w:val="28"/>
        </w:rPr>
        <w:t> </w:t>
      </w:r>
      <w:r>
        <w:rPr>
          <w:i/>
          <w:sz w:val="28"/>
        </w:rPr>
        <w:t>Забруднена</w:t>
      </w:r>
      <w:r>
        <w:rPr>
          <w:i/>
          <w:spacing w:val="-14"/>
          <w:sz w:val="28"/>
        </w:rPr>
        <w:t> </w:t>
      </w:r>
      <w:r>
        <w:rPr>
          <w:i/>
          <w:sz w:val="28"/>
        </w:rPr>
        <w:t>радіоактивними</w:t>
      </w:r>
      <w:r>
        <w:rPr>
          <w:i/>
          <w:spacing w:val="-14"/>
          <w:sz w:val="28"/>
        </w:rPr>
        <w:t> </w:t>
      </w:r>
      <w:r>
        <w:rPr>
          <w:i/>
          <w:sz w:val="28"/>
        </w:rPr>
        <w:t>речовинами,</w:t>
      </w:r>
      <w:r>
        <w:rPr>
          <w:i/>
          <w:spacing w:val="-12"/>
          <w:sz w:val="28"/>
        </w:rPr>
        <w:t> </w:t>
      </w:r>
      <w:r>
        <w:rPr>
          <w:i/>
          <w:sz w:val="28"/>
        </w:rPr>
        <w:t>не</w:t>
      </w:r>
      <w:r>
        <w:rPr>
          <w:i/>
          <w:spacing w:val="-13"/>
          <w:sz w:val="28"/>
        </w:rPr>
        <w:t> </w:t>
      </w:r>
      <w:r>
        <w:rPr>
          <w:i/>
          <w:sz w:val="28"/>
        </w:rPr>
        <w:t>придатна</w:t>
      </w:r>
      <w:r>
        <w:rPr>
          <w:i/>
          <w:spacing w:val="-14"/>
          <w:sz w:val="28"/>
        </w:rPr>
        <w:t> </w:t>
      </w:r>
      <w:r>
        <w:rPr>
          <w:i/>
          <w:sz w:val="28"/>
        </w:rPr>
        <w:t>для</w:t>
      </w:r>
      <w:r>
        <w:rPr>
          <w:i/>
          <w:spacing w:val="-14"/>
          <w:sz w:val="28"/>
        </w:rPr>
        <w:t> </w:t>
      </w:r>
      <w:r>
        <w:rPr>
          <w:i/>
          <w:sz w:val="28"/>
        </w:rPr>
        <w:t>згодовування ссавцям вегетативна маса рослин може бути використана для прямого одержання харчового й кормового білка. Новітня біотехнологія вже досить широко використовується в зарубіжних країнах, а в Україні ще перебуває в стадії впровадження, припускає виділення білка безпосередньо із зеленої маси рослин шляхом віджиму клітинного соку й подальшої коагуляції з нього за спеціальною технологією чистого білка, що містить менше радіоактивних речовин, ніж використовувані рослини. Такий білковий препарат являє собою найцінніший продукт для харчової промисловості й уже в цей час широко використовується при виготовленні ковбас, деяких видів консервів, сирів, хлібобулочних і кондитерських виробів, а також як добавки в корм сільськогосподарських тварин</w:t>
      </w:r>
      <w:r>
        <w:rPr>
          <w:i/>
          <w:spacing w:val="-8"/>
          <w:sz w:val="28"/>
        </w:rPr>
        <w:t> </w:t>
      </w:r>
      <w:r>
        <w:rPr>
          <w:i/>
          <w:sz w:val="28"/>
        </w:rPr>
        <w:t>і</w:t>
      </w:r>
      <w:r>
        <w:rPr>
          <w:i/>
          <w:spacing w:val="-5"/>
          <w:sz w:val="28"/>
        </w:rPr>
        <w:t> </w:t>
      </w:r>
      <w:r>
        <w:rPr>
          <w:i/>
          <w:sz w:val="28"/>
        </w:rPr>
        <w:t>птахів.</w:t>
        <w:tab/>
        <w:t>Всі</w:t>
        <w:tab/>
      </w:r>
      <w:r>
        <w:rPr>
          <w:i/>
          <w:spacing w:val="2"/>
          <w:sz w:val="28"/>
        </w:rPr>
        <w:t>шляхи</w:t>
        <w:tab/>
      </w:r>
      <w:r>
        <w:rPr>
          <w:i/>
          <w:sz w:val="28"/>
        </w:rPr>
        <w:t>міграції радіоактивних речовин в </w:t>
      </w:r>
      <w:r>
        <w:rPr>
          <w:i/>
          <w:spacing w:val="2"/>
          <w:sz w:val="28"/>
        </w:rPr>
        <w:t>об'єктах </w:t>
      </w:r>
      <w:r>
        <w:rPr>
          <w:i/>
          <w:sz w:val="28"/>
        </w:rPr>
        <w:t>навколишнього середовища й сільськогосподарського виробництва сходяться </w:t>
      </w:r>
      <w:r>
        <w:rPr>
          <w:i/>
          <w:spacing w:val="2"/>
          <w:sz w:val="28"/>
        </w:rPr>
        <w:t>на </w:t>
      </w:r>
      <w:r>
        <w:rPr>
          <w:i/>
          <w:sz w:val="28"/>
        </w:rPr>
        <w:t>людях. Тому основним завданням фахівців, які здійснюють реалізацію широкомасштабних заходів щодо запобігання переходу радіоактивних речовин у продукцію </w:t>
      </w:r>
      <w:r>
        <w:rPr>
          <w:i/>
          <w:spacing w:val="2"/>
          <w:sz w:val="28"/>
        </w:rPr>
        <w:t>тваринництва, </w:t>
      </w:r>
      <w:r>
        <w:rPr>
          <w:i/>
          <w:sz w:val="28"/>
        </w:rPr>
        <w:t>що забезпечують чистоту продукції, і технологів харчової промисловості, </w:t>
      </w:r>
      <w:r>
        <w:rPr>
          <w:i/>
          <w:spacing w:val="2"/>
          <w:sz w:val="28"/>
        </w:rPr>
        <w:t>що </w:t>
      </w:r>
      <w:r>
        <w:rPr>
          <w:i/>
          <w:sz w:val="28"/>
        </w:rPr>
        <w:t>проводять разом із лікарями-зоогігієністами роботи з очищення обох видів продукції, є припинення цих шляхів. Дослідження свідчать, </w:t>
      </w:r>
      <w:r>
        <w:rPr>
          <w:i/>
          <w:spacing w:val="2"/>
          <w:sz w:val="28"/>
        </w:rPr>
        <w:t>що </w:t>
      </w:r>
      <w:r>
        <w:rPr>
          <w:i/>
          <w:sz w:val="28"/>
        </w:rPr>
        <w:t>чим на більше ранньому </w:t>
      </w:r>
      <w:r>
        <w:rPr>
          <w:i/>
          <w:spacing w:val="2"/>
          <w:sz w:val="28"/>
        </w:rPr>
        <w:t>етапі </w:t>
      </w:r>
      <w:r>
        <w:rPr>
          <w:i/>
          <w:sz w:val="28"/>
        </w:rPr>
        <w:t>це </w:t>
      </w:r>
      <w:r>
        <w:rPr>
          <w:i/>
          <w:spacing w:val="2"/>
          <w:sz w:val="28"/>
        </w:rPr>
        <w:t>завдання </w:t>
      </w:r>
      <w:r>
        <w:rPr>
          <w:i/>
          <w:sz w:val="28"/>
        </w:rPr>
        <w:t>буде вирішена, </w:t>
      </w:r>
      <w:r>
        <w:rPr>
          <w:i/>
          <w:spacing w:val="2"/>
          <w:sz w:val="28"/>
        </w:rPr>
        <w:t>тим </w:t>
      </w:r>
      <w:r>
        <w:rPr>
          <w:i/>
          <w:sz w:val="28"/>
        </w:rPr>
        <w:t>більше ефективної виявиться захист людини від недоброякісної</w:t>
      </w:r>
      <w:r>
        <w:rPr>
          <w:i/>
          <w:spacing w:val="21"/>
          <w:sz w:val="28"/>
        </w:rPr>
        <w:t> </w:t>
      </w:r>
      <w:r>
        <w:rPr>
          <w:i/>
          <w:sz w:val="28"/>
        </w:rPr>
        <w:t>продукції.</w:t>
      </w:r>
    </w:p>
    <w:p>
      <w:pPr>
        <w:spacing w:before="6"/>
        <w:ind w:left="193" w:right="616" w:firstLine="710"/>
        <w:jc w:val="both"/>
        <w:rPr>
          <w:i/>
          <w:sz w:val="28"/>
        </w:rPr>
      </w:pPr>
      <w:r>
        <w:rPr>
          <w:b/>
          <w:i/>
          <w:sz w:val="28"/>
        </w:rPr>
        <w:t>Ключові слова: </w:t>
      </w:r>
      <w:r>
        <w:rPr>
          <w:i/>
          <w:sz w:val="28"/>
        </w:rPr>
        <w:t>радіонукліди, дезактивація продукту, компартменти, </w:t>
      </w:r>
      <w:r>
        <w:rPr>
          <w:i/>
          <w:sz w:val="28"/>
        </w:rPr>
        <w:t>метаболізм, електродіалізний метод, детритний цикл, мутабільність, продуктивність тварин.</w:t>
      </w:r>
    </w:p>
    <w:p>
      <w:pPr>
        <w:pStyle w:val="BodyText"/>
        <w:spacing w:before="9"/>
        <w:ind w:left="0"/>
        <w:jc w:val="left"/>
        <w:rPr>
          <w:i/>
          <w:sz w:val="27"/>
        </w:rPr>
      </w:pPr>
    </w:p>
    <w:p>
      <w:pPr>
        <w:pStyle w:val="BodyText"/>
        <w:spacing w:before="1"/>
        <w:ind w:right="613" w:firstLine="710"/>
      </w:pPr>
      <w:r>
        <w:rPr>
          <w:b/>
        </w:rPr>
        <w:t>Вступ. </w:t>
      </w:r>
      <w:r>
        <w:rPr/>
        <w:t>Особливості дезактивації продукції тваринництва шляхом технологічної переробки. При деяких технологічних переробках, що передбачають поділ продукції на кілька компонентів, виявляється, що гнітюча</w:t>
      </w:r>
    </w:p>
    <w:p>
      <w:pPr>
        <w:spacing w:after="0"/>
        <w:sectPr>
          <w:pgSz w:w="11910" w:h="16840"/>
          <w:pgMar w:header="713" w:footer="778" w:top="1140" w:bottom="960" w:left="940" w:right="520"/>
        </w:sectPr>
      </w:pPr>
    </w:p>
    <w:p>
      <w:pPr>
        <w:pStyle w:val="BodyText"/>
        <w:spacing w:before="92"/>
        <w:ind w:right="614"/>
      </w:pPr>
      <w:r>
        <w:rPr/>
        <w:t>частина радіоактивних речовин зосереджує в якому-небудь одному з них. Нерідко ним виявляється не основний, а побічний продукт переробки. Головне, необхідно враховувати, що радіоактивні речовини попадають у рослини й далі</w:t>
      </w:r>
      <w:r>
        <w:rPr>
          <w:spacing w:val="-46"/>
        </w:rPr>
        <w:t> </w:t>
      </w:r>
      <w:r>
        <w:rPr/>
        <w:t>в організм тварин переважно у вигляді розчинених у воді елементів. Тому й зосереджують вони в основному в компартментах, що містять воду, або при переробці переходять у воду. Тому всяка технологічна переробка, </w:t>
      </w:r>
      <w:r>
        <w:rPr>
          <w:spacing w:val="3"/>
        </w:rPr>
        <w:t>що </w:t>
      </w:r>
      <w:r>
        <w:rPr/>
        <w:t>передбачає відділення води шляхом пресування, фільтрування, центрифугування й </w:t>
      </w:r>
      <w:r>
        <w:rPr>
          <w:spacing w:val="2"/>
        </w:rPr>
        <w:t>інших </w:t>
      </w:r>
      <w:r>
        <w:rPr/>
        <w:t>способів, </w:t>
      </w:r>
      <w:r>
        <w:rPr>
          <w:spacing w:val="3"/>
        </w:rPr>
        <w:t>але </w:t>
      </w:r>
      <w:r>
        <w:rPr/>
        <w:t>не висушування, буде приводити до дезактивації</w:t>
      </w:r>
      <w:r>
        <w:rPr>
          <w:spacing w:val="1"/>
        </w:rPr>
        <w:t> </w:t>
      </w:r>
      <w:r>
        <w:rPr/>
        <w:t>продукту.</w:t>
      </w:r>
    </w:p>
    <w:p>
      <w:pPr>
        <w:pStyle w:val="BodyText"/>
        <w:spacing w:line="237" w:lineRule="auto" w:before="4"/>
        <w:ind w:right="605" w:firstLine="710"/>
      </w:pPr>
      <w:r>
        <w:rPr>
          <w:b/>
        </w:rPr>
        <w:t>Проблема. </w:t>
      </w:r>
      <w:r>
        <w:rPr/>
        <w:t>Проведення заходів щодо запобігання надходження й нагромадження радіоактивних речовин у сільськогосподарських рослинах або сільськогосподарських тваринах може виявитися малоефективним, у зв'язку із чим їхній зміст в отриманій продукції може перевищувати припустимі норми. Але це </w:t>
      </w:r>
      <w:r>
        <w:rPr>
          <w:spacing w:val="2"/>
        </w:rPr>
        <w:t>аж ніяк </w:t>
      </w:r>
      <w:r>
        <w:rPr/>
        <w:t>не </w:t>
      </w:r>
      <w:r>
        <w:rPr>
          <w:spacing w:val="3"/>
        </w:rPr>
        <w:t>означає, що </w:t>
      </w:r>
      <w:r>
        <w:rPr>
          <w:spacing w:val="2"/>
        </w:rPr>
        <w:t>така продукція </w:t>
      </w:r>
      <w:r>
        <w:rPr>
          <w:spacing w:val="3"/>
        </w:rPr>
        <w:t>повинна </w:t>
      </w:r>
      <w:r>
        <w:rPr/>
        <w:t>бути </w:t>
      </w:r>
      <w:r>
        <w:rPr>
          <w:spacing w:val="3"/>
        </w:rPr>
        <w:t>знищена. </w:t>
      </w:r>
      <w:r>
        <w:rPr/>
        <w:t>Технологічна переробка є досить ефективним способом дезактивації молока </w:t>
      </w:r>
      <w:r>
        <w:rPr>
          <w:spacing w:val="5"/>
        </w:rPr>
        <w:t>[1- </w:t>
      </w:r>
      <w:r>
        <w:rPr/>
        <w:t>2]. Так, після сепарування незбираного коров'ячого молока лише 8-16 % </w:t>
      </w:r>
      <w:r>
        <w:rPr>
          <w:position w:val="10"/>
          <w:sz w:val="18"/>
        </w:rPr>
        <w:t>90</w:t>
      </w:r>
      <w:r>
        <w:rPr/>
        <w:t>Sr,</w:t>
      </w:r>
      <w:r>
        <w:rPr>
          <w:spacing w:val="-52"/>
        </w:rPr>
        <w:t> </w:t>
      </w:r>
      <w:r>
        <w:rPr>
          <w:position w:val="10"/>
          <w:sz w:val="18"/>
        </w:rPr>
        <w:t>131</w:t>
      </w:r>
      <w:r>
        <w:rPr/>
        <w:t>I і </w:t>
      </w:r>
      <w:r>
        <w:rPr>
          <w:position w:val="10"/>
          <w:sz w:val="18"/>
        </w:rPr>
        <w:t>137</w:t>
      </w:r>
      <w:r>
        <w:rPr/>
        <w:t>Cs залишається у вершках, а інша їх кількість переходить в обрат. </w:t>
      </w:r>
      <w:r>
        <w:rPr>
          <w:spacing w:val="3"/>
        </w:rPr>
        <w:t>Двох- </w:t>
      </w:r>
      <w:r>
        <w:rPr/>
        <w:t>трьохкратне промивання вершків теплою водою й знежиреним молоком знижує вміст у них </w:t>
      </w:r>
      <w:r>
        <w:rPr>
          <w:position w:val="10"/>
          <w:sz w:val="18"/>
        </w:rPr>
        <w:t>90</w:t>
      </w:r>
      <w:r>
        <w:rPr/>
        <w:t>Sr ще у 50-100 разів. При переробці вершків у вершкове масло значна частина зазначених ізотопів переходить у промивні води. Концентрація </w:t>
      </w:r>
      <w:r>
        <w:rPr>
          <w:position w:val="10"/>
          <w:sz w:val="18"/>
        </w:rPr>
        <w:t>90</w:t>
      </w:r>
      <w:r>
        <w:rPr/>
        <w:t>Sr, </w:t>
      </w:r>
      <w:r>
        <w:rPr>
          <w:position w:val="10"/>
          <w:sz w:val="18"/>
        </w:rPr>
        <w:t>131</w:t>
      </w:r>
      <w:r>
        <w:rPr/>
        <w:t>І й </w:t>
      </w:r>
      <w:r>
        <w:rPr>
          <w:position w:val="10"/>
          <w:sz w:val="18"/>
        </w:rPr>
        <w:t>137</w:t>
      </w:r>
      <w:r>
        <w:rPr/>
        <w:t>Cs у вершковому маслі при цьому знижується до 36, 76 і 49 % відносно їх концентрації у вершках. Перетоплювання вершкового масла дозволяє</w:t>
      </w:r>
      <w:r>
        <w:rPr>
          <w:spacing w:val="-6"/>
        </w:rPr>
        <w:t> </w:t>
      </w:r>
      <w:r>
        <w:rPr/>
        <w:t>видалити</w:t>
      </w:r>
      <w:r>
        <w:rPr>
          <w:spacing w:val="-5"/>
        </w:rPr>
        <w:t> </w:t>
      </w:r>
      <w:r>
        <w:rPr/>
        <w:t>з</w:t>
      </w:r>
      <w:r>
        <w:rPr>
          <w:spacing w:val="-5"/>
        </w:rPr>
        <w:t> </w:t>
      </w:r>
      <w:r>
        <w:rPr/>
        <w:t>нього</w:t>
      </w:r>
      <w:r>
        <w:rPr>
          <w:spacing w:val="-5"/>
        </w:rPr>
        <w:t> </w:t>
      </w:r>
      <w:r>
        <w:rPr/>
        <w:t>практично</w:t>
      </w:r>
      <w:r>
        <w:rPr>
          <w:spacing w:val="-5"/>
        </w:rPr>
        <w:t> </w:t>
      </w:r>
      <w:r>
        <w:rPr/>
        <w:t>повністю</w:t>
      </w:r>
      <w:r>
        <w:rPr>
          <w:spacing w:val="-3"/>
        </w:rPr>
        <w:t> </w:t>
      </w:r>
      <w:r>
        <w:rPr>
          <w:position w:val="10"/>
          <w:sz w:val="18"/>
        </w:rPr>
        <w:t>90</w:t>
      </w:r>
      <w:r>
        <w:rPr/>
        <w:t>Sr</w:t>
      </w:r>
      <w:r>
        <w:rPr>
          <w:spacing w:val="-2"/>
        </w:rPr>
        <w:t> </w:t>
      </w:r>
      <w:r>
        <w:rPr/>
        <w:t>і</w:t>
      </w:r>
      <w:r>
        <w:rPr>
          <w:spacing w:val="-11"/>
        </w:rPr>
        <w:t> </w:t>
      </w:r>
      <w:r>
        <w:rPr>
          <w:position w:val="10"/>
          <w:sz w:val="18"/>
        </w:rPr>
        <w:t>137</w:t>
      </w:r>
      <w:r>
        <w:rPr/>
        <w:t>Cs</w:t>
      </w:r>
      <w:r>
        <w:rPr>
          <w:spacing w:val="-3"/>
        </w:rPr>
        <w:t> </w:t>
      </w:r>
      <w:r>
        <w:rPr/>
        <w:t>і</w:t>
      </w:r>
      <w:r>
        <w:rPr>
          <w:spacing w:val="-11"/>
        </w:rPr>
        <w:t> </w:t>
      </w:r>
      <w:r>
        <w:rPr/>
        <w:t>ще</w:t>
      </w:r>
      <w:r>
        <w:rPr>
          <w:spacing w:val="-5"/>
        </w:rPr>
        <w:t> </w:t>
      </w:r>
      <w:r>
        <w:rPr/>
        <w:t>10</w:t>
      </w:r>
      <w:r>
        <w:rPr>
          <w:spacing w:val="-5"/>
        </w:rPr>
        <w:t> </w:t>
      </w:r>
      <w:r>
        <w:rPr/>
        <w:t>%</w:t>
      </w:r>
      <w:r>
        <w:rPr>
          <w:spacing w:val="-6"/>
        </w:rPr>
        <w:t> </w:t>
      </w:r>
      <w:r>
        <w:rPr>
          <w:position w:val="10"/>
          <w:sz w:val="18"/>
        </w:rPr>
        <w:t>131</w:t>
      </w:r>
      <w:r>
        <w:rPr/>
        <w:t>І.</w:t>
      </w:r>
      <w:r>
        <w:rPr>
          <w:spacing w:val="-3"/>
        </w:rPr>
        <w:t> </w:t>
      </w:r>
      <w:r>
        <w:rPr/>
        <w:t>Тому</w:t>
      </w:r>
      <w:r>
        <w:rPr>
          <w:spacing w:val="-10"/>
        </w:rPr>
        <w:t> </w:t>
      </w:r>
      <w:r>
        <w:rPr/>
        <w:t>не викликає сумнівів, що </w:t>
      </w:r>
      <w:r>
        <w:rPr>
          <w:spacing w:val="-3"/>
        </w:rPr>
        <w:t>із </w:t>
      </w:r>
      <w:r>
        <w:rPr/>
        <w:t>забрудненого радіоактивними речовинами молока доцільно отримувати вершки й масло. Переробка молока на сир призводить до зниження вмісту </w:t>
      </w:r>
      <w:r>
        <w:rPr>
          <w:position w:val="10"/>
          <w:sz w:val="18"/>
        </w:rPr>
        <w:t>90</w:t>
      </w:r>
      <w:r>
        <w:rPr/>
        <w:t>Sr і </w:t>
      </w:r>
      <w:r>
        <w:rPr>
          <w:position w:val="10"/>
          <w:sz w:val="18"/>
        </w:rPr>
        <w:t>137</w:t>
      </w:r>
      <w:r>
        <w:rPr/>
        <w:t>Cs на 90%, а </w:t>
      </w:r>
      <w:r>
        <w:rPr>
          <w:position w:val="10"/>
          <w:sz w:val="18"/>
        </w:rPr>
        <w:t>131</w:t>
      </w:r>
      <w:r>
        <w:rPr/>
        <w:t>І – на 70</w:t>
      </w:r>
      <w:r>
        <w:rPr>
          <w:spacing w:val="1"/>
        </w:rPr>
        <w:t> </w:t>
      </w:r>
      <w:r>
        <w:rPr/>
        <w:t>%.</w:t>
      </w:r>
    </w:p>
    <w:p>
      <w:pPr>
        <w:pStyle w:val="BodyText"/>
        <w:spacing w:line="237" w:lineRule="auto" w:before="15"/>
        <w:ind w:right="603" w:firstLine="710"/>
      </w:pPr>
      <w:r>
        <w:rPr>
          <w:b/>
        </w:rPr>
        <w:t>Аналіз останніх досліджень та публікацій. </w:t>
      </w:r>
      <w:r>
        <w:rPr/>
        <w:t>Існують супутні способи очищення</w:t>
      </w:r>
      <w:r>
        <w:rPr>
          <w:spacing w:val="-18"/>
        </w:rPr>
        <w:t> </w:t>
      </w:r>
      <w:r>
        <w:rPr/>
        <w:t>м'ясо-молочних</w:t>
      </w:r>
      <w:r>
        <w:rPr>
          <w:spacing w:val="-22"/>
        </w:rPr>
        <w:t> </w:t>
      </w:r>
      <w:r>
        <w:rPr/>
        <w:t>продуктів,</w:t>
      </w:r>
      <w:r>
        <w:rPr>
          <w:spacing w:val="-17"/>
        </w:rPr>
        <w:t> </w:t>
      </w:r>
      <w:r>
        <w:rPr/>
        <w:t>а</w:t>
      </w:r>
      <w:r>
        <w:rPr>
          <w:spacing w:val="-17"/>
        </w:rPr>
        <w:t> </w:t>
      </w:r>
      <w:r>
        <w:rPr/>
        <w:t>також</w:t>
      </w:r>
      <w:r>
        <w:rPr>
          <w:spacing w:val="-18"/>
        </w:rPr>
        <w:t> </w:t>
      </w:r>
      <w:r>
        <w:rPr/>
        <w:t>способи,</w:t>
      </w:r>
      <w:r>
        <w:rPr>
          <w:spacing w:val="-17"/>
        </w:rPr>
        <w:t> </w:t>
      </w:r>
      <w:r>
        <w:rPr/>
        <w:t>за</w:t>
      </w:r>
      <w:r>
        <w:rPr>
          <w:spacing w:val="-20"/>
        </w:rPr>
        <w:t> </w:t>
      </w:r>
      <w:r>
        <w:rPr/>
        <w:t>допомогою</w:t>
      </w:r>
      <w:r>
        <w:rPr>
          <w:spacing w:val="-20"/>
        </w:rPr>
        <w:t> </w:t>
      </w:r>
      <w:r>
        <w:rPr/>
        <w:t>яких</w:t>
      </w:r>
      <w:r>
        <w:rPr>
          <w:spacing w:val="-23"/>
        </w:rPr>
        <w:t> </w:t>
      </w:r>
      <w:r>
        <w:rPr/>
        <w:t>можна проводити</w:t>
      </w:r>
      <w:r>
        <w:rPr>
          <w:spacing w:val="-14"/>
        </w:rPr>
        <w:t> </w:t>
      </w:r>
      <w:r>
        <w:rPr/>
        <w:t>очищення</w:t>
      </w:r>
      <w:r>
        <w:rPr>
          <w:spacing w:val="-9"/>
        </w:rPr>
        <w:t> </w:t>
      </w:r>
      <w:r>
        <w:rPr/>
        <w:t>продуктів</w:t>
      </w:r>
      <w:r>
        <w:rPr>
          <w:spacing w:val="-14"/>
        </w:rPr>
        <w:t> </w:t>
      </w:r>
      <w:r>
        <w:rPr/>
        <w:t>від</w:t>
      </w:r>
      <w:r>
        <w:rPr>
          <w:spacing w:val="-12"/>
        </w:rPr>
        <w:t> </w:t>
      </w:r>
      <w:r>
        <w:rPr/>
        <w:t>речовин</w:t>
      </w:r>
      <w:r>
        <w:rPr>
          <w:spacing w:val="-13"/>
        </w:rPr>
        <w:t> </w:t>
      </w:r>
      <w:r>
        <w:rPr/>
        <w:t>від</w:t>
      </w:r>
      <w:r>
        <w:rPr>
          <w:spacing w:val="-12"/>
        </w:rPr>
        <w:t> </w:t>
      </w:r>
      <w:r>
        <w:rPr/>
        <w:t>забруднювачів</w:t>
      </w:r>
      <w:r>
        <w:rPr>
          <w:spacing w:val="-15"/>
        </w:rPr>
        <w:t> </w:t>
      </w:r>
      <w:r>
        <w:rPr/>
        <w:t>без</w:t>
      </w:r>
      <w:r>
        <w:rPr>
          <w:spacing w:val="-14"/>
        </w:rPr>
        <w:t> </w:t>
      </w:r>
      <w:r>
        <w:rPr/>
        <w:t>істотної</w:t>
      </w:r>
      <w:r>
        <w:rPr>
          <w:spacing w:val="-18"/>
        </w:rPr>
        <w:t> </w:t>
      </w:r>
      <w:r>
        <w:rPr/>
        <w:t>зміни їх хімічного складу й властивостей [1,3]. Так, використання пірофосфату, що зв'язує стронцій, дозволяє протягом доби видалити з молока до 83 % </w:t>
      </w:r>
      <w:r>
        <w:rPr>
          <w:position w:val="10"/>
          <w:sz w:val="18"/>
        </w:rPr>
        <w:t>90</w:t>
      </w:r>
      <w:r>
        <w:rPr/>
        <w:t>Sr. За допомогою іонообмінних смол можна швидко й досить ефективно очищати молоко й </w:t>
      </w:r>
      <w:r>
        <w:rPr>
          <w:spacing w:val="-3"/>
        </w:rPr>
        <w:t>від </w:t>
      </w:r>
      <w:r>
        <w:rPr/>
        <w:t>інших радіоактивних речовин. Так, один обсяг відомого аніоніту Дауекс 2 дозволяє видалити понад 95 % </w:t>
      </w:r>
      <w:r>
        <w:rPr>
          <w:position w:val="10"/>
          <w:sz w:val="18"/>
        </w:rPr>
        <w:t>131</w:t>
      </w:r>
      <w:r>
        <w:rPr/>
        <w:t>І з 230 обсягів молока й 50 % </w:t>
      </w:r>
      <w:r>
        <w:rPr>
          <w:position w:val="10"/>
          <w:sz w:val="18"/>
        </w:rPr>
        <w:t>90</w:t>
      </w:r>
      <w:r>
        <w:rPr/>
        <w:t>Sr. За допомогою</w:t>
      </w:r>
      <w:r>
        <w:rPr>
          <w:spacing w:val="-19"/>
        </w:rPr>
        <w:t> </w:t>
      </w:r>
      <w:r>
        <w:rPr/>
        <w:t>одного</w:t>
      </w:r>
      <w:r>
        <w:rPr>
          <w:spacing w:val="-16"/>
        </w:rPr>
        <w:t> </w:t>
      </w:r>
      <w:r>
        <w:rPr/>
        <w:t>обсягу</w:t>
      </w:r>
      <w:r>
        <w:rPr>
          <w:spacing w:val="-22"/>
        </w:rPr>
        <w:t> </w:t>
      </w:r>
      <w:r>
        <w:rPr/>
        <w:t>катионіту</w:t>
      </w:r>
      <w:r>
        <w:rPr>
          <w:spacing w:val="-21"/>
        </w:rPr>
        <w:t> </w:t>
      </w:r>
      <w:r>
        <w:rPr/>
        <w:t>можна</w:t>
      </w:r>
      <w:r>
        <w:rPr>
          <w:spacing w:val="-15"/>
        </w:rPr>
        <w:t> </w:t>
      </w:r>
      <w:r>
        <w:rPr/>
        <w:t>видалити</w:t>
      </w:r>
      <w:r>
        <w:rPr>
          <w:spacing w:val="-17"/>
        </w:rPr>
        <w:t> </w:t>
      </w:r>
      <w:r>
        <w:rPr/>
        <w:t>близько</w:t>
      </w:r>
      <w:r>
        <w:rPr>
          <w:spacing w:val="-16"/>
        </w:rPr>
        <w:t> </w:t>
      </w:r>
      <w:r>
        <w:rPr/>
        <w:t>70</w:t>
      </w:r>
      <w:r>
        <w:rPr>
          <w:spacing w:val="-17"/>
        </w:rPr>
        <w:t> </w:t>
      </w:r>
      <w:r>
        <w:rPr/>
        <w:t>%</w:t>
      </w:r>
      <w:r>
        <w:rPr>
          <w:spacing w:val="-10"/>
        </w:rPr>
        <w:t> </w:t>
      </w:r>
      <w:r>
        <w:rPr>
          <w:position w:val="10"/>
          <w:sz w:val="18"/>
        </w:rPr>
        <w:t>137</w:t>
      </w:r>
      <w:r>
        <w:rPr/>
        <w:t>Cs</w:t>
      </w:r>
      <w:r>
        <w:rPr>
          <w:spacing w:val="-15"/>
        </w:rPr>
        <w:t> </w:t>
      </w:r>
      <w:r>
        <w:rPr/>
        <w:t>з</w:t>
      </w:r>
      <w:r>
        <w:rPr>
          <w:spacing w:val="-16"/>
        </w:rPr>
        <w:t> </w:t>
      </w:r>
      <w:r>
        <w:rPr/>
        <w:t>обсягів молока.</w:t>
      </w:r>
      <w:r>
        <w:rPr>
          <w:spacing w:val="-6"/>
        </w:rPr>
        <w:t> </w:t>
      </w:r>
      <w:r>
        <w:rPr/>
        <w:t>Електродіалізний</w:t>
      </w:r>
      <w:r>
        <w:rPr>
          <w:spacing w:val="-7"/>
        </w:rPr>
        <w:t> </w:t>
      </w:r>
      <w:r>
        <w:rPr/>
        <w:t>метод</w:t>
      </w:r>
      <w:r>
        <w:rPr>
          <w:spacing w:val="-5"/>
        </w:rPr>
        <w:t> </w:t>
      </w:r>
      <w:r>
        <w:rPr/>
        <w:t>очищення</w:t>
      </w:r>
      <w:r>
        <w:rPr>
          <w:spacing w:val="-7"/>
        </w:rPr>
        <w:t> </w:t>
      </w:r>
      <w:r>
        <w:rPr/>
        <w:t>молока</w:t>
      </w:r>
      <w:r>
        <w:rPr>
          <w:spacing w:val="-7"/>
        </w:rPr>
        <w:t> </w:t>
      </w:r>
      <w:r>
        <w:rPr/>
        <w:t>видаляє</w:t>
      </w:r>
      <w:r>
        <w:rPr>
          <w:spacing w:val="-12"/>
        </w:rPr>
        <w:t> </w:t>
      </w:r>
      <w:r>
        <w:rPr/>
        <w:t>до</w:t>
      </w:r>
      <w:r>
        <w:rPr>
          <w:spacing w:val="-12"/>
        </w:rPr>
        <w:t> </w:t>
      </w:r>
      <w:r>
        <w:rPr/>
        <w:t>90</w:t>
      </w:r>
      <w:r>
        <w:rPr>
          <w:spacing w:val="-11"/>
        </w:rPr>
        <w:t> </w:t>
      </w:r>
      <w:r>
        <w:rPr/>
        <w:t>% </w:t>
      </w:r>
      <w:r>
        <w:rPr>
          <w:position w:val="10"/>
          <w:sz w:val="18"/>
        </w:rPr>
        <w:t>90</w:t>
      </w:r>
      <w:r>
        <w:rPr/>
        <w:t>Sr</w:t>
      </w:r>
      <w:r>
        <w:rPr>
          <w:spacing w:val="-8"/>
        </w:rPr>
        <w:t> </w:t>
      </w:r>
      <w:r>
        <w:rPr/>
        <w:t>і</w:t>
      </w:r>
      <w:r>
        <w:rPr>
          <w:spacing w:val="-13"/>
        </w:rPr>
        <w:t> </w:t>
      </w:r>
      <w:r>
        <w:rPr/>
        <w:t>до</w:t>
      </w:r>
      <w:r>
        <w:rPr>
          <w:spacing w:val="-12"/>
        </w:rPr>
        <w:t> </w:t>
      </w:r>
      <w:r>
        <w:rPr/>
        <w:t>99</w:t>
      </w:r>
      <w:r>
        <w:rPr>
          <w:spacing w:val="-11"/>
        </w:rPr>
        <w:t> </w:t>
      </w:r>
      <w:r>
        <w:rPr/>
        <w:t>% </w:t>
      </w:r>
      <w:r>
        <w:rPr>
          <w:position w:val="10"/>
          <w:sz w:val="18"/>
        </w:rPr>
        <w:t>137</w:t>
      </w:r>
      <w:r>
        <w:rPr/>
        <w:t>Cs,</w:t>
      </w:r>
      <w:r>
        <w:rPr>
          <w:spacing w:val="-18"/>
        </w:rPr>
        <w:t> </w:t>
      </w:r>
      <w:r>
        <w:rPr/>
        <w:t>а</w:t>
      </w:r>
      <w:r>
        <w:rPr>
          <w:spacing w:val="-22"/>
        </w:rPr>
        <w:t> </w:t>
      </w:r>
      <w:r>
        <w:rPr/>
        <w:t>на</w:t>
      </w:r>
      <w:r>
        <w:rPr>
          <w:spacing w:val="-22"/>
        </w:rPr>
        <w:t> </w:t>
      </w:r>
      <w:r>
        <w:rPr/>
        <w:t>електродіалізній</w:t>
      </w:r>
      <w:r>
        <w:rPr>
          <w:spacing w:val="-15"/>
        </w:rPr>
        <w:t> </w:t>
      </w:r>
      <w:r>
        <w:rPr/>
        <w:t>установці</w:t>
      </w:r>
      <w:r>
        <w:rPr>
          <w:spacing w:val="-24"/>
        </w:rPr>
        <w:t> </w:t>
      </w:r>
      <w:r>
        <w:rPr/>
        <w:t>з</w:t>
      </w:r>
      <w:r>
        <w:rPr>
          <w:spacing w:val="-13"/>
        </w:rPr>
        <w:t> </w:t>
      </w:r>
      <w:r>
        <w:rPr/>
        <w:t>аніоно-обмінними</w:t>
      </w:r>
      <w:r>
        <w:rPr>
          <w:spacing w:val="-20"/>
        </w:rPr>
        <w:t> </w:t>
      </w:r>
      <w:r>
        <w:rPr/>
        <w:t>мембранами</w:t>
      </w:r>
      <w:r>
        <w:rPr>
          <w:spacing w:val="-19"/>
        </w:rPr>
        <w:t> </w:t>
      </w:r>
      <w:r>
        <w:rPr/>
        <w:t>може</w:t>
      </w:r>
      <w:r>
        <w:rPr>
          <w:spacing w:val="-18"/>
        </w:rPr>
        <w:t> </w:t>
      </w:r>
      <w:r>
        <w:rPr/>
        <w:t>бути вилучено 70-90 % </w:t>
      </w:r>
      <w:r>
        <w:rPr>
          <w:position w:val="10"/>
          <w:sz w:val="18"/>
        </w:rPr>
        <w:t>131</w:t>
      </w:r>
      <w:r>
        <w:rPr/>
        <w:t>І. Внаслідок того, що окремі радіоактивні речовини розподіляються по органах і тканинах тварин нерівномірно, м'ясна продукція може істотно розрізнятися за їх концентрацією в окремих частинах тулуба [4]. Так,</w:t>
      </w:r>
      <w:r>
        <w:rPr>
          <w:spacing w:val="-12"/>
        </w:rPr>
        <w:t> </w:t>
      </w:r>
      <w:r>
        <w:rPr/>
        <w:t>концентрація</w:t>
      </w:r>
      <w:r>
        <w:rPr>
          <w:spacing w:val="-12"/>
        </w:rPr>
        <w:t> </w:t>
      </w:r>
      <w:r>
        <w:rPr>
          <w:position w:val="10"/>
          <w:sz w:val="18"/>
        </w:rPr>
        <w:t>90</w:t>
      </w:r>
      <w:r>
        <w:rPr/>
        <w:t>Sr</w:t>
      </w:r>
      <w:r>
        <w:rPr>
          <w:spacing w:val="-15"/>
        </w:rPr>
        <w:t> </w:t>
      </w:r>
      <w:r>
        <w:rPr/>
        <w:t>у</w:t>
      </w:r>
      <w:r>
        <w:rPr>
          <w:spacing w:val="-18"/>
        </w:rPr>
        <w:t> </w:t>
      </w:r>
      <w:r>
        <w:rPr/>
        <w:t>кістковій</w:t>
      </w:r>
      <w:r>
        <w:rPr>
          <w:spacing w:val="-15"/>
        </w:rPr>
        <w:t> </w:t>
      </w:r>
      <w:r>
        <w:rPr/>
        <w:t>тканині</w:t>
      </w:r>
      <w:r>
        <w:rPr>
          <w:spacing w:val="-18"/>
        </w:rPr>
        <w:t> </w:t>
      </w:r>
      <w:r>
        <w:rPr/>
        <w:t>свиней,</w:t>
      </w:r>
      <w:r>
        <w:rPr>
          <w:spacing w:val="-12"/>
        </w:rPr>
        <w:t> </w:t>
      </w:r>
      <w:r>
        <w:rPr/>
        <w:t>що</w:t>
      </w:r>
      <w:r>
        <w:rPr>
          <w:spacing w:val="-14"/>
        </w:rPr>
        <w:t> </w:t>
      </w:r>
      <w:r>
        <w:rPr/>
        <w:t>одержували</w:t>
      </w:r>
      <w:r>
        <w:rPr>
          <w:spacing w:val="-14"/>
        </w:rPr>
        <w:t> </w:t>
      </w:r>
      <w:r>
        <w:rPr/>
        <w:t>з</w:t>
      </w:r>
      <w:r>
        <w:rPr>
          <w:spacing w:val="-14"/>
        </w:rPr>
        <w:t> </w:t>
      </w:r>
      <w:r>
        <w:rPr/>
        <w:t>раціоном</w:t>
      </w:r>
      <w:r>
        <w:rPr>
          <w:spacing w:val="-13"/>
        </w:rPr>
        <w:t> </w:t>
      </w:r>
      <w:r>
        <w:rPr/>
        <w:t>цей радіоактивний ізотоп, перевищує його концентрацію в різних м'яких тканинах у 600-7000 разів. </w:t>
      </w:r>
      <w:r>
        <w:rPr>
          <w:position w:val="10"/>
          <w:sz w:val="18"/>
        </w:rPr>
        <w:t>137</w:t>
      </w:r>
      <w:r>
        <w:rPr/>
        <w:t>Cs накопичується в основному й більш-менш рівномірно в м'язовій</w:t>
      </w:r>
      <w:r>
        <w:rPr>
          <w:spacing w:val="21"/>
        </w:rPr>
        <w:t> </w:t>
      </w:r>
      <w:r>
        <w:rPr/>
        <w:t>тканині</w:t>
      </w:r>
      <w:r>
        <w:rPr>
          <w:spacing w:val="24"/>
        </w:rPr>
        <w:t> </w:t>
      </w:r>
      <w:r>
        <w:rPr/>
        <w:t>[5].</w:t>
      </w:r>
      <w:r>
        <w:rPr>
          <w:spacing w:val="25"/>
        </w:rPr>
        <w:t> </w:t>
      </w:r>
      <w:r>
        <w:rPr>
          <w:position w:val="10"/>
          <w:sz w:val="18"/>
        </w:rPr>
        <w:t>131</w:t>
      </w:r>
      <w:r>
        <w:rPr/>
        <w:t>І</w:t>
      </w:r>
      <w:r>
        <w:rPr>
          <w:spacing w:val="20"/>
        </w:rPr>
        <w:t> </w:t>
      </w:r>
      <w:r>
        <w:rPr/>
        <w:t>накопичується</w:t>
      </w:r>
      <w:r>
        <w:rPr>
          <w:spacing w:val="24"/>
        </w:rPr>
        <w:t> </w:t>
      </w:r>
      <w:r>
        <w:rPr/>
        <w:t>переважно</w:t>
      </w:r>
      <w:r>
        <w:rPr>
          <w:spacing w:val="21"/>
        </w:rPr>
        <w:t> </w:t>
      </w:r>
      <w:r>
        <w:rPr/>
        <w:t>в</w:t>
      </w:r>
      <w:r>
        <w:rPr>
          <w:spacing w:val="20"/>
        </w:rPr>
        <w:t> </w:t>
      </w:r>
      <w:r>
        <w:rPr/>
        <w:t>щитовидній</w:t>
      </w:r>
      <w:r>
        <w:rPr>
          <w:spacing w:val="21"/>
        </w:rPr>
        <w:t> </w:t>
      </w:r>
      <w:r>
        <w:rPr/>
        <w:t>залозі.</w:t>
      </w:r>
      <w:r>
        <w:rPr>
          <w:spacing w:val="24"/>
        </w:rPr>
        <w:t> </w:t>
      </w:r>
      <w:r>
        <w:rPr/>
        <w:t>З</w:t>
      </w:r>
    </w:p>
    <w:p>
      <w:pPr>
        <w:spacing w:after="0" w:line="237" w:lineRule="auto"/>
        <w:sectPr>
          <w:pgSz w:w="11910" w:h="16840"/>
          <w:pgMar w:header="713" w:footer="778" w:top="1140" w:bottom="960" w:left="940" w:right="520"/>
        </w:sectPr>
      </w:pPr>
    </w:p>
    <w:p>
      <w:pPr>
        <w:pStyle w:val="BodyText"/>
        <w:spacing w:line="237" w:lineRule="auto" w:before="94"/>
        <w:ind w:right="602"/>
      </w:pPr>
      <w:r>
        <w:rPr/>
        <w:t>урахуванням зазначених особливостей розподілу радіонуклідів при обробленні тварин частина продукції (м'язи, субпродукти) може бути використана безпосередньо у харчових цілях, а інша (щитовидна залоза в ранні періоди надходження радіоактивних речовин до зовнішнього середовища, лімфатичних вузлів) – виведена з харчового ланцюга. Кулінарна обробка, що полягає у виваренні костей і м'яса, є досить ефективним засобом дезактивації цього типу продукції тваринництва. Варіння костей практично не впливає на вміст </w:t>
      </w:r>
      <w:r>
        <w:rPr>
          <w:position w:val="10"/>
          <w:sz w:val="18"/>
        </w:rPr>
        <w:t>90</w:t>
      </w:r>
      <w:r>
        <w:rPr/>
        <w:t>Sr, що увійшов, як і кальцій, до структури кістяка, – до бульйону переходить усього 0,009-0,18 %, але вміст </w:t>
      </w:r>
      <w:r>
        <w:rPr>
          <w:position w:val="10"/>
          <w:sz w:val="18"/>
        </w:rPr>
        <w:t>137</w:t>
      </w:r>
      <w:r>
        <w:rPr/>
        <w:t>Cs у них зменшується у </w:t>
      </w:r>
      <w:r>
        <w:rPr>
          <w:spacing w:val="2"/>
        </w:rPr>
        <w:t>3-5 </w:t>
      </w:r>
      <w:r>
        <w:rPr/>
        <w:t>разів, тобто до бульйону переходить 67-80 %. У процесі варіння м'яса 7-місячного бичка до бульйону переходить</w:t>
      </w:r>
      <w:r>
        <w:rPr>
          <w:spacing w:val="-10"/>
        </w:rPr>
        <w:t> </w:t>
      </w:r>
      <w:r>
        <w:rPr/>
        <w:t>57</w:t>
      </w:r>
      <w:r>
        <w:rPr>
          <w:spacing w:val="-2"/>
        </w:rPr>
        <w:t> </w:t>
      </w:r>
      <w:r>
        <w:rPr/>
        <w:t>%</w:t>
      </w:r>
      <w:r>
        <w:rPr>
          <w:spacing w:val="-5"/>
        </w:rPr>
        <w:t> </w:t>
      </w:r>
      <w:r>
        <w:rPr>
          <w:position w:val="10"/>
          <w:sz w:val="18"/>
        </w:rPr>
        <w:t>90</w:t>
      </w:r>
      <w:r>
        <w:rPr/>
        <w:t>Sr,</w:t>
      </w:r>
      <w:r>
        <w:rPr>
          <w:spacing w:val="-5"/>
        </w:rPr>
        <w:t> </w:t>
      </w:r>
      <w:r>
        <w:rPr/>
        <w:t>а</w:t>
      </w:r>
      <w:r>
        <w:rPr>
          <w:spacing w:val="-6"/>
        </w:rPr>
        <w:t> </w:t>
      </w:r>
      <w:r>
        <w:rPr/>
        <w:t>після</w:t>
      </w:r>
      <w:r>
        <w:rPr>
          <w:spacing w:val="-5"/>
        </w:rPr>
        <w:t> </w:t>
      </w:r>
      <w:r>
        <w:rPr/>
        <w:t>додавання</w:t>
      </w:r>
      <w:r>
        <w:rPr>
          <w:spacing w:val="-7"/>
        </w:rPr>
        <w:t> </w:t>
      </w:r>
      <w:r>
        <w:rPr/>
        <w:t>у</w:t>
      </w:r>
      <w:r>
        <w:rPr>
          <w:spacing w:val="-11"/>
        </w:rPr>
        <w:t> </w:t>
      </w:r>
      <w:r>
        <w:rPr/>
        <w:t>воду</w:t>
      </w:r>
      <w:r>
        <w:rPr>
          <w:spacing w:val="-11"/>
        </w:rPr>
        <w:t> </w:t>
      </w:r>
      <w:r>
        <w:rPr/>
        <w:t>лимонної</w:t>
      </w:r>
      <w:r>
        <w:rPr>
          <w:spacing w:val="-12"/>
        </w:rPr>
        <w:t> </w:t>
      </w:r>
      <w:r>
        <w:rPr/>
        <w:t>або</w:t>
      </w:r>
      <w:r>
        <w:rPr>
          <w:spacing w:val="-6"/>
        </w:rPr>
        <w:t> </w:t>
      </w:r>
      <w:r>
        <w:rPr/>
        <w:t>молочної</w:t>
      </w:r>
      <w:r>
        <w:rPr>
          <w:spacing w:val="-7"/>
        </w:rPr>
        <w:t> </w:t>
      </w:r>
      <w:r>
        <w:rPr/>
        <w:t>кислоти</w:t>
      </w:r>
      <w:r>
        <w:rPr>
          <w:spacing w:val="2"/>
        </w:rPr>
        <w:t> </w:t>
      </w:r>
      <w:r>
        <w:rPr/>
        <w:t>– до</w:t>
      </w:r>
      <w:r>
        <w:rPr>
          <w:spacing w:val="-12"/>
        </w:rPr>
        <w:t> </w:t>
      </w:r>
      <w:r>
        <w:rPr/>
        <w:t>76-85</w:t>
      </w:r>
      <w:r>
        <w:rPr>
          <w:spacing w:val="-11"/>
        </w:rPr>
        <w:t> </w:t>
      </w:r>
      <w:r>
        <w:rPr/>
        <w:t>%.</w:t>
      </w:r>
      <w:r>
        <w:rPr>
          <w:spacing w:val="-9"/>
        </w:rPr>
        <w:t> </w:t>
      </w:r>
      <w:r>
        <w:rPr/>
        <w:t>Приблизно</w:t>
      </w:r>
      <w:r>
        <w:rPr>
          <w:spacing w:val="-11"/>
        </w:rPr>
        <w:t> </w:t>
      </w:r>
      <w:r>
        <w:rPr/>
        <w:t>стільки</w:t>
      </w:r>
      <w:r>
        <w:rPr>
          <w:spacing w:val="-12"/>
        </w:rPr>
        <w:t> </w:t>
      </w:r>
      <w:r>
        <w:rPr/>
        <w:t>ж</w:t>
      </w:r>
      <w:r>
        <w:rPr>
          <w:spacing w:val="-9"/>
        </w:rPr>
        <w:t> </w:t>
      </w:r>
      <w:r>
        <w:rPr>
          <w:position w:val="10"/>
          <w:sz w:val="18"/>
        </w:rPr>
        <w:t>90</w:t>
      </w:r>
      <w:r>
        <w:rPr/>
        <w:t>Sr</w:t>
      </w:r>
      <w:r>
        <w:rPr>
          <w:spacing w:val="-13"/>
        </w:rPr>
        <w:t> </w:t>
      </w:r>
      <w:r>
        <w:rPr/>
        <w:t>переходить</w:t>
      </w:r>
      <w:r>
        <w:rPr>
          <w:spacing w:val="-13"/>
        </w:rPr>
        <w:t> </w:t>
      </w:r>
      <w:r>
        <w:rPr/>
        <w:t>при</w:t>
      </w:r>
      <w:r>
        <w:rPr>
          <w:spacing w:val="-11"/>
        </w:rPr>
        <w:t> </w:t>
      </w:r>
      <w:r>
        <w:rPr/>
        <w:t>варінні</w:t>
      </w:r>
      <w:r>
        <w:rPr>
          <w:spacing w:val="-16"/>
        </w:rPr>
        <w:t> </w:t>
      </w:r>
      <w:r>
        <w:rPr/>
        <w:t>до</w:t>
      </w:r>
      <w:r>
        <w:rPr>
          <w:spacing w:val="-11"/>
        </w:rPr>
        <w:t> </w:t>
      </w:r>
      <w:r>
        <w:rPr/>
        <w:t>бульйону</w:t>
      </w:r>
      <w:r>
        <w:rPr>
          <w:spacing w:val="-16"/>
        </w:rPr>
        <w:t> </w:t>
      </w:r>
      <w:r>
        <w:rPr/>
        <w:t>з</w:t>
      </w:r>
      <w:r>
        <w:rPr>
          <w:spacing w:val="-11"/>
        </w:rPr>
        <w:t> </w:t>
      </w:r>
      <w:r>
        <w:rPr/>
        <w:t>м'яса курей. При цьому 50-60 % радіонукліда, накопиченого в м'ясі, переходить до бульйону уже протягом перших 10 хв. варіння й може бути</w:t>
      </w:r>
      <w:r>
        <w:rPr>
          <w:spacing w:val="-7"/>
        </w:rPr>
        <w:t> </w:t>
      </w:r>
      <w:r>
        <w:rPr/>
        <w:t>вилучено.</w:t>
      </w:r>
    </w:p>
    <w:p>
      <w:pPr>
        <w:pStyle w:val="BodyText"/>
        <w:spacing w:before="17"/>
        <w:ind w:right="614" w:firstLine="710"/>
      </w:pPr>
      <w:r>
        <w:rPr/>
        <w:t>Знизити концентрацію радіоактивних речовин у м'ясі можна шляхом його тривалого зберігання в засоленому виді й подальшому вимочуванні. Застосування цих технологічних прийомів (чотири обробки </w:t>
      </w:r>
      <w:r>
        <w:rPr>
          <w:spacing w:val="2"/>
        </w:rPr>
        <w:t>зі </w:t>
      </w:r>
      <w:r>
        <w:rPr/>
        <w:t>зміною розчину) дозволяє зменшити вміст </w:t>
      </w:r>
      <w:r>
        <w:rPr>
          <w:position w:val="10"/>
          <w:sz w:val="18"/>
        </w:rPr>
        <w:t>I37</w:t>
      </w:r>
      <w:r>
        <w:rPr/>
        <w:t>Cs на 63-99 %. Досить ефективне й вимочування м'яса в підкисленій лимонною, оцтової й іншою органічною кислотами воді. Ступінь</w:t>
      </w:r>
      <w:r>
        <w:rPr>
          <w:spacing w:val="-20"/>
        </w:rPr>
        <w:t> </w:t>
      </w:r>
      <w:r>
        <w:rPr/>
        <w:t>дезактивації</w:t>
      </w:r>
      <w:r>
        <w:rPr>
          <w:spacing w:val="-23"/>
        </w:rPr>
        <w:t> </w:t>
      </w:r>
      <w:r>
        <w:rPr/>
        <w:t>м'яса</w:t>
      </w:r>
      <w:r>
        <w:rPr>
          <w:spacing w:val="-16"/>
        </w:rPr>
        <w:t> </w:t>
      </w:r>
      <w:r>
        <w:rPr/>
        <w:t>при</w:t>
      </w:r>
      <w:r>
        <w:rPr>
          <w:spacing w:val="-18"/>
        </w:rPr>
        <w:t> </w:t>
      </w:r>
      <w:r>
        <w:rPr/>
        <w:t>цьому</w:t>
      </w:r>
      <w:r>
        <w:rPr>
          <w:spacing w:val="-22"/>
        </w:rPr>
        <w:t> </w:t>
      </w:r>
      <w:r>
        <w:rPr/>
        <w:t>залежить</w:t>
      </w:r>
      <w:r>
        <w:rPr>
          <w:spacing w:val="-19"/>
        </w:rPr>
        <w:t> </w:t>
      </w:r>
      <w:r>
        <w:rPr/>
        <w:t>від</w:t>
      </w:r>
      <w:r>
        <w:rPr>
          <w:spacing w:val="-15"/>
        </w:rPr>
        <w:t> </w:t>
      </w:r>
      <w:r>
        <w:rPr/>
        <w:t>розмірів</w:t>
      </w:r>
      <w:r>
        <w:rPr>
          <w:spacing w:val="-20"/>
        </w:rPr>
        <w:t> </w:t>
      </w:r>
      <w:r>
        <w:rPr/>
        <w:t>нарізаних</w:t>
      </w:r>
      <w:r>
        <w:rPr>
          <w:spacing w:val="-22"/>
        </w:rPr>
        <w:t> </w:t>
      </w:r>
      <w:r>
        <w:rPr/>
        <w:t>шматочків, тривалості вимочування, кількості обробок, реакції середовища, нарешті, ступеня забруднення, хімічної природи радіонукліда. Перетоплювання сала супроводжується переходом понад 95 % </w:t>
      </w:r>
      <w:r>
        <w:rPr>
          <w:position w:val="10"/>
          <w:sz w:val="18"/>
        </w:rPr>
        <w:t>137</w:t>
      </w:r>
      <w:r>
        <w:rPr/>
        <w:t>Cs у шквару, у результаті чого концентрація його в пряженому жирі знижується у 20</w:t>
      </w:r>
      <w:r>
        <w:rPr>
          <w:spacing w:val="-6"/>
        </w:rPr>
        <w:t> </w:t>
      </w:r>
      <w:r>
        <w:rPr/>
        <w:t>разів.</w:t>
      </w:r>
    </w:p>
    <w:p>
      <w:pPr>
        <w:pStyle w:val="BodyText"/>
        <w:spacing w:line="237" w:lineRule="auto"/>
        <w:ind w:right="610" w:firstLine="710"/>
      </w:pPr>
      <w:r>
        <w:rPr>
          <w:b/>
        </w:rPr>
        <w:t>Мета досліджень. </w:t>
      </w:r>
      <w:r>
        <w:rPr/>
        <w:t>Метою досліджень є модифікація кулінарної обробки, що полягає у виваренні костей і м'яса. Цей метод є досить ефективним засобом дезактивації такого типу продукції тваринництва. Варіння костей практично не впливає на вміст </w:t>
      </w:r>
      <w:r>
        <w:rPr>
          <w:position w:val="10"/>
          <w:sz w:val="18"/>
        </w:rPr>
        <w:t>90</w:t>
      </w:r>
      <w:r>
        <w:rPr/>
        <w:t>Sr, що увійшов, як і кальцій, до структури кістяка – до бульйону переходить усього 0,009-0,18 %, але вміст </w:t>
      </w:r>
      <w:r>
        <w:rPr>
          <w:position w:val="10"/>
          <w:sz w:val="18"/>
        </w:rPr>
        <w:t>137</w:t>
      </w:r>
      <w:r>
        <w:rPr/>
        <w:t>Cs у них зменшується у 3-5 разів, тобто до бульйону переходить 67-80 %. У процесі варіння м'яса 7- місячного бичка до бульйону переходить 57 % </w:t>
      </w:r>
      <w:r>
        <w:rPr>
          <w:position w:val="10"/>
          <w:sz w:val="18"/>
        </w:rPr>
        <w:t>90</w:t>
      </w:r>
      <w:r>
        <w:rPr/>
        <w:t>Sr, а після додавання у воду лимонної або молочної кислоти – до 76-85 %. Приблизно стільки ж </w:t>
      </w:r>
      <w:r>
        <w:rPr>
          <w:position w:val="10"/>
          <w:sz w:val="18"/>
        </w:rPr>
        <w:t>90</w:t>
      </w:r>
      <w:r>
        <w:rPr/>
        <w:t>Sr переходить при варінні до бульйону з м'яса курей. При цьому 50-60 % радіонукліда, накопиченого в м'ясі, переходить до бульйону уже протягом перших 10 хв. варіння й може бути вилучено.</w:t>
      </w:r>
    </w:p>
    <w:p>
      <w:pPr>
        <w:pStyle w:val="BodyText"/>
        <w:ind w:right="608" w:firstLine="710"/>
      </w:pPr>
      <w:r>
        <w:rPr>
          <w:b/>
        </w:rPr>
        <w:t>Методика і результати досліджень</w:t>
      </w:r>
      <w:r>
        <w:rPr/>
        <w:t>. Зниження концентрації радіоактивних</w:t>
      </w:r>
      <w:r>
        <w:rPr>
          <w:spacing w:val="-17"/>
        </w:rPr>
        <w:t> </w:t>
      </w:r>
      <w:r>
        <w:rPr/>
        <w:t>речовин</w:t>
      </w:r>
      <w:r>
        <w:rPr>
          <w:spacing w:val="-7"/>
        </w:rPr>
        <w:t> </w:t>
      </w:r>
      <w:r>
        <w:rPr/>
        <w:t>у</w:t>
      </w:r>
      <w:r>
        <w:rPr>
          <w:spacing w:val="-16"/>
        </w:rPr>
        <w:t> </w:t>
      </w:r>
      <w:r>
        <w:rPr/>
        <w:t>м'ясі</w:t>
      </w:r>
      <w:r>
        <w:rPr>
          <w:spacing w:val="-16"/>
        </w:rPr>
        <w:t> </w:t>
      </w:r>
      <w:r>
        <w:rPr/>
        <w:t>здійснюється</w:t>
      </w:r>
      <w:r>
        <w:rPr>
          <w:spacing w:val="-11"/>
        </w:rPr>
        <w:t> </w:t>
      </w:r>
      <w:r>
        <w:rPr/>
        <w:t>шляхом</w:t>
      </w:r>
      <w:r>
        <w:rPr>
          <w:spacing w:val="-6"/>
        </w:rPr>
        <w:t> </w:t>
      </w:r>
      <w:r>
        <w:rPr/>
        <w:t>його</w:t>
      </w:r>
      <w:r>
        <w:rPr>
          <w:spacing w:val="-12"/>
        </w:rPr>
        <w:t> </w:t>
      </w:r>
      <w:r>
        <w:rPr/>
        <w:t>тривалого</w:t>
      </w:r>
      <w:r>
        <w:rPr>
          <w:spacing w:val="-11"/>
        </w:rPr>
        <w:t> </w:t>
      </w:r>
      <w:r>
        <w:rPr/>
        <w:t>зберігання</w:t>
      </w:r>
      <w:r>
        <w:rPr>
          <w:spacing w:val="-11"/>
        </w:rPr>
        <w:t> </w:t>
      </w:r>
      <w:r>
        <w:rPr/>
        <w:t>в засоленому</w:t>
      </w:r>
      <w:r>
        <w:rPr>
          <w:spacing w:val="-22"/>
        </w:rPr>
        <w:t> </w:t>
      </w:r>
      <w:r>
        <w:rPr/>
        <w:t>виді</w:t>
      </w:r>
      <w:r>
        <w:rPr>
          <w:spacing w:val="-21"/>
        </w:rPr>
        <w:t> </w:t>
      </w:r>
      <w:r>
        <w:rPr/>
        <w:t>й</w:t>
      </w:r>
      <w:r>
        <w:rPr>
          <w:spacing w:val="-17"/>
        </w:rPr>
        <w:t> </w:t>
      </w:r>
      <w:r>
        <w:rPr/>
        <w:t>подальшому</w:t>
      </w:r>
      <w:r>
        <w:rPr>
          <w:spacing w:val="-21"/>
        </w:rPr>
        <w:t> </w:t>
      </w:r>
      <w:r>
        <w:rPr/>
        <w:t>вимочуванні</w:t>
      </w:r>
      <w:r>
        <w:rPr>
          <w:spacing w:val="-21"/>
        </w:rPr>
        <w:t> </w:t>
      </w:r>
      <w:r>
        <w:rPr/>
        <w:t>[6].</w:t>
      </w:r>
      <w:r>
        <w:rPr>
          <w:spacing w:val="-14"/>
        </w:rPr>
        <w:t> </w:t>
      </w:r>
      <w:r>
        <w:rPr/>
        <w:t>Застосування</w:t>
      </w:r>
      <w:r>
        <w:rPr>
          <w:spacing w:val="-16"/>
        </w:rPr>
        <w:t> </w:t>
      </w:r>
      <w:r>
        <w:rPr/>
        <w:t>цих</w:t>
      </w:r>
      <w:r>
        <w:rPr>
          <w:spacing w:val="-21"/>
        </w:rPr>
        <w:t> </w:t>
      </w:r>
      <w:r>
        <w:rPr/>
        <w:t>технологічних прийомів (чотири обробки зі зміною розчину) дозволяє зменшити вміст </w:t>
      </w:r>
      <w:r>
        <w:rPr>
          <w:position w:val="10"/>
          <w:sz w:val="18"/>
        </w:rPr>
        <w:t>I37</w:t>
      </w:r>
      <w:r>
        <w:rPr/>
        <w:t>Cs на 63-99 %. Досить ефективне й вимочування м'яса в підкисленій лимонною, оцтової й іншою органічною кислотами воді. Ступінь дезактивації м'яса при цьому залежить від розмірів нарізаних шматочків, тривалості вимочування, кількості обробок, реакції середовища, ступеня забруднення, хімічної природи радіонукліда. Перетоплювання сала супроводжується переходом понад 95</w:t>
      </w:r>
      <w:r>
        <w:rPr>
          <w:spacing w:val="-25"/>
        </w:rPr>
        <w:t> </w:t>
      </w:r>
      <w:r>
        <w:rPr/>
        <w:t>%</w:t>
      </w:r>
    </w:p>
    <w:p>
      <w:pPr>
        <w:spacing w:after="0"/>
        <w:sectPr>
          <w:pgSz w:w="11910" w:h="16840"/>
          <w:pgMar w:header="713" w:footer="778" w:top="1140" w:bottom="960" w:left="940" w:right="520"/>
        </w:sectPr>
      </w:pPr>
    </w:p>
    <w:p>
      <w:pPr>
        <w:pStyle w:val="BodyText"/>
        <w:spacing w:before="85"/>
        <w:ind w:right="617"/>
      </w:pPr>
      <w:r>
        <w:rPr>
          <w:position w:val="10"/>
          <w:sz w:val="18"/>
        </w:rPr>
        <w:t>137</w:t>
      </w:r>
      <w:r>
        <w:rPr/>
        <w:t>Cs у шкварки, у результаті чого концентрація його в пряженому жирі знижується у 20 разів.</w:t>
      </w:r>
    </w:p>
    <w:p>
      <w:pPr>
        <w:pStyle w:val="BodyText"/>
        <w:tabs>
          <w:tab w:pos="8988" w:val="left" w:leader="none"/>
        </w:tabs>
        <w:ind w:right="615" w:firstLine="710"/>
      </w:pPr>
      <w:r>
        <w:rPr>
          <w:spacing w:val="3"/>
        </w:rPr>
        <w:t>Слід </w:t>
      </w:r>
      <w:r>
        <w:rPr>
          <w:spacing w:val="5"/>
        </w:rPr>
        <w:t>підкреслити, що забруднені рослини </w:t>
      </w:r>
      <w:r>
        <w:rPr/>
        <w:t>– </w:t>
      </w:r>
      <w:r>
        <w:rPr>
          <w:spacing w:val="4"/>
        </w:rPr>
        <w:t>головне </w:t>
      </w:r>
      <w:r>
        <w:rPr>
          <w:spacing w:val="5"/>
        </w:rPr>
        <w:t>джерело надходження радіоактивних речовин </w:t>
      </w:r>
      <w:r>
        <w:rPr/>
        <w:t>в </w:t>
      </w:r>
      <w:r>
        <w:rPr>
          <w:spacing w:val="5"/>
        </w:rPr>
        <w:t>організм </w:t>
      </w:r>
      <w:r>
        <w:rPr>
          <w:spacing w:val="6"/>
        </w:rPr>
        <w:t>сільськогосподарських </w:t>
      </w:r>
      <w:r>
        <w:rPr>
          <w:spacing w:val="4"/>
        </w:rPr>
        <w:t>тварин разом </w:t>
      </w:r>
      <w:r>
        <w:rPr/>
        <w:t>з </w:t>
      </w:r>
      <w:r>
        <w:rPr>
          <w:spacing w:val="5"/>
        </w:rPr>
        <w:t>кормом. </w:t>
      </w:r>
      <w:r>
        <w:rPr/>
        <w:t>Постачальником їх є й вода відкритих водойм. З </w:t>
      </w:r>
      <w:r>
        <w:rPr>
          <w:spacing w:val="3"/>
        </w:rPr>
        <w:t>рослинною </w:t>
      </w:r>
      <w:r>
        <w:rPr/>
        <w:t>й </w:t>
      </w:r>
      <w:r>
        <w:rPr>
          <w:spacing w:val="3"/>
        </w:rPr>
        <w:t>тваринною </w:t>
      </w:r>
      <w:r>
        <w:rPr>
          <w:spacing w:val="2"/>
        </w:rPr>
        <w:t>їжею, </w:t>
      </w:r>
      <w:r>
        <w:rPr/>
        <w:t>з </w:t>
      </w:r>
      <w:r>
        <w:rPr>
          <w:spacing w:val="3"/>
        </w:rPr>
        <w:t>водою радіоактивні </w:t>
      </w:r>
      <w:r>
        <w:rPr>
          <w:spacing w:val="5"/>
        </w:rPr>
        <w:t>речовини </w:t>
      </w:r>
      <w:r>
        <w:rPr>
          <w:spacing w:val="3"/>
        </w:rPr>
        <w:t>можуть надходити </w:t>
      </w:r>
      <w:r>
        <w:rPr/>
        <w:t>в </w:t>
      </w:r>
      <w:r>
        <w:rPr>
          <w:spacing w:val="3"/>
        </w:rPr>
        <w:t>організм людини. </w:t>
      </w:r>
      <w:r>
        <w:rPr/>
        <w:t>Вважається, </w:t>
      </w:r>
      <w:r>
        <w:rPr>
          <w:spacing w:val="3"/>
        </w:rPr>
        <w:t>що </w:t>
      </w:r>
      <w:r>
        <w:rPr/>
        <w:t>основним їхнім </w:t>
      </w:r>
      <w:r>
        <w:rPr>
          <w:spacing w:val="2"/>
        </w:rPr>
        <w:t>джерелом </w:t>
      </w:r>
      <w:r>
        <w:rPr/>
        <w:t>є тваринна їжа й особливо молоко та молочні продукти. По </w:t>
      </w:r>
      <w:r>
        <w:rPr>
          <w:spacing w:val="4"/>
        </w:rPr>
        <w:t>оцінках деяких дослідників </w:t>
      </w:r>
      <w:r>
        <w:rPr>
          <w:spacing w:val="3"/>
        </w:rPr>
        <w:t>до </w:t>
      </w:r>
      <w:r>
        <w:rPr/>
        <w:t>50 % </w:t>
      </w:r>
      <w:r>
        <w:rPr>
          <w:spacing w:val="4"/>
        </w:rPr>
        <w:t>радіоактивних речовин </w:t>
      </w:r>
      <w:r>
        <w:rPr>
          <w:spacing w:val="3"/>
        </w:rPr>
        <w:t>може </w:t>
      </w:r>
      <w:r>
        <w:rPr>
          <w:spacing w:val="4"/>
        </w:rPr>
        <w:t>надходити </w:t>
      </w:r>
      <w:r>
        <w:rPr/>
        <w:t>з </w:t>
      </w:r>
      <w:r>
        <w:rPr>
          <w:spacing w:val="5"/>
        </w:rPr>
        <w:t>рослинною </w:t>
      </w:r>
      <w:r>
        <w:rPr>
          <w:spacing w:val="3"/>
        </w:rPr>
        <w:t>їжею. </w:t>
      </w:r>
      <w:r>
        <w:rPr/>
        <w:t>Частка інгаляційного шляху надходження</w:t>
      </w:r>
      <w:r>
        <w:rPr>
          <w:spacing w:val="20"/>
        </w:rPr>
        <w:t> </w:t>
      </w:r>
      <w:r>
        <w:rPr/>
        <w:t>невелика.</w:t>
      </w:r>
      <w:r>
        <w:rPr>
          <w:spacing w:val="-45"/>
        </w:rPr>
        <w:t> </w:t>
      </w:r>
      <w:r>
        <w:rPr/>
        <w:t>Однак,</w:t>
        <w:tab/>
        <w:t>більша частина </w:t>
      </w:r>
      <w:r>
        <w:rPr>
          <w:spacing w:val="2"/>
        </w:rPr>
        <w:t>радіоактивних </w:t>
      </w:r>
      <w:r>
        <w:rPr/>
        <w:t>речовин не попадає в продукти тваринного походження, а з екскрементами вертається назад у ґрунт і </w:t>
      </w:r>
      <w:r>
        <w:rPr>
          <w:spacing w:val="2"/>
        </w:rPr>
        <w:t>може </w:t>
      </w:r>
      <w:r>
        <w:rPr/>
        <w:t>знову включатися в детритний</w:t>
      </w:r>
      <w:r>
        <w:rPr>
          <w:spacing w:val="6"/>
        </w:rPr>
        <w:t> </w:t>
      </w:r>
      <w:r>
        <w:rPr/>
        <w:t>цикл.</w:t>
      </w:r>
    </w:p>
    <w:p>
      <w:pPr>
        <w:pStyle w:val="BodyText"/>
        <w:spacing w:before="1"/>
        <w:ind w:right="612" w:firstLine="710"/>
      </w:pPr>
      <w:r>
        <w:rPr/>
        <w:t>Аналогічно разом з компостами, золою й іншими залишками можуть повертатися в ґрунт радіоактивні речовини, </w:t>
      </w:r>
      <w:r>
        <w:rPr>
          <w:spacing w:val="3"/>
        </w:rPr>
        <w:t>які </w:t>
      </w:r>
      <w:r>
        <w:rPr/>
        <w:t>накопичені рослинами. Подібні </w:t>
      </w:r>
      <w:r>
        <w:rPr>
          <w:spacing w:val="2"/>
        </w:rPr>
        <w:t>зворотні </w:t>
      </w:r>
      <w:r>
        <w:rPr/>
        <w:t>зв'язки </w:t>
      </w:r>
      <w:r>
        <w:rPr>
          <w:spacing w:val="2"/>
        </w:rPr>
        <w:t>можуть </w:t>
      </w:r>
      <w:r>
        <w:rPr/>
        <w:t>виникати й між іншими ланками харчового ланцюга, наприклад від рослин, тварин і </w:t>
      </w:r>
      <w:r>
        <w:rPr>
          <w:spacing w:val="2"/>
        </w:rPr>
        <w:t>людину </w:t>
      </w:r>
      <w:r>
        <w:rPr/>
        <w:t>до води, від </w:t>
      </w:r>
      <w:r>
        <w:rPr>
          <w:spacing w:val="2"/>
        </w:rPr>
        <w:t>людини </w:t>
      </w:r>
      <w:r>
        <w:rPr/>
        <w:t>до ґрунту. </w:t>
      </w:r>
      <w:r>
        <w:rPr>
          <w:spacing w:val="3"/>
        </w:rPr>
        <w:t>Але </w:t>
      </w:r>
      <w:r>
        <w:rPr>
          <w:spacing w:val="5"/>
        </w:rPr>
        <w:t>внесок </w:t>
      </w:r>
      <w:r>
        <w:rPr>
          <w:spacing w:val="6"/>
        </w:rPr>
        <w:t>міграції</w:t>
      </w:r>
      <w:r>
        <w:rPr>
          <w:spacing w:val="82"/>
        </w:rPr>
        <w:t> </w:t>
      </w:r>
      <w:r>
        <w:rPr>
          <w:spacing w:val="6"/>
        </w:rPr>
        <w:t>радіоактивних</w:t>
      </w:r>
      <w:r>
        <w:rPr>
          <w:spacing w:val="82"/>
        </w:rPr>
        <w:t> </w:t>
      </w:r>
      <w:r>
        <w:rPr>
          <w:spacing w:val="7"/>
        </w:rPr>
        <w:t>речовин </w:t>
      </w:r>
      <w:r>
        <w:rPr/>
        <w:t>у </w:t>
      </w:r>
      <w:r>
        <w:rPr>
          <w:spacing w:val="4"/>
        </w:rPr>
        <w:t>цих </w:t>
      </w:r>
      <w:r>
        <w:rPr>
          <w:spacing w:val="6"/>
        </w:rPr>
        <w:t>напрямках</w:t>
      </w:r>
      <w:r>
        <w:rPr>
          <w:spacing w:val="82"/>
        </w:rPr>
        <w:t> </w:t>
      </w:r>
      <w:r>
        <w:rPr>
          <w:spacing w:val="6"/>
        </w:rPr>
        <w:t>порівняно невеликий.</w:t>
      </w:r>
    </w:p>
    <w:p>
      <w:pPr>
        <w:pStyle w:val="BodyText"/>
        <w:spacing w:before="3"/>
        <w:ind w:right="610" w:firstLine="710"/>
      </w:pPr>
      <w:r>
        <w:rPr>
          <w:b/>
        </w:rPr>
        <w:t>Шляхи надходження радіонуклідів в організм. </w:t>
      </w:r>
      <w:r>
        <w:rPr/>
        <w:t>Радіонукліди можуть надходити в організм різними шляхами: через органи дихання, шлунково- кишковий тракт та поверхню шкіри</w:t>
      </w:r>
      <w:r>
        <w:rPr>
          <w:i/>
        </w:rPr>
        <w:t>. </w:t>
      </w:r>
      <w:r>
        <w:rPr/>
        <w:t>Проте значення шкірного </w:t>
      </w:r>
      <w:r>
        <w:rPr>
          <w:spacing w:val="-3"/>
        </w:rPr>
        <w:t>із </w:t>
      </w:r>
      <w:r>
        <w:rPr/>
        <w:t>зазначених шляхів</w:t>
      </w:r>
      <w:r>
        <w:rPr>
          <w:spacing w:val="-12"/>
        </w:rPr>
        <w:t> </w:t>
      </w:r>
      <w:r>
        <w:rPr/>
        <w:t>далеко</w:t>
      </w:r>
      <w:r>
        <w:rPr>
          <w:spacing w:val="-10"/>
        </w:rPr>
        <w:t> </w:t>
      </w:r>
      <w:r>
        <w:rPr/>
        <w:t>не</w:t>
      </w:r>
      <w:r>
        <w:rPr>
          <w:spacing w:val="-9"/>
        </w:rPr>
        <w:t> </w:t>
      </w:r>
      <w:r>
        <w:rPr/>
        <w:t>ідентичне.</w:t>
      </w:r>
      <w:r>
        <w:rPr>
          <w:spacing w:val="-8"/>
        </w:rPr>
        <w:t> </w:t>
      </w:r>
      <w:r>
        <w:rPr/>
        <w:t>Так,</w:t>
      </w:r>
      <w:r>
        <w:rPr>
          <w:spacing w:val="-8"/>
        </w:rPr>
        <w:t> </w:t>
      </w:r>
      <w:r>
        <w:rPr/>
        <w:t>якщо</w:t>
      </w:r>
      <w:r>
        <w:rPr>
          <w:spacing w:val="-9"/>
        </w:rPr>
        <w:t> </w:t>
      </w:r>
      <w:r>
        <w:rPr/>
        <w:t>тварини</w:t>
      </w:r>
      <w:r>
        <w:rPr>
          <w:spacing w:val="-11"/>
        </w:rPr>
        <w:t> </w:t>
      </w:r>
      <w:r>
        <w:rPr/>
        <w:t>під</w:t>
      </w:r>
      <w:r>
        <w:rPr>
          <w:spacing w:val="-8"/>
        </w:rPr>
        <w:t> </w:t>
      </w:r>
      <w:r>
        <w:rPr/>
        <w:t>час</w:t>
      </w:r>
      <w:r>
        <w:rPr>
          <w:spacing w:val="-9"/>
        </w:rPr>
        <w:t> </w:t>
      </w:r>
      <w:r>
        <w:rPr/>
        <w:t>випадання</w:t>
      </w:r>
      <w:r>
        <w:rPr>
          <w:spacing w:val="-10"/>
        </w:rPr>
        <w:t> </w:t>
      </w:r>
      <w:r>
        <w:rPr/>
        <w:t>радіоактивних залишків знаходяться на пасовищі, то надходження радіонуклідів може становити (у відносних одиницях): через шлунково-кишковий тракт – 1000, органи дихання – 1, шкіру –</w:t>
      </w:r>
      <w:r>
        <w:rPr>
          <w:spacing w:val="9"/>
        </w:rPr>
        <w:t> </w:t>
      </w:r>
      <w:r>
        <w:rPr/>
        <w:t>0,0001.</w:t>
      </w:r>
    </w:p>
    <w:p>
      <w:pPr>
        <w:pStyle w:val="BodyText"/>
        <w:ind w:right="615" w:firstLine="710"/>
      </w:pPr>
      <w:r>
        <w:rPr/>
        <w:t>Отже, за умов випадання радіоактивних залишків особливу увагу слід звертати на максимально можливе зниження їх надходження через шлунково- кишковий тракт, бо в пасовищний період тварина протягом доби з'їдає траву на площі 100-300 м</w:t>
      </w:r>
      <w:r>
        <w:rPr>
          <w:position w:val="10"/>
          <w:sz w:val="18"/>
        </w:rPr>
        <w:t>2 </w:t>
      </w:r>
      <w:r>
        <w:rPr/>
        <w:t>[7]. При цьому разом з травою (частково з дерниною) вона споживає велику кількість радіонуклідів, що випали на пасовище, виконуючи роль акумулятора і передавача їх людині по харчовому ланцюгу. Особливо велика небезпека споживання радіоактивних часток </w:t>
      </w:r>
      <w:r>
        <w:rPr>
          <w:spacing w:val="-3"/>
        </w:rPr>
        <w:t>із </w:t>
      </w:r>
      <w:r>
        <w:rPr/>
        <w:t>поверхні землі тоді, коли вони випали на початку пасовищного періоду, а також при випасанні тварин на низькопродуктивних пасовищах. З практичної точки зору важливо знати, що корми, вирощені на території з однаковою щільністю забруднення, з</w:t>
      </w:r>
      <w:r>
        <w:rPr>
          <w:spacing w:val="-50"/>
        </w:rPr>
        <w:t> </w:t>
      </w:r>
      <w:r>
        <w:rPr/>
        <w:t>розрахунку на 1 кормову одиницю нагромаджують </w:t>
      </w:r>
      <w:r>
        <w:rPr>
          <w:spacing w:val="2"/>
        </w:rPr>
        <w:t>різну </w:t>
      </w:r>
      <w:r>
        <w:rPr/>
        <w:t>кількість радіонуклідів. Радіонукліди,</w:t>
      </w:r>
      <w:r>
        <w:rPr>
          <w:spacing w:val="-6"/>
        </w:rPr>
        <w:t> </w:t>
      </w:r>
      <w:r>
        <w:rPr/>
        <w:t>які</w:t>
      </w:r>
      <w:r>
        <w:rPr>
          <w:spacing w:val="-13"/>
        </w:rPr>
        <w:t> </w:t>
      </w:r>
      <w:r>
        <w:rPr/>
        <w:t>надійшли</w:t>
      </w:r>
      <w:r>
        <w:rPr>
          <w:spacing w:val="-4"/>
        </w:rPr>
        <w:t> </w:t>
      </w:r>
      <w:r>
        <w:rPr/>
        <w:t>в</w:t>
      </w:r>
      <w:r>
        <w:rPr>
          <w:spacing w:val="-9"/>
        </w:rPr>
        <w:t> </w:t>
      </w:r>
      <w:r>
        <w:rPr/>
        <w:t>шлунково-кишковий</w:t>
      </w:r>
      <w:r>
        <w:rPr>
          <w:spacing w:val="-9"/>
        </w:rPr>
        <w:t> </w:t>
      </w:r>
      <w:r>
        <w:rPr/>
        <w:t>тракт,</w:t>
      </w:r>
      <w:r>
        <w:rPr>
          <w:spacing w:val="-6"/>
        </w:rPr>
        <w:t> </w:t>
      </w:r>
      <w:r>
        <w:rPr/>
        <w:t>всмоктуються</w:t>
      </w:r>
      <w:r>
        <w:rPr>
          <w:spacing w:val="-6"/>
        </w:rPr>
        <w:t> </w:t>
      </w:r>
      <w:r>
        <w:rPr/>
        <w:t>з</w:t>
      </w:r>
      <w:r>
        <w:rPr>
          <w:spacing w:val="-8"/>
        </w:rPr>
        <w:t> </w:t>
      </w:r>
      <w:r>
        <w:rPr/>
        <w:t>різною швидкістю, що залежить від їх фізико-хімічних властивостей</w:t>
      </w:r>
      <w:r>
        <w:rPr>
          <w:spacing w:val="-2"/>
        </w:rPr>
        <w:t> </w:t>
      </w:r>
      <w:r>
        <w:rPr/>
        <w:t>[7].</w:t>
      </w:r>
    </w:p>
    <w:p>
      <w:pPr>
        <w:pStyle w:val="BodyText"/>
        <w:ind w:right="612" w:firstLine="710"/>
      </w:pPr>
      <w:r>
        <w:rPr/>
        <w:t>Незважаючи</w:t>
      </w:r>
      <w:r>
        <w:rPr>
          <w:spacing w:val="-18"/>
        </w:rPr>
        <w:t> </w:t>
      </w:r>
      <w:r>
        <w:rPr/>
        <w:t>на</w:t>
      </w:r>
      <w:r>
        <w:rPr>
          <w:spacing w:val="-16"/>
        </w:rPr>
        <w:t> </w:t>
      </w:r>
      <w:r>
        <w:rPr/>
        <w:t>те,</w:t>
      </w:r>
      <w:r>
        <w:rPr>
          <w:spacing w:val="-16"/>
        </w:rPr>
        <w:t> </w:t>
      </w:r>
      <w:r>
        <w:rPr/>
        <w:t>що</w:t>
      </w:r>
      <w:r>
        <w:rPr>
          <w:spacing w:val="-17"/>
        </w:rPr>
        <w:t> </w:t>
      </w:r>
      <w:r>
        <w:rPr/>
        <w:t>слизова</w:t>
      </w:r>
      <w:r>
        <w:rPr>
          <w:spacing w:val="-16"/>
        </w:rPr>
        <w:t> </w:t>
      </w:r>
      <w:r>
        <w:rPr/>
        <w:t>оболонка</w:t>
      </w:r>
      <w:r>
        <w:rPr>
          <w:spacing w:val="-13"/>
        </w:rPr>
        <w:t> </w:t>
      </w:r>
      <w:r>
        <w:rPr/>
        <w:t>всіх</w:t>
      </w:r>
      <w:r>
        <w:rPr>
          <w:spacing w:val="-22"/>
        </w:rPr>
        <w:t> </w:t>
      </w:r>
      <w:r>
        <w:rPr/>
        <w:t>відділів</w:t>
      </w:r>
      <w:r>
        <w:rPr>
          <w:spacing w:val="-19"/>
        </w:rPr>
        <w:t> </w:t>
      </w:r>
      <w:r>
        <w:rPr/>
        <w:t>шлунково-кишкового тракту здатна всмоктувати радіонукліди, роль їх у цьому процесі різна. Так, у ротовій порожнині і стравоході в результаті короткочасного перебування корму радіонукліди практично не засвоюються. Досить слабо вони всмоктуються і в передшлунках (в основному йод, натрій і молібден). Головним</w:t>
      </w:r>
      <w:r>
        <w:rPr>
          <w:spacing w:val="54"/>
        </w:rPr>
        <w:t> </w:t>
      </w:r>
      <w:r>
        <w:rPr/>
        <w:t>місцем</w:t>
      </w:r>
    </w:p>
    <w:p>
      <w:pPr>
        <w:spacing w:after="0"/>
        <w:sectPr>
          <w:pgSz w:w="11910" w:h="16840"/>
          <w:pgMar w:header="713" w:footer="778" w:top="1140" w:bottom="960" w:left="940" w:right="520"/>
        </w:sectPr>
      </w:pPr>
    </w:p>
    <w:p>
      <w:pPr>
        <w:pStyle w:val="BodyText"/>
        <w:spacing w:line="235" w:lineRule="auto" w:before="97"/>
        <w:ind w:right="615"/>
      </w:pPr>
      <w:r>
        <w:rPr/>
        <w:t>всмоктування радіонуклідів є кишечник. Доведено, що в передшлунках всмоктується близько 18 % </w:t>
      </w:r>
      <w:r>
        <w:rPr>
          <w:position w:val="10"/>
          <w:sz w:val="18"/>
        </w:rPr>
        <w:t>89</w:t>
      </w:r>
      <w:r>
        <w:rPr/>
        <w:t>Sr, у товстому відділі кишечнику 17 % і у тонкому</w:t>
      </w:r>
    </w:p>
    <w:p>
      <w:pPr>
        <w:pStyle w:val="BodyText"/>
        <w:ind w:right="627"/>
      </w:pPr>
      <w:r>
        <w:rPr/>
        <w:t>– 4,7%. На інтенсивність всмоктування впливає вік, характер годівлі і склад раціону тварин.</w:t>
      </w:r>
    </w:p>
    <w:p>
      <w:pPr>
        <w:pStyle w:val="BodyText"/>
        <w:ind w:right="607" w:firstLine="710"/>
      </w:pPr>
      <w:r>
        <w:rPr/>
        <w:t>Можливі</w:t>
      </w:r>
      <w:r>
        <w:rPr>
          <w:spacing w:val="-13"/>
        </w:rPr>
        <w:t> </w:t>
      </w:r>
      <w:r>
        <w:rPr/>
        <w:t>різні</w:t>
      </w:r>
      <w:r>
        <w:rPr>
          <w:spacing w:val="-13"/>
        </w:rPr>
        <w:t> </w:t>
      </w:r>
      <w:r>
        <w:rPr/>
        <w:t>варіанти</w:t>
      </w:r>
      <w:r>
        <w:rPr>
          <w:spacing w:val="-8"/>
        </w:rPr>
        <w:t> </w:t>
      </w:r>
      <w:r>
        <w:rPr/>
        <w:t>надходження</w:t>
      </w:r>
      <w:r>
        <w:rPr>
          <w:spacing w:val="-6"/>
        </w:rPr>
        <w:t> </w:t>
      </w:r>
      <w:r>
        <w:rPr/>
        <w:t>радіонуклідів</w:t>
      </w:r>
      <w:r>
        <w:rPr>
          <w:spacing w:val="-4"/>
        </w:rPr>
        <w:t> </w:t>
      </w:r>
      <w:r>
        <w:rPr/>
        <w:t>в</w:t>
      </w:r>
      <w:r>
        <w:rPr>
          <w:spacing w:val="-10"/>
        </w:rPr>
        <w:t> </w:t>
      </w:r>
      <w:r>
        <w:rPr/>
        <w:t>організм:</w:t>
      </w:r>
      <w:r>
        <w:rPr>
          <w:spacing w:val="-13"/>
        </w:rPr>
        <w:t> </w:t>
      </w:r>
      <w:r>
        <w:rPr/>
        <w:t>одноразово та</w:t>
      </w:r>
      <w:r>
        <w:rPr>
          <w:spacing w:val="-8"/>
        </w:rPr>
        <w:t> </w:t>
      </w:r>
      <w:r>
        <w:rPr/>
        <w:t>постійно.</w:t>
      </w:r>
      <w:r>
        <w:rPr>
          <w:spacing w:val="-6"/>
        </w:rPr>
        <w:t> </w:t>
      </w:r>
      <w:r>
        <w:rPr/>
        <w:t>Важливо</w:t>
      </w:r>
      <w:r>
        <w:rPr>
          <w:spacing w:val="-7"/>
        </w:rPr>
        <w:t> </w:t>
      </w:r>
      <w:r>
        <w:rPr/>
        <w:t>знати,</w:t>
      </w:r>
      <w:r>
        <w:rPr>
          <w:spacing w:val="-6"/>
        </w:rPr>
        <w:t> </w:t>
      </w:r>
      <w:r>
        <w:rPr/>
        <w:t>як</w:t>
      </w:r>
      <w:r>
        <w:rPr>
          <w:spacing w:val="-8"/>
        </w:rPr>
        <w:t> </w:t>
      </w:r>
      <w:r>
        <w:rPr/>
        <w:t>поводяться</w:t>
      </w:r>
      <w:r>
        <w:rPr>
          <w:spacing w:val="-7"/>
        </w:rPr>
        <w:t> </w:t>
      </w:r>
      <w:r>
        <w:rPr/>
        <w:t>при</w:t>
      </w:r>
      <w:r>
        <w:rPr>
          <w:spacing w:val="-8"/>
        </w:rPr>
        <w:t> </w:t>
      </w:r>
      <w:r>
        <w:rPr/>
        <w:t>цьому</w:t>
      </w:r>
      <w:r>
        <w:rPr>
          <w:spacing w:val="-13"/>
        </w:rPr>
        <w:t> </w:t>
      </w:r>
      <w:r>
        <w:rPr/>
        <w:t>найбільш</w:t>
      </w:r>
      <w:r>
        <w:rPr>
          <w:spacing w:val="-6"/>
        </w:rPr>
        <w:t> </w:t>
      </w:r>
      <w:r>
        <w:rPr/>
        <w:t>поширені</w:t>
      </w:r>
      <w:r>
        <w:rPr>
          <w:spacing w:val="-9"/>
        </w:rPr>
        <w:t> </w:t>
      </w:r>
      <w:r>
        <w:rPr>
          <w:spacing w:val="-3"/>
        </w:rPr>
        <w:t>із</w:t>
      </w:r>
      <w:r>
        <w:rPr>
          <w:spacing w:val="-7"/>
        </w:rPr>
        <w:t> </w:t>
      </w:r>
      <w:r>
        <w:rPr/>
        <w:t>них. Радіоактивні ізотопи йоду спочатку найбільше концентруються (до 30 %) у щитовидній залозі. З часом відбувається його перерозподіл в організмі і 60 -</w:t>
      </w:r>
      <w:r>
        <w:rPr>
          <w:spacing w:val="28"/>
        </w:rPr>
        <w:t> </w:t>
      </w:r>
      <w:r>
        <w:rPr>
          <w:spacing w:val="4"/>
        </w:rPr>
        <w:t>70</w:t>
      </w:r>
    </w:p>
    <w:p>
      <w:pPr>
        <w:pStyle w:val="BodyText"/>
        <w:spacing w:before="3"/>
        <w:ind w:right="608"/>
      </w:pPr>
      <w:r>
        <w:rPr/>
        <w:t>% йоду зосереджується в м'яких тканинах, а частина переходить в щитовидну залозу і виводиться. В кінцевому результаті на 14-й день у щитовидній залозі залишається приблизно 18 % від кількості, що надійшла, а в решті органів - близько 14% радіойоду. З практичної точки зору важливо знати розподілення в організмі радіостронцію та радіоцезію. Звідси за умов неконтрольованого надходження радіонуклідів в організм (випасання на пасовищах, забруднених радіонуклідами) до визначення всіх обставин виключають забій тварин. В умовах тривалого (хронічного) надходження радіонуклідів в організм (що спостерігається після Чорнобильської аварії) їх нагромадження коливається у досить широких межах. Найбільш інтенсивно радіонукліди нагромаджуються в тих випадках, коли вони починають надходити в молодому віці. Так, якщо стан рівноваги у дорослої тварини відмічають вже через </w:t>
      </w:r>
      <w:r>
        <w:rPr>
          <w:spacing w:val="2"/>
        </w:rPr>
        <w:t>3-4 </w:t>
      </w:r>
      <w:r>
        <w:rPr/>
        <w:t>міс. після початку надходження нукліду в організм, то у молодняку він настає приблизно через рік після</w:t>
      </w:r>
      <w:r>
        <w:rPr>
          <w:spacing w:val="-12"/>
        </w:rPr>
        <w:t> </w:t>
      </w:r>
      <w:r>
        <w:rPr/>
        <w:t>початку</w:t>
      </w:r>
      <w:r>
        <w:rPr>
          <w:spacing w:val="-17"/>
        </w:rPr>
        <w:t> </w:t>
      </w:r>
      <w:r>
        <w:rPr/>
        <w:t>надходження</w:t>
      </w:r>
      <w:r>
        <w:rPr>
          <w:spacing w:val="-12"/>
        </w:rPr>
        <w:t> </w:t>
      </w:r>
      <w:r>
        <w:rPr/>
        <w:t>стронцію</w:t>
      </w:r>
      <w:r>
        <w:rPr>
          <w:spacing w:val="-15"/>
        </w:rPr>
        <w:t> </w:t>
      </w:r>
      <w:r>
        <w:rPr/>
        <w:t>[3].</w:t>
      </w:r>
      <w:r>
        <w:rPr>
          <w:spacing w:val="-2"/>
        </w:rPr>
        <w:t> </w:t>
      </w:r>
      <w:r>
        <w:rPr/>
        <w:t>Відкладання</w:t>
      </w:r>
      <w:r>
        <w:rPr>
          <w:spacing w:val="-12"/>
        </w:rPr>
        <w:t> </w:t>
      </w:r>
      <w:r>
        <w:rPr/>
        <w:t>радіостронцію</w:t>
      </w:r>
      <w:r>
        <w:rPr>
          <w:spacing w:val="-15"/>
        </w:rPr>
        <w:t> </w:t>
      </w:r>
      <w:r>
        <w:rPr/>
        <w:t>в</w:t>
      </w:r>
      <w:r>
        <w:rPr>
          <w:spacing w:val="-15"/>
        </w:rPr>
        <w:t> </w:t>
      </w:r>
      <w:r>
        <w:rPr/>
        <w:t>організмі залежить також від рівня забезпечення тварин кальцієм. Насичення раціону кальцієм дає можливість зменшити нагромадження радіостронцію у кістяку приблизно в 2-4 рази. Закономірності нагромадження </w:t>
      </w:r>
      <w:r>
        <w:rPr>
          <w:position w:val="10"/>
          <w:sz w:val="18"/>
        </w:rPr>
        <w:t>137</w:t>
      </w:r>
      <w:r>
        <w:rPr/>
        <w:t>Cs мають багато спільного </w:t>
      </w:r>
      <w:r>
        <w:rPr>
          <w:spacing w:val="-3"/>
        </w:rPr>
        <w:t>із </w:t>
      </w:r>
      <w:r>
        <w:rPr/>
        <w:t>закономірностями відкладання </w:t>
      </w:r>
      <w:r>
        <w:rPr>
          <w:position w:val="10"/>
          <w:sz w:val="18"/>
        </w:rPr>
        <w:t>90</w:t>
      </w:r>
      <w:r>
        <w:rPr/>
        <w:t>Sr, але для нього характерне більш швидке (1-2 міс) встановлення стану рівноваги. Виводяться радіоактивні продукти розпаду в основному через шлунково-кишковий тракт. Винятком є лише радіоактивні ізотопи йоду, які виводяться </w:t>
      </w:r>
      <w:r>
        <w:rPr>
          <w:spacing w:val="-3"/>
        </w:rPr>
        <w:t>із </w:t>
      </w:r>
      <w:r>
        <w:rPr/>
        <w:t>організму, в основному, через нирки. </w:t>
      </w:r>
      <w:r>
        <w:rPr>
          <w:spacing w:val="-3"/>
        </w:rPr>
        <w:t>Це </w:t>
      </w:r>
      <w:r>
        <w:rPr/>
        <w:t>пояснюється насамперед досить низьким їх засвоєнням у шлунково- кишковому тракті, або великими обсягами виділення нукліду </w:t>
      </w:r>
      <w:r>
        <w:rPr>
          <w:position w:val="10"/>
          <w:sz w:val="18"/>
        </w:rPr>
        <w:t>137</w:t>
      </w:r>
      <w:r>
        <w:rPr/>
        <w:t>Cs у порожнину шлунково-кишкового тракту після</w:t>
      </w:r>
      <w:r>
        <w:rPr>
          <w:spacing w:val="3"/>
        </w:rPr>
        <w:t> </w:t>
      </w:r>
      <w:r>
        <w:rPr/>
        <w:t>всмоктування.</w:t>
      </w:r>
    </w:p>
    <w:p>
      <w:pPr>
        <w:pStyle w:val="BodyText"/>
        <w:spacing w:line="305" w:lineRule="exact"/>
        <w:ind w:left="903"/>
      </w:pPr>
      <w:r>
        <w:rPr/>
        <w:t>При</w:t>
      </w:r>
      <w:r>
        <w:rPr>
          <w:spacing w:val="19"/>
        </w:rPr>
        <w:t> </w:t>
      </w:r>
      <w:r>
        <w:rPr/>
        <w:t>споживанні</w:t>
      </w:r>
      <w:r>
        <w:rPr>
          <w:spacing w:val="16"/>
        </w:rPr>
        <w:t> </w:t>
      </w:r>
      <w:r>
        <w:rPr/>
        <w:t>радіонуклідів</w:t>
      </w:r>
      <w:r>
        <w:rPr>
          <w:spacing w:val="18"/>
        </w:rPr>
        <w:t> </w:t>
      </w:r>
      <w:r>
        <w:rPr/>
        <w:t>певна</w:t>
      </w:r>
      <w:r>
        <w:rPr>
          <w:spacing w:val="21"/>
        </w:rPr>
        <w:t> </w:t>
      </w:r>
      <w:r>
        <w:rPr/>
        <w:t>частина</w:t>
      </w:r>
      <w:r>
        <w:rPr>
          <w:spacing w:val="20"/>
        </w:rPr>
        <w:t> </w:t>
      </w:r>
      <w:r>
        <w:rPr/>
        <w:t>їх</w:t>
      </w:r>
      <w:r>
        <w:rPr>
          <w:spacing w:val="20"/>
        </w:rPr>
        <w:t> </w:t>
      </w:r>
      <w:r>
        <w:rPr/>
        <w:t>у</w:t>
      </w:r>
      <w:r>
        <w:rPr>
          <w:spacing w:val="17"/>
        </w:rPr>
        <w:t> </w:t>
      </w:r>
      <w:r>
        <w:rPr/>
        <w:t>результаті</w:t>
      </w:r>
      <w:r>
        <w:rPr>
          <w:spacing w:val="15"/>
        </w:rPr>
        <w:t> </w:t>
      </w:r>
      <w:r>
        <w:rPr/>
        <w:t>метаболізму</w:t>
      </w:r>
    </w:p>
    <w:p>
      <w:pPr>
        <w:pStyle w:val="BodyText"/>
        <w:ind w:right="612"/>
      </w:pPr>
      <w:r>
        <w:rPr/>
        <w:t>переходить в продукцію – молоко та м'ясо. У перші дні після випадання радіоактивних речовин у молоці знаходять переважно радіонукліди з малим періодом розпаду (йод, молібден, барій та ін.). Найбільшу частку серед зазначених речовин становить радіоактивний йод. При хронічному</w:t>
      </w:r>
      <w:r>
        <w:rPr>
          <w:spacing w:val="-43"/>
        </w:rPr>
        <w:t> </w:t>
      </w:r>
      <w:r>
        <w:rPr/>
        <w:t>надходженні радіонуклідів</w:t>
      </w:r>
      <w:r>
        <w:rPr>
          <w:spacing w:val="-12"/>
        </w:rPr>
        <w:t> </w:t>
      </w:r>
      <w:r>
        <w:rPr/>
        <w:t>в</w:t>
      </w:r>
      <w:r>
        <w:rPr>
          <w:spacing w:val="-11"/>
        </w:rPr>
        <w:t> </w:t>
      </w:r>
      <w:r>
        <w:rPr/>
        <w:t>організм</w:t>
      </w:r>
      <w:r>
        <w:rPr>
          <w:spacing w:val="-8"/>
        </w:rPr>
        <w:t> </w:t>
      </w:r>
      <w:r>
        <w:rPr/>
        <w:t>тварин</w:t>
      </w:r>
      <w:r>
        <w:rPr>
          <w:spacing w:val="-9"/>
        </w:rPr>
        <w:t> </w:t>
      </w:r>
      <w:r>
        <w:rPr/>
        <w:t>вже</w:t>
      </w:r>
      <w:r>
        <w:rPr>
          <w:spacing w:val="-9"/>
        </w:rPr>
        <w:t> </w:t>
      </w:r>
      <w:r>
        <w:rPr/>
        <w:t>через</w:t>
      </w:r>
      <w:r>
        <w:rPr>
          <w:spacing w:val="-9"/>
        </w:rPr>
        <w:t> </w:t>
      </w:r>
      <w:r>
        <w:rPr/>
        <w:t>кілька</w:t>
      </w:r>
      <w:r>
        <w:rPr>
          <w:spacing w:val="-9"/>
        </w:rPr>
        <w:t> </w:t>
      </w:r>
      <w:r>
        <w:rPr/>
        <w:t>днів</w:t>
      </w:r>
      <w:r>
        <w:rPr>
          <w:spacing w:val="-11"/>
        </w:rPr>
        <w:t> </w:t>
      </w:r>
      <w:r>
        <w:rPr/>
        <w:t>встановлюється</w:t>
      </w:r>
      <w:r>
        <w:rPr>
          <w:spacing w:val="-7"/>
        </w:rPr>
        <w:t> </w:t>
      </w:r>
      <w:r>
        <w:rPr/>
        <w:t>постійний рівень їх концентрації в молоці. Проте слід пам'ятати, що концентрація радіонуклідів у молоці може змінюватися в дуже широких межах. </w:t>
      </w:r>
      <w:r>
        <w:rPr>
          <w:spacing w:val="-3"/>
        </w:rPr>
        <w:t>Це </w:t>
      </w:r>
      <w:r>
        <w:rPr/>
        <w:t>зумовлено індивідуальними особливостями тварин, рівнем мінерального живлення, типом годівлі тощо. </w:t>
      </w:r>
      <w:r>
        <w:rPr>
          <w:spacing w:val="2"/>
        </w:rPr>
        <w:t>Тому </w:t>
      </w:r>
      <w:r>
        <w:rPr>
          <w:spacing w:val="3"/>
        </w:rPr>
        <w:t>що </w:t>
      </w:r>
      <w:r>
        <w:rPr>
          <w:spacing w:val="2"/>
        </w:rPr>
        <w:t>окремі радіоактивні речовини розподіляються </w:t>
      </w:r>
      <w:r>
        <w:rPr>
          <w:spacing w:val="4"/>
        </w:rPr>
        <w:t>по </w:t>
      </w:r>
      <w:r>
        <w:rPr>
          <w:spacing w:val="7"/>
        </w:rPr>
        <w:t>органах </w:t>
      </w:r>
      <w:r>
        <w:rPr/>
        <w:t>і </w:t>
      </w:r>
      <w:r>
        <w:rPr>
          <w:spacing w:val="7"/>
        </w:rPr>
        <w:t>тканинам тварин </w:t>
      </w:r>
      <w:r>
        <w:rPr>
          <w:spacing w:val="8"/>
        </w:rPr>
        <w:t>нерівномірно, </w:t>
      </w:r>
      <w:r>
        <w:rPr/>
        <w:t>те </w:t>
      </w:r>
      <w:r>
        <w:rPr>
          <w:spacing w:val="2"/>
        </w:rPr>
        <w:t>м'ясна </w:t>
      </w:r>
      <w:r>
        <w:rPr>
          <w:spacing w:val="4"/>
        </w:rPr>
        <w:t>продукція </w:t>
      </w:r>
      <w:r>
        <w:rPr>
          <w:spacing w:val="3"/>
        </w:rPr>
        <w:t>може істотно </w:t>
      </w:r>
      <w:r>
        <w:rPr>
          <w:spacing w:val="4"/>
        </w:rPr>
        <w:t>розрізнятися </w:t>
      </w:r>
      <w:r>
        <w:rPr/>
        <w:t>по їхній концентрації в окремих частинах гаси. Так,</w:t>
      </w:r>
      <w:r>
        <w:rPr>
          <w:spacing w:val="67"/>
        </w:rPr>
        <w:t> </w:t>
      </w:r>
      <w:r>
        <w:rPr/>
        <w:t>концентрація</w:t>
      </w:r>
    </w:p>
    <w:p>
      <w:pPr>
        <w:spacing w:after="0"/>
        <w:sectPr>
          <w:pgSz w:w="11910" w:h="16840"/>
          <w:pgMar w:header="713" w:footer="778" w:top="1140" w:bottom="960" w:left="940" w:right="520"/>
        </w:sectPr>
      </w:pPr>
    </w:p>
    <w:p>
      <w:pPr>
        <w:pStyle w:val="BodyText"/>
        <w:spacing w:before="85"/>
        <w:ind w:right="612"/>
      </w:pPr>
      <w:r>
        <w:rPr>
          <w:position w:val="10"/>
          <w:sz w:val="18"/>
        </w:rPr>
        <w:t>90</w:t>
      </w:r>
      <w:r>
        <w:rPr/>
        <w:t>Sr у кістковій тканині свиней, що одержували з раціоном цей радіоактивний ізотоп, перевищує його концентрацію в різних м'яких тканинах в 600—7000 разів. </w:t>
      </w:r>
      <w:r>
        <w:rPr>
          <w:position w:val="10"/>
          <w:sz w:val="18"/>
        </w:rPr>
        <w:t>137</w:t>
      </w:r>
      <w:r>
        <w:rPr/>
        <w:t>Cs накопичується в основному й більш-менш рівномірно в м'язовій тканині. </w:t>
      </w:r>
      <w:r>
        <w:rPr>
          <w:position w:val="10"/>
          <w:sz w:val="18"/>
        </w:rPr>
        <w:t>131</w:t>
      </w:r>
      <w:r>
        <w:rPr/>
        <w:t>І накопичується переважно в щитовидній залозі. З урахуванням зазначених особливостей розподілу радіонуклідів при обробленні тварин частина продукції (м'яза, субпродукти) може бути використана безпосередньо для харчових цілей, а інша (щитовидна залоза в ранні періоди надходження радіоактивних речовин у зовнішнє середовище, лімфатичні вузли) - виведена з харчового ланцюга. Всі шляхи міграції радіоактивних речовин в об'єктах навколишнього середовища й сільськогосподарського виробництва сходяться на людях [7-8]. Тому основним завданням фахівців, які здійснюють реалізацію широкомасштабних заходів щодо запобігання переходу радіоактивних речовин у продукцію тваринництва, що забезпечують чистоту продукції, і технологів харчової промисловості, що проводять разом із лікарями-зоогігієністами роботи з очищення обох видів продукції, є припинення цих шляхів. Чим на більше ранньому етапі це завдання буде вирішена, ти більше ефективної виявиться захист людини від недоброякісної продукції.</w:t>
      </w:r>
    </w:p>
    <w:p>
      <w:pPr>
        <w:pStyle w:val="BodyText"/>
        <w:tabs>
          <w:tab w:pos="7276" w:val="left" w:leader="none"/>
        </w:tabs>
        <w:ind w:right="609" w:firstLine="710"/>
        <w:jc w:val="right"/>
      </w:pPr>
      <w:r>
        <w:rPr>
          <w:b/>
        </w:rPr>
        <w:t>Шляхи зменшення надходження радіонуклідів. </w:t>
      </w:r>
      <w:r>
        <w:rPr/>
        <w:t>Основний</w:t>
      </w:r>
      <w:r>
        <w:rPr>
          <w:spacing w:val="28"/>
        </w:rPr>
        <w:t> </w:t>
      </w:r>
      <w:r>
        <w:rPr/>
        <w:t>внесок</w:t>
      </w:r>
      <w:r>
        <w:rPr>
          <w:spacing w:val="18"/>
        </w:rPr>
        <w:t> </w:t>
      </w:r>
      <w:r>
        <w:rPr/>
        <w:t>у</w:t>
      </w:r>
      <w:r>
        <w:rPr>
          <w:w w:val="99"/>
        </w:rPr>
        <w:t> </w:t>
      </w:r>
      <w:r>
        <w:rPr/>
        <w:t>рівень радіоактивного забруднення у перші дні і тижні</w:t>
      </w:r>
      <w:r>
        <w:rPr>
          <w:spacing w:val="57"/>
        </w:rPr>
        <w:t> </w:t>
      </w:r>
      <w:r>
        <w:rPr/>
        <w:t>після</w:t>
      </w:r>
      <w:r>
        <w:rPr>
          <w:spacing w:val="46"/>
        </w:rPr>
        <w:t> </w:t>
      </w:r>
      <w:r>
        <w:rPr/>
        <w:t>випадання</w:t>
      </w:r>
      <w:r>
        <w:rPr>
          <w:spacing w:val="-1"/>
          <w:w w:val="99"/>
        </w:rPr>
        <w:t> </w:t>
      </w:r>
      <w:r>
        <w:rPr/>
        <w:t>радіоактивних залишків (у зв'язку з високою міграційною</w:t>
      </w:r>
      <w:r>
        <w:rPr>
          <w:spacing w:val="20"/>
        </w:rPr>
        <w:t> </w:t>
      </w:r>
      <w:r>
        <w:rPr/>
        <w:t>здатністю)</w:t>
      </w:r>
      <w:r>
        <w:rPr>
          <w:spacing w:val="64"/>
        </w:rPr>
        <w:t> </w:t>
      </w:r>
      <w:r>
        <w:rPr/>
        <w:t>мають</w:t>
      </w:r>
      <w:r>
        <w:rPr>
          <w:w w:val="99"/>
        </w:rPr>
        <w:t> </w:t>
      </w:r>
      <w:r>
        <w:rPr/>
        <w:t>радіоізотопи</w:t>
      </w:r>
      <w:r>
        <w:rPr>
          <w:spacing w:val="24"/>
        </w:rPr>
        <w:t> </w:t>
      </w:r>
      <w:r>
        <w:rPr/>
        <w:t>йоду</w:t>
      </w:r>
      <w:r>
        <w:rPr>
          <w:spacing w:val="20"/>
        </w:rPr>
        <w:t> </w:t>
      </w:r>
      <w:r>
        <w:rPr/>
        <w:t>з</w:t>
      </w:r>
      <w:r>
        <w:rPr>
          <w:spacing w:val="26"/>
        </w:rPr>
        <w:t> </w:t>
      </w:r>
      <w:r>
        <w:rPr/>
        <w:t>коротким</w:t>
      </w:r>
      <w:r>
        <w:rPr>
          <w:spacing w:val="26"/>
        </w:rPr>
        <w:t> </w:t>
      </w:r>
      <w:r>
        <w:rPr/>
        <w:t>періодом</w:t>
      </w:r>
      <w:r>
        <w:rPr>
          <w:spacing w:val="25"/>
        </w:rPr>
        <w:t> </w:t>
      </w:r>
      <w:r>
        <w:rPr/>
        <w:t>розпаду.</w:t>
      </w:r>
      <w:r>
        <w:rPr>
          <w:spacing w:val="27"/>
        </w:rPr>
        <w:t> </w:t>
      </w:r>
      <w:r>
        <w:rPr/>
        <w:t>При</w:t>
      </w:r>
      <w:r>
        <w:rPr>
          <w:spacing w:val="25"/>
        </w:rPr>
        <w:t> </w:t>
      </w:r>
      <w:r>
        <w:rPr/>
        <w:t>цьому</w:t>
      </w:r>
      <w:r>
        <w:rPr>
          <w:spacing w:val="20"/>
        </w:rPr>
        <w:t> </w:t>
      </w:r>
      <w:r>
        <w:rPr/>
        <w:t>важливе</w:t>
      </w:r>
      <w:r>
        <w:rPr>
          <w:spacing w:val="26"/>
        </w:rPr>
        <w:t> </w:t>
      </w:r>
      <w:r>
        <w:rPr/>
        <w:t>значення</w:t>
      </w:r>
      <w:r>
        <w:rPr>
          <w:spacing w:val="-1"/>
          <w:w w:val="99"/>
        </w:rPr>
        <w:t> </w:t>
      </w:r>
      <w:r>
        <w:rPr/>
        <w:t>для</w:t>
      </w:r>
      <w:r>
        <w:rPr>
          <w:spacing w:val="-11"/>
        </w:rPr>
        <w:t> </w:t>
      </w:r>
      <w:r>
        <w:rPr/>
        <w:t>обсягів</w:t>
      </w:r>
      <w:r>
        <w:rPr>
          <w:spacing w:val="-14"/>
        </w:rPr>
        <w:t> </w:t>
      </w:r>
      <w:r>
        <w:rPr/>
        <w:t>його</w:t>
      </w:r>
      <w:r>
        <w:rPr>
          <w:spacing w:val="-12"/>
        </w:rPr>
        <w:t> </w:t>
      </w:r>
      <w:r>
        <w:rPr/>
        <w:t>переходу</w:t>
      </w:r>
      <w:r>
        <w:rPr>
          <w:spacing w:val="-17"/>
        </w:rPr>
        <w:t> </w:t>
      </w:r>
      <w:r>
        <w:rPr/>
        <w:t>в</w:t>
      </w:r>
      <w:r>
        <w:rPr>
          <w:spacing w:val="-15"/>
        </w:rPr>
        <w:t> </w:t>
      </w:r>
      <w:r>
        <w:rPr/>
        <w:t>організм</w:t>
      </w:r>
      <w:r>
        <w:rPr>
          <w:spacing w:val="-11"/>
        </w:rPr>
        <w:t> </w:t>
      </w:r>
      <w:r>
        <w:rPr/>
        <w:t>має</w:t>
      </w:r>
      <w:r>
        <w:rPr>
          <w:spacing w:val="-8"/>
        </w:rPr>
        <w:t> </w:t>
      </w:r>
      <w:r>
        <w:rPr/>
        <w:t>пора</w:t>
      </w:r>
      <w:r>
        <w:rPr>
          <w:spacing w:val="-11"/>
        </w:rPr>
        <w:t> </w:t>
      </w:r>
      <w:r>
        <w:rPr/>
        <w:t>року</w:t>
      </w:r>
      <w:r>
        <w:rPr>
          <w:spacing w:val="-12"/>
        </w:rPr>
        <w:t> </w:t>
      </w:r>
      <w:r>
        <w:rPr/>
        <w:t>і</w:t>
      </w:r>
      <w:r>
        <w:rPr>
          <w:spacing w:val="-17"/>
        </w:rPr>
        <w:t> </w:t>
      </w:r>
      <w:r>
        <w:rPr/>
        <w:t>стан</w:t>
      </w:r>
      <w:r>
        <w:rPr>
          <w:spacing w:val="-13"/>
        </w:rPr>
        <w:t> </w:t>
      </w:r>
      <w:r>
        <w:rPr/>
        <w:t>сільськогосподарських</w:t>
      </w:r>
      <w:r>
        <w:rPr>
          <w:w w:val="99"/>
        </w:rPr>
        <w:t> </w:t>
      </w:r>
      <w:r>
        <w:rPr/>
        <w:t>угідь.</w:t>
      </w:r>
      <w:r>
        <w:rPr>
          <w:spacing w:val="16"/>
        </w:rPr>
        <w:t> </w:t>
      </w:r>
      <w:r>
        <w:rPr/>
        <w:t>Особливо</w:t>
      </w:r>
      <w:r>
        <w:rPr>
          <w:spacing w:val="14"/>
        </w:rPr>
        <w:t> </w:t>
      </w:r>
      <w:r>
        <w:rPr/>
        <w:t>це</w:t>
      </w:r>
      <w:r>
        <w:rPr>
          <w:spacing w:val="14"/>
        </w:rPr>
        <w:t> </w:t>
      </w:r>
      <w:r>
        <w:rPr/>
        <w:t>небезпечно,</w:t>
      </w:r>
      <w:r>
        <w:rPr>
          <w:spacing w:val="12"/>
        </w:rPr>
        <w:t> </w:t>
      </w:r>
      <w:r>
        <w:rPr/>
        <w:t>коли</w:t>
      </w:r>
      <w:r>
        <w:rPr>
          <w:spacing w:val="14"/>
        </w:rPr>
        <w:t> </w:t>
      </w:r>
      <w:r>
        <w:rPr/>
        <w:t>радіоактивні</w:t>
      </w:r>
      <w:r>
        <w:rPr>
          <w:spacing w:val="9"/>
        </w:rPr>
        <w:t> </w:t>
      </w:r>
      <w:r>
        <w:rPr/>
        <w:t>залишки</w:t>
      </w:r>
      <w:r>
        <w:rPr>
          <w:spacing w:val="13"/>
        </w:rPr>
        <w:t> </w:t>
      </w:r>
      <w:r>
        <w:rPr/>
        <w:t>випадають</w:t>
      </w:r>
      <w:r>
        <w:rPr>
          <w:spacing w:val="16"/>
        </w:rPr>
        <w:t> </w:t>
      </w:r>
      <w:r>
        <w:rPr/>
        <w:t>у</w:t>
      </w:r>
      <w:r>
        <w:rPr>
          <w:spacing w:val="10"/>
        </w:rPr>
        <w:t> </w:t>
      </w:r>
      <w:r>
        <w:rPr/>
        <w:t>період</w:t>
      </w:r>
      <w:r>
        <w:rPr>
          <w:w w:val="99"/>
        </w:rPr>
        <w:t> </w:t>
      </w:r>
      <w:r>
        <w:rPr/>
        <w:t>вегетації</w:t>
      </w:r>
      <w:r>
        <w:rPr>
          <w:spacing w:val="19"/>
        </w:rPr>
        <w:t> </w:t>
      </w:r>
      <w:r>
        <w:rPr/>
        <w:t>рослин,</w:t>
      </w:r>
      <w:r>
        <w:rPr>
          <w:spacing w:val="28"/>
        </w:rPr>
        <w:t> </w:t>
      </w:r>
      <w:r>
        <w:rPr/>
        <w:t>а</w:t>
      </w:r>
      <w:r>
        <w:rPr>
          <w:spacing w:val="27"/>
        </w:rPr>
        <w:t> </w:t>
      </w:r>
      <w:r>
        <w:rPr/>
        <w:t>тварини</w:t>
      </w:r>
      <w:r>
        <w:rPr>
          <w:spacing w:val="25"/>
        </w:rPr>
        <w:t> </w:t>
      </w:r>
      <w:r>
        <w:rPr/>
        <w:t>знаходяться</w:t>
      </w:r>
      <w:r>
        <w:rPr>
          <w:spacing w:val="27"/>
        </w:rPr>
        <w:t> </w:t>
      </w:r>
      <w:r>
        <w:rPr/>
        <w:t>на</w:t>
      </w:r>
      <w:r>
        <w:rPr>
          <w:spacing w:val="27"/>
        </w:rPr>
        <w:t> </w:t>
      </w:r>
      <w:r>
        <w:rPr/>
        <w:t>пасовищах.</w:t>
      </w:r>
      <w:r>
        <w:rPr>
          <w:spacing w:val="27"/>
        </w:rPr>
        <w:t> </w:t>
      </w:r>
      <w:r>
        <w:rPr/>
        <w:t>За</w:t>
      </w:r>
      <w:r>
        <w:rPr>
          <w:spacing w:val="27"/>
        </w:rPr>
        <w:t> </w:t>
      </w:r>
      <w:r>
        <w:rPr/>
        <w:t>цих</w:t>
      </w:r>
      <w:r>
        <w:rPr>
          <w:spacing w:val="25"/>
        </w:rPr>
        <w:t> </w:t>
      </w:r>
      <w:r>
        <w:rPr/>
        <w:t>умов</w:t>
      </w:r>
      <w:r>
        <w:rPr>
          <w:spacing w:val="24"/>
        </w:rPr>
        <w:t> </w:t>
      </w:r>
      <w:r>
        <w:rPr/>
        <w:t>необхідно</w:t>
      </w:r>
      <w:r>
        <w:rPr>
          <w:w w:val="99"/>
        </w:rPr>
        <w:t> </w:t>
      </w:r>
      <w:r>
        <w:rPr/>
        <w:t>організувати</w:t>
      </w:r>
      <w:r>
        <w:rPr>
          <w:spacing w:val="19"/>
        </w:rPr>
        <w:t> </w:t>
      </w:r>
      <w:r>
        <w:rPr/>
        <w:t>раціональну</w:t>
      </w:r>
      <w:r>
        <w:rPr>
          <w:spacing w:val="16"/>
        </w:rPr>
        <w:t> </w:t>
      </w:r>
      <w:r>
        <w:rPr/>
        <w:t>годівлю</w:t>
      </w:r>
      <w:r>
        <w:rPr>
          <w:spacing w:val="19"/>
        </w:rPr>
        <w:t> </w:t>
      </w:r>
      <w:r>
        <w:rPr/>
        <w:t>особин</w:t>
      </w:r>
      <w:r>
        <w:rPr>
          <w:spacing w:val="20"/>
        </w:rPr>
        <w:t> </w:t>
      </w:r>
      <w:r>
        <w:rPr/>
        <w:t>і</w:t>
      </w:r>
      <w:r>
        <w:rPr>
          <w:spacing w:val="20"/>
        </w:rPr>
        <w:t> </w:t>
      </w:r>
      <w:r>
        <w:rPr/>
        <w:t>вилучити</w:t>
      </w:r>
      <w:r>
        <w:rPr>
          <w:spacing w:val="20"/>
        </w:rPr>
        <w:t> </w:t>
      </w:r>
      <w:r>
        <w:rPr/>
        <w:t>можливості</w:t>
      </w:r>
      <w:r>
        <w:rPr>
          <w:spacing w:val="15"/>
        </w:rPr>
        <w:t> </w:t>
      </w:r>
      <w:r>
        <w:rPr/>
        <w:t>надходження</w:t>
      </w:r>
      <w:r>
        <w:rPr>
          <w:w w:val="99"/>
        </w:rPr>
        <w:t> </w:t>
      </w:r>
      <w:r>
        <w:rPr/>
        <w:t>радіонуклідів з коротким періодом розпаду</w:t>
      </w:r>
      <w:r>
        <w:rPr>
          <w:spacing w:val="-18"/>
        </w:rPr>
        <w:t> </w:t>
      </w:r>
      <w:r>
        <w:rPr/>
        <w:t>в</w:t>
      </w:r>
      <w:r>
        <w:rPr>
          <w:spacing w:val="-4"/>
        </w:rPr>
        <w:t> </w:t>
      </w:r>
      <w:r>
        <w:rPr/>
        <w:t>організм.</w:t>
        <w:tab/>
        <w:t>Якщо</w:t>
      </w:r>
      <w:r>
        <w:rPr>
          <w:spacing w:val="46"/>
        </w:rPr>
        <w:t> </w:t>
      </w:r>
      <w:r>
        <w:rPr/>
        <w:t>рівні</w:t>
      </w:r>
      <w:r>
        <w:rPr>
          <w:spacing w:val="42"/>
        </w:rPr>
        <w:t> </w:t>
      </w:r>
      <w:r>
        <w:rPr/>
        <w:t>радіації</w:t>
      </w:r>
      <w:r>
        <w:rPr>
          <w:w w:val="99"/>
        </w:rPr>
        <w:t> </w:t>
      </w:r>
      <w:r>
        <w:rPr/>
        <w:t>дозволяють людям знаходитися на такій території, тварин</w:t>
      </w:r>
      <w:r>
        <w:rPr>
          <w:spacing w:val="-21"/>
        </w:rPr>
        <w:t> </w:t>
      </w:r>
      <w:r>
        <w:rPr/>
        <w:t>терміново</w:t>
      </w:r>
      <w:r>
        <w:rPr>
          <w:spacing w:val="-13"/>
        </w:rPr>
        <w:t> </w:t>
      </w:r>
      <w:r>
        <w:rPr/>
        <w:t>переводять</w:t>
      </w:r>
      <w:r>
        <w:rPr>
          <w:w w:val="99"/>
        </w:rPr>
        <w:t> </w:t>
      </w:r>
      <w:r>
        <w:rPr/>
        <w:t>на</w:t>
      </w:r>
      <w:r>
        <w:rPr>
          <w:spacing w:val="-18"/>
        </w:rPr>
        <w:t> </w:t>
      </w:r>
      <w:r>
        <w:rPr/>
        <w:t>стійлове</w:t>
      </w:r>
      <w:r>
        <w:rPr>
          <w:spacing w:val="-12"/>
        </w:rPr>
        <w:t> </w:t>
      </w:r>
      <w:r>
        <w:rPr/>
        <w:t>утримання</w:t>
      </w:r>
      <w:r>
        <w:rPr>
          <w:spacing w:val="-13"/>
        </w:rPr>
        <w:t> </w:t>
      </w:r>
      <w:r>
        <w:rPr/>
        <w:t>і</w:t>
      </w:r>
      <w:r>
        <w:rPr>
          <w:spacing w:val="-22"/>
        </w:rPr>
        <w:t> </w:t>
      </w:r>
      <w:r>
        <w:rPr/>
        <w:t>перестають</w:t>
      </w:r>
      <w:r>
        <w:rPr>
          <w:spacing w:val="-20"/>
        </w:rPr>
        <w:t> </w:t>
      </w:r>
      <w:r>
        <w:rPr/>
        <w:t>випасати.</w:t>
      </w:r>
      <w:r>
        <w:rPr>
          <w:spacing w:val="-17"/>
        </w:rPr>
        <w:t> </w:t>
      </w:r>
      <w:r>
        <w:rPr/>
        <w:t>Годують</w:t>
      </w:r>
      <w:r>
        <w:rPr>
          <w:spacing w:val="-19"/>
        </w:rPr>
        <w:t> </w:t>
      </w:r>
      <w:r>
        <w:rPr/>
        <w:t>кормами</w:t>
      </w:r>
      <w:r>
        <w:rPr>
          <w:spacing w:val="-19"/>
        </w:rPr>
        <w:t> </w:t>
      </w:r>
      <w:r>
        <w:rPr>
          <w:spacing w:val="-3"/>
        </w:rPr>
        <w:t>із</w:t>
      </w:r>
      <w:r>
        <w:rPr>
          <w:spacing w:val="-18"/>
        </w:rPr>
        <w:t> </w:t>
      </w:r>
      <w:r>
        <w:rPr/>
        <w:t>минулорічних</w:t>
      </w:r>
      <w:r>
        <w:rPr>
          <w:w w:val="99"/>
        </w:rPr>
        <w:t> </w:t>
      </w:r>
      <w:r>
        <w:rPr/>
        <w:t>запасів,</w:t>
      </w:r>
      <w:r>
        <w:rPr>
          <w:spacing w:val="28"/>
        </w:rPr>
        <w:t> </w:t>
      </w:r>
      <w:r>
        <w:rPr/>
        <w:t>які</w:t>
      </w:r>
      <w:r>
        <w:rPr>
          <w:spacing w:val="22"/>
        </w:rPr>
        <w:t> </w:t>
      </w:r>
      <w:r>
        <w:rPr/>
        <w:t>не</w:t>
      </w:r>
      <w:r>
        <w:rPr>
          <w:spacing w:val="28"/>
        </w:rPr>
        <w:t> </w:t>
      </w:r>
      <w:r>
        <w:rPr/>
        <w:t>забруднені</w:t>
      </w:r>
      <w:r>
        <w:rPr>
          <w:spacing w:val="22"/>
        </w:rPr>
        <w:t> </w:t>
      </w:r>
      <w:r>
        <w:rPr/>
        <w:t>радіонуклідами,</w:t>
      </w:r>
      <w:r>
        <w:rPr>
          <w:spacing w:val="29"/>
        </w:rPr>
        <w:t> </w:t>
      </w:r>
      <w:r>
        <w:rPr/>
        <w:t>завезеними</w:t>
      </w:r>
      <w:r>
        <w:rPr>
          <w:spacing w:val="27"/>
        </w:rPr>
        <w:t> </w:t>
      </w:r>
      <w:r>
        <w:rPr>
          <w:spacing w:val="-3"/>
        </w:rPr>
        <w:t>із</w:t>
      </w:r>
      <w:r>
        <w:rPr>
          <w:spacing w:val="30"/>
        </w:rPr>
        <w:t> </w:t>
      </w:r>
      <w:r>
        <w:rPr/>
        <w:t>території,</w:t>
      </w:r>
      <w:r>
        <w:rPr>
          <w:spacing w:val="28"/>
        </w:rPr>
        <w:t> </w:t>
      </w:r>
      <w:r>
        <w:rPr/>
        <w:t>що</w:t>
      </w:r>
      <w:r>
        <w:rPr>
          <w:spacing w:val="27"/>
        </w:rPr>
        <w:t> </w:t>
      </w:r>
      <w:r>
        <w:rPr/>
        <w:t>не</w:t>
      </w:r>
      <w:r>
        <w:rPr>
          <w:spacing w:val="-1"/>
          <w:w w:val="99"/>
        </w:rPr>
        <w:t> </w:t>
      </w:r>
      <w:r>
        <w:rPr/>
        <w:t>постраждала від радіоактивного забруднення, або навіть</w:t>
      </w:r>
      <w:r>
        <w:rPr>
          <w:spacing w:val="21"/>
        </w:rPr>
        <w:t> </w:t>
      </w:r>
      <w:r>
        <w:rPr/>
        <w:t>тимчасово</w:t>
      </w:r>
      <w:r>
        <w:rPr>
          <w:spacing w:val="15"/>
        </w:rPr>
        <w:t> </w:t>
      </w:r>
      <w:r>
        <w:rPr/>
        <w:t>переводять</w:t>
      </w:r>
      <w:r>
        <w:rPr>
          <w:w w:val="99"/>
        </w:rPr>
        <w:t> </w:t>
      </w:r>
      <w:r>
        <w:rPr/>
        <w:t>на</w:t>
      </w:r>
      <w:r>
        <w:rPr>
          <w:spacing w:val="38"/>
        </w:rPr>
        <w:t> </w:t>
      </w:r>
      <w:r>
        <w:rPr/>
        <w:t>підтримуючу</w:t>
      </w:r>
      <w:r>
        <w:rPr>
          <w:spacing w:val="34"/>
        </w:rPr>
        <w:t> </w:t>
      </w:r>
      <w:r>
        <w:rPr/>
        <w:t>годівлю</w:t>
      </w:r>
      <w:r>
        <w:rPr>
          <w:spacing w:val="36"/>
        </w:rPr>
        <w:t> </w:t>
      </w:r>
      <w:r>
        <w:rPr/>
        <w:t>концентрованими</w:t>
      </w:r>
      <w:r>
        <w:rPr>
          <w:spacing w:val="38"/>
        </w:rPr>
        <w:t> </w:t>
      </w:r>
      <w:r>
        <w:rPr/>
        <w:t>кормами</w:t>
      </w:r>
      <w:r>
        <w:rPr>
          <w:spacing w:val="38"/>
        </w:rPr>
        <w:t> </w:t>
      </w:r>
      <w:r>
        <w:rPr/>
        <w:t>при</w:t>
      </w:r>
      <w:r>
        <w:rPr>
          <w:spacing w:val="37"/>
        </w:rPr>
        <w:t> </w:t>
      </w:r>
      <w:r>
        <w:rPr/>
        <w:t>забезпеченні</w:t>
      </w:r>
      <w:r>
        <w:rPr>
          <w:spacing w:val="33"/>
        </w:rPr>
        <w:t> </w:t>
      </w:r>
      <w:r>
        <w:rPr/>
        <w:t>чистою</w:t>
      </w:r>
      <w:r>
        <w:rPr>
          <w:w w:val="99"/>
        </w:rPr>
        <w:t> </w:t>
      </w:r>
      <w:r>
        <w:rPr/>
        <w:t>водою. Як варіант можна використати пасовища, що мають</w:t>
      </w:r>
      <w:r>
        <w:rPr>
          <w:spacing w:val="57"/>
        </w:rPr>
        <w:t> </w:t>
      </w:r>
      <w:r>
        <w:rPr/>
        <w:t>рівень</w:t>
      </w:r>
      <w:r>
        <w:rPr>
          <w:spacing w:val="5"/>
        </w:rPr>
        <w:t> </w:t>
      </w:r>
      <w:r>
        <w:rPr/>
        <w:t>забруднення</w:t>
      </w:r>
      <w:r>
        <w:rPr>
          <w:spacing w:val="-1"/>
          <w:w w:val="99"/>
        </w:rPr>
        <w:t> </w:t>
      </w:r>
      <w:r>
        <w:rPr/>
        <w:t>більш</w:t>
      </w:r>
      <w:r>
        <w:rPr>
          <w:spacing w:val="-16"/>
        </w:rPr>
        <w:t> </w:t>
      </w:r>
      <w:r>
        <w:rPr/>
        <w:t>низький.</w:t>
      </w:r>
      <w:r>
        <w:rPr>
          <w:spacing w:val="-16"/>
        </w:rPr>
        <w:t> </w:t>
      </w:r>
      <w:r>
        <w:rPr>
          <w:spacing w:val="-3"/>
        </w:rPr>
        <w:t>Це</w:t>
      </w:r>
      <w:r>
        <w:rPr>
          <w:spacing w:val="-16"/>
        </w:rPr>
        <w:t> </w:t>
      </w:r>
      <w:r>
        <w:rPr/>
        <w:t>забезпечує</w:t>
      </w:r>
      <w:r>
        <w:rPr>
          <w:spacing w:val="-16"/>
        </w:rPr>
        <w:t> </w:t>
      </w:r>
      <w:r>
        <w:rPr/>
        <w:t>одержання</w:t>
      </w:r>
      <w:r>
        <w:rPr>
          <w:spacing w:val="-16"/>
        </w:rPr>
        <w:t> </w:t>
      </w:r>
      <w:r>
        <w:rPr/>
        <w:t>продукції,</w:t>
      </w:r>
      <w:r>
        <w:rPr>
          <w:spacing w:val="-15"/>
        </w:rPr>
        <w:t> </w:t>
      </w:r>
      <w:r>
        <w:rPr/>
        <w:t>яка</w:t>
      </w:r>
      <w:r>
        <w:rPr>
          <w:spacing w:val="-16"/>
        </w:rPr>
        <w:t> </w:t>
      </w:r>
      <w:r>
        <w:rPr/>
        <w:t>відповідає</w:t>
      </w:r>
      <w:r>
        <w:rPr>
          <w:spacing w:val="-17"/>
        </w:rPr>
        <w:t> </w:t>
      </w:r>
      <w:r>
        <w:rPr/>
        <w:t>вимогам</w:t>
      </w:r>
      <w:r>
        <w:rPr>
          <w:spacing w:val="-16"/>
        </w:rPr>
        <w:t> </w:t>
      </w:r>
      <w:r>
        <w:rPr/>
        <w:t>ТДР.</w:t>
      </w:r>
    </w:p>
    <w:p>
      <w:pPr>
        <w:pStyle w:val="BodyText"/>
        <w:ind w:right="611" w:firstLine="710"/>
      </w:pPr>
      <w:r>
        <w:rPr/>
        <w:t>У випадках, коли неможливо припинити випасання, тварин</w:t>
      </w:r>
      <w:r>
        <w:rPr>
          <w:spacing w:val="-52"/>
        </w:rPr>
        <w:t> </w:t>
      </w:r>
      <w:r>
        <w:rPr/>
        <w:t>слід перевести на більш високоврожайні пасовища з дуже розвиненим травостоєм. У цьому випадку вміст йоду-131 у молоці буде на 50 % меншим порівняно </w:t>
      </w:r>
      <w:r>
        <w:rPr>
          <w:spacing w:val="-3"/>
        </w:rPr>
        <w:t>із </w:t>
      </w:r>
      <w:r>
        <w:rPr/>
        <w:t>випасанням на</w:t>
      </w:r>
      <w:r>
        <w:rPr>
          <w:spacing w:val="-14"/>
        </w:rPr>
        <w:t> </w:t>
      </w:r>
      <w:r>
        <w:rPr/>
        <w:t>неудобрених,</w:t>
      </w:r>
      <w:r>
        <w:rPr>
          <w:spacing w:val="-13"/>
        </w:rPr>
        <w:t> </w:t>
      </w:r>
      <w:r>
        <w:rPr/>
        <w:t>низьковрожайних</w:t>
      </w:r>
      <w:r>
        <w:rPr>
          <w:spacing w:val="-19"/>
        </w:rPr>
        <w:t> </w:t>
      </w:r>
      <w:r>
        <w:rPr/>
        <w:t>угіддях.</w:t>
      </w:r>
      <w:r>
        <w:rPr>
          <w:spacing w:val="-13"/>
        </w:rPr>
        <w:t> </w:t>
      </w:r>
      <w:r>
        <w:rPr/>
        <w:t>Зменшити</w:t>
      </w:r>
      <w:r>
        <w:rPr>
          <w:spacing w:val="-14"/>
        </w:rPr>
        <w:t> </w:t>
      </w:r>
      <w:r>
        <w:rPr/>
        <w:t>надходження</w:t>
      </w:r>
      <w:r>
        <w:rPr>
          <w:spacing w:val="-5"/>
        </w:rPr>
        <w:t> </w:t>
      </w:r>
      <w:r>
        <w:rPr>
          <w:position w:val="10"/>
          <w:sz w:val="18"/>
        </w:rPr>
        <w:t>131</w:t>
      </w:r>
      <w:r>
        <w:rPr/>
        <w:t>І</w:t>
      </w:r>
      <w:r>
        <w:rPr>
          <w:spacing w:val="-16"/>
        </w:rPr>
        <w:t> </w:t>
      </w:r>
      <w:r>
        <w:rPr/>
        <w:t>у</w:t>
      </w:r>
      <w:r>
        <w:rPr>
          <w:spacing w:val="-19"/>
        </w:rPr>
        <w:t> </w:t>
      </w:r>
      <w:r>
        <w:rPr/>
        <w:t>молоко можна</w:t>
      </w:r>
      <w:r>
        <w:rPr>
          <w:spacing w:val="-9"/>
        </w:rPr>
        <w:t> </w:t>
      </w:r>
      <w:r>
        <w:rPr/>
        <w:t>і</w:t>
      </w:r>
      <w:r>
        <w:rPr>
          <w:spacing w:val="-17"/>
        </w:rPr>
        <w:t> </w:t>
      </w:r>
      <w:r>
        <w:rPr/>
        <w:t>шляхом</w:t>
      </w:r>
      <w:r>
        <w:rPr>
          <w:spacing w:val="-12"/>
        </w:rPr>
        <w:t> </w:t>
      </w:r>
      <w:r>
        <w:rPr/>
        <w:t>введення</w:t>
      </w:r>
      <w:r>
        <w:rPr>
          <w:spacing w:val="-9"/>
        </w:rPr>
        <w:t> </w:t>
      </w:r>
      <w:r>
        <w:rPr/>
        <w:t>в</w:t>
      </w:r>
      <w:r>
        <w:rPr>
          <w:spacing w:val="-15"/>
        </w:rPr>
        <w:t> </w:t>
      </w:r>
      <w:r>
        <w:rPr/>
        <w:t>мінеральну</w:t>
      </w:r>
      <w:r>
        <w:rPr>
          <w:spacing w:val="-17"/>
        </w:rPr>
        <w:t> </w:t>
      </w:r>
      <w:r>
        <w:rPr/>
        <w:t>підгодівлю</w:t>
      </w:r>
      <w:r>
        <w:rPr>
          <w:spacing w:val="-15"/>
        </w:rPr>
        <w:t> </w:t>
      </w:r>
      <w:r>
        <w:rPr/>
        <w:t>йодовмісних</w:t>
      </w:r>
      <w:r>
        <w:rPr>
          <w:spacing w:val="-17"/>
        </w:rPr>
        <w:t> </w:t>
      </w:r>
      <w:r>
        <w:rPr/>
        <w:t>солей.</w:t>
      </w:r>
      <w:r>
        <w:rPr>
          <w:spacing w:val="-7"/>
        </w:rPr>
        <w:t> </w:t>
      </w:r>
      <w:r>
        <w:rPr/>
        <w:t>Щоденна добавка від 2,5 до 10 г йодистого калію до раціону сприяє зниженню надходження радіойоду у молоко на</w:t>
      </w:r>
      <w:r>
        <w:rPr>
          <w:spacing w:val="2"/>
        </w:rPr>
        <w:t> </w:t>
      </w:r>
      <w:r>
        <w:rPr/>
        <w:t>50%.</w:t>
      </w:r>
    </w:p>
    <w:p>
      <w:pPr>
        <w:pStyle w:val="BodyText"/>
        <w:spacing w:line="313" w:lineRule="exact"/>
        <w:ind w:left="903"/>
      </w:pPr>
      <w:r>
        <w:rPr/>
        <w:t>Сприятливо впливає на зниження переходу </w:t>
      </w:r>
      <w:r>
        <w:rPr>
          <w:position w:val="10"/>
          <w:sz w:val="18"/>
        </w:rPr>
        <w:t>131</w:t>
      </w:r>
      <w:r>
        <w:rPr/>
        <w:t>І </w:t>
      </w:r>
      <w:r>
        <w:rPr>
          <w:spacing w:val="-3"/>
        </w:rPr>
        <w:t>із </w:t>
      </w:r>
      <w:r>
        <w:rPr/>
        <w:t>кормів раціону у</w:t>
      </w:r>
      <w:r>
        <w:rPr>
          <w:spacing w:val="1"/>
        </w:rPr>
        <w:t> </w:t>
      </w:r>
      <w:r>
        <w:rPr/>
        <w:t>молоко</w:t>
      </w:r>
    </w:p>
    <w:p>
      <w:pPr>
        <w:pStyle w:val="BodyText"/>
        <w:ind w:right="621"/>
      </w:pPr>
      <w:r>
        <w:rPr/>
        <w:t>згодовування капусти, ріпаку та інших кормових культур </w:t>
      </w:r>
      <w:r>
        <w:rPr>
          <w:spacing w:val="-3"/>
        </w:rPr>
        <w:t>із </w:t>
      </w:r>
      <w:r>
        <w:rPr/>
        <w:t>родини капустяних, які характеризуються підвищеним вмістом тіоурацилу. Важливим завданням у цей період  є  забезпечення  виробництва  доброякісного  молока,  придатного</w:t>
      </w:r>
      <w:r>
        <w:rPr>
          <w:spacing w:val="32"/>
        </w:rPr>
        <w:t> </w:t>
      </w:r>
      <w:r>
        <w:rPr/>
        <w:t>в</w:t>
      </w:r>
    </w:p>
    <w:p>
      <w:pPr>
        <w:spacing w:after="0"/>
        <w:sectPr>
          <w:pgSz w:w="11910" w:h="16840"/>
          <w:pgMar w:header="713" w:footer="778" w:top="1140" w:bottom="960" w:left="940" w:right="520"/>
        </w:sectPr>
      </w:pPr>
    </w:p>
    <w:p>
      <w:pPr>
        <w:pStyle w:val="BodyText"/>
        <w:spacing w:before="92"/>
        <w:ind w:right="615"/>
      </w:pPr>
      <w:r>
        <w:rPr/>
        <w:t>натуральному вигляді </w:t>
      </w:r>
      <w:r>
        <w:rPr>
          <w:spacing w:val="2"/>
        </w:rPr>
        <w:t>для </w:t>
      </w:r>
      <w:r>
        <w:rPr/>
        <w:t>харчування людей, особливо дітей. Для одержання молока</w:t>
      </w:r>
      <w:r>
        <w:rPr>
          <w:spacing w:val="-9"/>
        </w:rPr>
        <w:t> </w:t>
      </w:r>
      <w:r>
        <w:rPr>
          <w:spacing w:val="-3"/>
        </w:rPr>
        <w:t>із</w:t>
      </w:r>
      <w:r>
        <w:rPr>
          <w:spacing w:val="-13"/>
        </w:rPr>
        <w:t> </w:t>
      </w:r>
      <w:r>
        <w:rPr/>
        <w:t>низьким</w:t>
      </w:r>
      <w:r>
        <w:rPr>
          <w:spacing w:val="-11"/>
        </w:rPr>
        <w:t> </w:t>
      </w:r>
      <w:r>
        <w:rPr/>
        <w:t>вмістом</w:t>
      </w:r>
      <w:r>
        <w:rPr>
          <w:spacing w:val="-12"/>
        </w:rPr>
        <w:t> </w:t>
      </w:r>
      <w:r>
        <w:rPr/>
        <w:t>радіонуклідів</w:t>
      </w:r>
      <w:r>
        <w:rPr>
          <w:spacing w:val="-11"/>
        </w:rPr>
        <w:t> </w:t>
      </w:r>
      <w:r>
        <w:rPr/>
        <w:t>слід</w:t>
      </w:r>
      <w:r>
        <w:rPr>
          <w:spacing w:val="-11"/>
        </w:rPr>
        <w:t> </w:t>
      </w:r>
      <w:r>
        <w:rPr/>
        <w:t>групу</w:t>
      </w:r>
      <w:r>
        <w:rPr>
          <w:spacing w:val="-18"/>
        </w:rPr>
        <w:t> </w:t>
      </w:r>
      <w:r>
        <w:rPr/>
        <w:t>високопродуктивних</w:t>
      </w:r>
      <w:r>
        <w:rPr>
          <w:spacing w:val="-17"/>
        </w:rPr>
        <w:t> </w:t>
      </w:r>
      <w:r>
        <w:rPr/>
        <w:t>особин годувати чистими кормами (наприклад, силос і концентровані корми), а при їх відсутності організувати зелений конвеєр </w:t>
      </w:r>
      <w:r>
        <w:rPr>
          <w:spacing w:val="-3"/>
        </w:rPr>
        <w:t>із </w:t>
      </w:r>
      <w:r>
        <w:rPr/>
        <w:t>посівів озимих, багаторічних чи однорічних культур </w:t>
      </w:r>
      <w:r>
        <w:rPr>
          <w:spacing w:val="-3"/>
        </w:rPr>
        <w:t>із </w:t>
      </w:r>
      <w:r>
        <w:rPr/>
        <w:t>угідь, які характеризуються найменшими рівнями забруднення</w:t>
      </w:r>
      <w:r>
        <w:rPr>
          <w:spacing w:val="1"/>
        </w:rPr>
        <w:t> </w:t>
      </w:r>
      <w:r>
        <w:rPr/>
        <w:t>[7].</w:t>
      </w:r>
    </w:p>
    <w:p>
      <w:pPr>
        <w:pStyle w:val="BodyText"/>
        <w:spacing w:before="3"/>
        <w:ind w:right="614" w:firstLine="710"/>
      </w:pPr>
      <w:r>
        <w:rPr/>
        <w:t>У районах, де дозволено проживання людей, допускається молоко, при рівнях радіонуклідів у ньому, вищих ТДР, переробляють на олію. Відвійки можна використовувати для виробництва кормового білка, а сироватку, у якій зосереджується основна кількість радіонуклідів, слід знищувати. Особливо добре переробляти молоко в перетоплене вершкове масло, у якому практично повністю відсутні радіонукліди. Якщо випадання радіоактивних продуктів розпаду</w:t>
      </w:r>
      <w:r>
        <w:rPr>
          <w:spacing w:val="-14"/>
        </w:rPr>
        <w:t> </w:t>
      </w:r>
      <w:r>
        <w:rPr/>
        <w:t>відбулося</w:t>
      </w:r>
      <w:r>
        <w:rPr>
          <w:spacing w:val="-3"/>
        </w:rPr>
        <w:t> </w:t>
      </w:r>
      <w:r>
        <w:rPr/>
        <w:t>у</w:t>
      </w:r>
      <w:r>
        <w:rPr>
          <w:spacing w:val="-13"/>
        </w:rPr>
        <w:t> </w:t>
      </w:r>
      <w:r>
        <w:rPr/>
        <w:t>зимовий</w:t>
      </w:r>
      <w:r>
        <w:rPr>
          <w:spacing w:val="-10"/>
        </w:rPr>
        <w:t> </w:t>
      </w:r>
      <w:r>
        <w:rPr/>
        <w:t>період,</w:t>
      </w:r>
      <w:r>
        <w:rPr>
          <w:spacing w:val="-7"/>
        </w:rPr>
        <w:t> </w:t>
      </w:r>
      <w:r>
        <w:rPr/>
        <w:t>то</w:t>
      </w:r>
      <w:r>
        <w:rPr>
          <w:spacing w:val="-13"/>
        </w:rPr>
        <w:t> </w:t>
      </w:r>
      <w:r>
        <w:rPr/>
        <w:t>можливість</w:t>
      </w:r>
      <w:r>
        <w:rPr>
          <w:spacing w:val="-12"/>
        </w:rPr>
        <w:t> </w:t>
      </w:r>
      <w:r>
        <w:rPr/>
        <w:t>забруднення</w:t>
      </w:r>
      <w:r>
        <w:rPr>
          <w:spacing w:val="-9"/>
        </w:rPr>
        <w:t> </w:t>
      </w:r>
      <w:r>
        <w:rPr/>
        <w:t>радіонуклідами раніше заготовлених кормів (грубих, соковитих та концентрованих) малоймовірна, оскільки вони надійно</w:t>
      </w:r>
      <w:r>
        <w:rPr>
          <w:spacing w:val="4"/>
        </w:rPr>
        <w:t> </w:t>
      </w:r>
      <w:r>
        <w:rPr/>
        <w:t>захищені.</w:t>
      </w:r>
    </w:p>
    <w:p>
      <w:pPr>
        <w:pStyle w:val="BodyText"/>
        <w:ind w:right="612" w:firstLine="710"/>
      </w:pPr>
      <w:r>
        <w:rPr/>
        <w:t>У випадку, коли корма зберігають не в сховищах, а під відкритим небом, то забрудниться тільки верхній (5-10 см) шар, який легко видалити перед початком використання корму. У цьому випадку проблеми радіоактивного забруднення молока і яловичини не виникне. Організовуючи виробництво молока та яловичини в таких умовах, слід пам'ятати, що радіоактивне забруднення має, як правило, нерівномірний, «плямистий» характер. Це зумовлено великою різноманітністю при їх випадінні метеорологічних умов, рельєфом тощо. Такий нерівномірний характер забруднення території з господарської точки зору має важливе значення, оскільки дає можливість маневрувати розміщенням сівозмін і окремих культур.</w:t>
      </w:r>
    </w:p>
    <w:p>
      <w:pPr>
        <w:pStyle w:val="BodyText"/>
        <w:spacing w:before="4"/>
        <w:ind w:right="612" w:firstLine="710"/>
      </w:pPr>
      <w:r>
        <w:rPr/>
        <w:pict>
          <v:rect style="position:absolute;margin-left:223.300003pt;margin-top:191.640289pt;width:3.6pt;height:.72003pt;mso-position-horizontal-relative:page;mso-position-vertical-relative:paragraph;z-index:-267165696" filled="true" fillcolor="#000000" stroked="false">
            <v:fill type="solid"/>
            <w10:wrap type="none"/>
          </v:rect>
        </w:pict>
      </w:r>
      <w:r>
        <w:rPr>
          <w:b/>
        </w:rPr>
        <w:t>Прогнозування надходження радіоактивних речовин в організм тварин. </w:t>
      </w:r>
      <w:r>
        <w:rPr/>
        <w:t>Важливим завданням сільськогосподарської радіобіології є прогнозування надходження й нагромадження радіоактивних речовин у сільськогосподарських тваринах з метою розробки мер, що запобігають їхнє подальше просування по шляхах міграції. </w:t>
      </w:r>
      <w:r>
        <w:rPr>
          <w:spacing w:val="3"/>
        </w:rPr>
        <w:t>Для </w:t>
      </w:r>
      <w:r>
        <w:rPr>
          <w:spacing w:val="6"/>
        </w:rPr>
        <w:t>цього необхідно реально представити ступінь </w:t>
      </w:r>
      <w:r>
        <w:rPr/>
        <w:t>і </w:t>
      </w:r>
      <w:r>
        <w:rPr>
          <w:spacing w:val="6"/>
        </w:rPr>
        <w:t>характер радіоактивного </w:t>
      </w:r>
      <w:r>
        <w:rPr>
          <w:spacing w:val="7"/>
        </w:rPr>
        <w:t>забруднення </w:t>
      </w:r>
      <w:r>
        <w:rPr>
          <w:spacing w:val="4"/>
        </w:rPr>
        <w:t>на </w:t>
      </w:r>
      <w:r>
        <w:rPr>
          <w:spacing w:val="3"/>
        </w:rPr>
        <w:t>тій </w:t>
      </w:r>
      <w:r>
        <w:rPr>
          <w:spacing w:val="5"/>
        </w:rPr>
        <w:t>або </w:t>
      </w:r>
      <w:r>
        <w:rPr>
          <w:spacing w:val="4"/>
        </w:rPr>
        <w:t>іншій </w:t>
      </w:r>
      <w:r>
        <w:rPr>
          <w:spacing w:val="5"/>
        </w:rPr>
        <w:t>території, </w:t>
      </w:r>
      <w:r>
        <w:rPr/>
        <w:t>а </w:t>
      </w:r>
      <w:r>
        <w:rPr>
          <w:spacing w:val="4"/>
        </w:rPr>
        <w:t>також </w:t>
      </w:r>
      <w:r>
        <w:rPr>
          <w:spacing w:val="5"/>
        </w:rPr>
        <w:t>мати </w:t>
      </w:r>
      <w:r>
        <w:rPr>
          <w:spacing w:val="6"/>
        </w:rPr>
        <w:t>довідкові відомості </w:t>
      </w:r>
      <w:r>
        <w:rPr>
          <w:spacing w:val="4"/>
        </w:rPr>
        <w:t>про </w:t>
      </w:r>
      <w:r>
        <w:rPr>
          <w:spacing w:val="6"/>
        </w:rPr>
        <w:t>закономірності </w:t>
      </w:r>
      <w:r>
        <w:rPr>
          <w:spacing w:val="5"/>
        </w:rPr>
        <w:t>переходу окремих </w:t>
      </w:r>
      <w:r>
        <w:rPr>
          <w:spacing w:val="6"/>
        </w:rPr>
        <w:t>радіоактивних</w:t>
      </w:r>
      <w:r>
        <w:rPr>
          <w:spacing w:val="82"/>
        </w:rPr>
        <w:t> </w:t>
      </w:r>
      <w:r>
        <w:rPr>
          <w:spacing w:val="6"/>
        </w:rPr>
        <w:t>елементів</w:t>
      </w:r>
      <w:r>
        <w:rPr>
          <w:spacing w:val="82"/>
        </w:rPr>
        <w:t> </w:t>
      </w:r>
      <w:r>
        <w:rPr/>
        <w:t>у </w:t>
      </w:r>
      <w:r>
        <w:rPr>
          <w:spacing w:val="6"/>
        </w:rPr>
        <w:t>рослини,</w:t>
      </w:r>
      <w:r>
        <w:rPr>
          <w:spacing w:val="82"/>
        </w:rPr>
        <w:t> </w:t>
      </w:r>
      <w:r>
        <w:rPr>
          <w:spacing w:val="5"/>
        </w:rPr>
        <w:t>що </w:t>
      </w:r>
      <w:r>
        <w:rPr>
          <w:spacing w:val="6"/>
        </w:rPr>
        <w:t>визначають</w:t>
      </w:r>
      <w:r>
        <w:rPr>
          <w:spacing w:val="82"/>
        </w:rPr>
        <w:t> </w:t>
      </w:r>
      <w:r>
        <w:rPr>
          <w:spacing w:val="5"/>
        </w:rPr>
        <w:t>їхньою </w:t>
      </w:r>
      <w:r>
        <w:rPr>
          <w:spacing w:val="6"/>
        </w:rPr>
        <w:t>специфікою, </w:t>
      </w:r>
      <w:r>
        <w:rPr>
          <w:spacing w:val="5"/>
        </w:rPr>
        <w:t>типом ґрунту, </w:t>
      </w:r>
      <w:r>
        <w:rPr>
          <w:spacing w:val="6"/>
        </w:rPr>
        <w:t>забезпеченістю </w:t>
      </w:r>
      <w:r>
        <w:rPr>
          <w:spacing w:val="4"/>
        </w:rPr>
        <w:t>її </w:t>
      </w:r>
      <w:r>
        <w:rPr>
          <w:spacing w:val="6"/>
        </w:rPr>
        <w:t>елементами харчування, </w:t>
      </w:r>
      <w:r>
        <w:rPr>
          <w:spacing w:val="5"/>
        </w:rPr>
        <w:t>видом культури. </w:t>
      </w:r>
      <w:r>
        <w:rPr/>
        <w:t>Існує ще безліч інших важковизначених факторів, які не піддаються контролю, вплив </w:t>
      </w:r>
      <w:r>
        <w:rPr>
          <w:spacing w:val="2"/>
        </w:rPr>
        <w:t>яких </w:t>
      </w:r>
      <w:r>
        <w:rPr/>
        <w:t>на надходження радіоактивних речовин у рослини може бути дуже значним (рис. 1). </w:t>
      </w:r>
      <w:r>
        <w:rPr>
          <w:spacing w:val="3"/>
        </w:rPr>
        <w:t>До </w:t>
      </w:r>
      <w:r>
        <w:rPr>
          <w:spacing w:val="4"/>
        </w:rPr>
        <w:t>них </w:t>
      </w:r>
      <w:r>
        <w:rPr/>
        <w:t>у </w:t>
      </w:r>
      <w:r>
        <w:rPr>
          <w:spacing w:val="5"/>
        </w:rPr>
        <w:t>першу </w:t>
      </w:r>
      <w:r>
        <w:rPr>
          <w:spacing w:val="4"/>
        </w:rPr>
        <w:t>чергу </w:t>
      </w:r>
      <w:r>
        <w:rPr>
          <w:spacing w:val="5"/>
        </w:rPr>
        <w:t>відносяться метеорологічні особливості </w:t>
      </w:r>
      <w:r>
        <w:rPr>
          <w:spacing w:val="4"/>
        </w:rPr>
        <w:t>року, </w:t>
      </w:r>
      <w:r>
        <w:rPr>
          <w:spacing w:val="3"/>
        </w:rPr>
        <w:t>від </w:t>
      </w:r>
      <w:r>
        <w:rPr>
          <w:spacing w:val="5"/>
        </w:rPr>
        <w:t>яких залежать </w:t>
      </w:r>
      <w:r>
        <w:rPr>
          <w:spacing w:val="3"/>
        </w:rPr>
        <w:t>стан </w:t>
      </w:r>
      <w:r>
        <w:rPr/>
        <w:t>і </w:t>
      </w:r>
      <w:r>
        <w:rPr>
          <w:spacing w:val="7"/>
        </w:rPr>
        <w:t>рухливість </w:t>
      </w:r>
      <w:r>
        <w:rPr>
          <w:spacing w:val="5"/>
        </w:rPr>
        <w:t>нуклідів </w:t>
      </w:r>
      <w:r>
        <w:rPr/>
        <w:t>у </w:t>
      </w:r>
      <w:r>
        <w:rPr>
          <w:spacing w:val="6"/>
        </w:rPr>
        <w:t>ґрунті </w:t>
      </w:r>
      <w:r>
        <w:rPr>
          <w:spacing w:val="4"/>
        </w:rPr>
        <w:t>(опади), </w:t>
      </w:r>
      <w:r>
        <w:rPr>
          <w:spacing w:val="5"/>
        </w:rPr>
        <w:t>швидкість </w:t>
      </w:r>
      <w:r>
        <w:rPr>
          <w:spacing w:val="4"/>
        </w:rPr>
        <w:t>їхнього </w:t>
      </w:r>
      <w:r>
        <w:rPr>
          <w:spacing w:val="5"/>
        </w:rPr>
        <w:t>надходження </w:t>
      </w:r>
      <w:r>
        <w:rPr/>
        <w:t>в </w:t>
      </w:r>
      <w:r>
        <w:rPr>
          <w:spacing w:val="5"/>
        </w:rPr>
        <w:t>рослини </w:t>
      </w:r>
      <w:r>
        <w:rPr>
          <w:spacing w:val="4"/>
        </w:rPr>
        <w:t>(опади, </w:t>
      </w:r>
      <w:r>
        <w:rPr>
          <w:spacing w:val="3"/>
        </w:rPr>
        <w:t>вітер, </w:t>
      </w:r>
      <w:r>
        <w:rPr>
          <w:spacing w:val="5"/>
        </w:rPr>
        <w:t>температура), інтенсивність нагромадження рослинами </w:t>
      </w:r>
      <w:r>
        <w:rPr>
          <w:spacing w:val="4"/>
        </w:rPr>
        <w:t>біомаси (опади, </w:t>
      </w:r>
      <w:r>
        <w:rPr>
          <w:spacing w:val="5"/>
        </w:rPr>
        <w:t>температура, </w:t>
      </w:r>
      <w:r>
        <w:rPr>
          <w:spacing w:val="4"/>
        </w:rPr>
        <w:t>інсоляція).</w:t>
      </w:r>
    </w:p>
    <w:p>
      <w:pPr>
        <w:spacing w:after="0"/>
        <w:sectPr>
          <w:pgSz w:w="11910" w:h="16840"/>
          <w:pgMar w:header="713" w:footer="778" w:top="1140" w:bottom="960" w:left="940" w:right="520"/>
        </w:sectPr>
      </w:pPr>
    </w:p>
    <w:p>
      <w:pPr>
        <w:pStyle w:val="BodyText"/>
        <w:spacing w:before="7"/>
        <w:ind w:left="0"/>
        <w:jc w:val="left"/>
        <w:rPr>
          <w:sz w:val="8"/>
        </w:rPr>
      </w:pPr>
    </w:p>
    <w:p>
      <w:pPr>
        <w:pStyle w:val="BodyText"/>
        <w:ind w:left="2685"/>
        <w:jc w:val="left"/>
        <w:rPr>
          <w:sz w:val="20"/>
        </w:rPr>
      </w:pPr>
      <w:r>
        <w:rPr>
          <w:sz w:val="20"/>
        </w:rPr>
        <w:drawing>
          <wp:inline distT="0" distB="0" distL="0" distR="0">
            <wp:extent cx="3026540" cy="1865376"/>
            <wp:effectExtent l="0" t="0" r="0" b="0"/>
            <wp:docPr id="5" name="image7.jpeg"/>
            <wp:cNvGraphicFramePr>
              <a:graphicFrameLocks noChangeAspect="1"/>
            </wp:cNvGraphicFramePr>
            <a:graphic>
              <a:graphicData uri="http://schemas.openxmlformats.org/drawingml/2006/picture">
                <pic:pic>
                  <pic:nvPicPr>
                    <pic:cNvPr id="6" name="image7.jpeg"/>
                    <pic:cNvPicPr/>
                  </pic:nvPicPr>
                  <pic:blipFill>
                    <a:blip r:embed="rId46" cstate="print"/>
                    <a:stretch>
                      <a:fillRect/>
                    </a:stretch>
                  </pic:blipFill>
                  <pic:spPr>
                    <a:xfrm>
                      <a:off x="0" y="0"/>
                      <a:ext cx="3026540" cy="1865376"/>
                    </a:xfrm>
                    <a:prstGeom prst="rect">
                      <a:avLst/>
                    </a:prstGeom>
                  </pic:spPr>
                </pic:pic>
              </a:graphicData>
            </a:graphic>
          </wp:inline>
        </w:drawing>
      </w:r>
      <w:r>
        <w:rPr>
          <w:sz w:val="20"/>
        </w:rPr>
      </w:r>
    </w:p>
    <w:p>
      <w:pPr>
        <w:pStyle w:val="BodyText"/>
        <w:ind w:left="255" w:right="799"/>
        <w:jc w:val="left"/>
      </w:pPr>
      <w:r>
        <w:rPr/>
        <w:t>Рис. 1. Схема шляхів міграції радіоактивних речовин в об'єктах середовища й сільськогосподарського виробництва.</w:t>
      </w:r>
    </w:p>
    <w:p>
      <w:pPr>
        <w:pStyle w:val="BodyText"/>
        <w:spacing w:before="8"/>
        <w:ind w:left="0"/>
        <w:jc w:val="left"/>
        <w:rPr>
          <w:sz w:val="27"/>
        </w:rPr>
      </w:pPr>
    </w:p>
    <w:p>
      <w:pPr>
        <w:pStyle w:val="BodyText"/>
        <w:ind w:right="614" w:firstLine="710"/>
      </w:pPr>
      <w:r>
        <w:rPr/>
        <w:t>Також встановлено, що на заливних піщано-болотних пасовищах </w:t>
      </w:r>
      <w:r>
        <w:rPr>
          <w:spacing w:val="-3"/>
        </w:rPr>
        <w:t>із </w:t>
      </w:r>
      <w:r>
        <w:rPr/>
        <w:t>щільністю забруднення ґрунту 10 </w:t>
      </w:r>
      <w:r>
        <w:rPr>
          <w:spacing w:val="2"/>
        </w:rPr>
        <w:t>Кu/км</w:t>
      </w:r>
      <w:r>
        <w:rPr>
          <w:spacing w:val="2"/>
          <w:position w:val="10"/>
          <w:sz w:val="18"/>
        </w:rPr>
        <w:t>2 </w:t>
      </w:r>
      <w:r>
        <w:rPr/>
        <w:t>і пасовищного корму 425-525 Бк/кг, застосування цеоліту і хумоліту з розрахунку 0,5 кг на добу зменшувало вміст радіоцезію в молоці в 1,4 рази. </w:t>
      </w:r>
      <w:r>
        <w:rPr>
          <w:spacing w:val="-3"/>
        </w:rPr>
        <w:t>На </w:t>
      </w:r>
      <w:r>
        <w:rPr/>
        <w:t>луках </w:t>
      </w:r>
      <w:r>
        <w:rPr>
          <w:spacing w:val="-3"/>
        </w:rPr>
        <w:t>із </w:t>
      </w:r>
      <w:r>
        <w:rPr/>
        <w:t>більш високим рівнем забруднення (близько</w:t>
      </w:r>
      <w:r>
        <w:rPr>
          <w:spacing w:val="-7"/>
        </w:rPr>
        <w:t> </w:t>
      </w:r>
      <w:r>
        <w:rPr/>
        <w:t>1000</w:t>
      </w:r>
      <w:r>
        <w:rPr>
          <w:spacing w:val="-7"/>
        </w:rPr>
        <w:t> </w:t>
      </w:r>
      <w:r>
        <w:rPr/>
        <w:t>Бк/кг</w:t>
      </w:r>
      <w:r>
        <w:rPr>
          <w:spacing w:val="-6"/>
        </w:rPr>
        <w:t> </w:t>
      </w:r>
      <w:r>
        <w:rPr/>
        <w:t>маси</w:t>
      </w:r>
      <w:r>
        <w:rPr>
          <w:spacing w:val="-7"/>
        </w:rPr>
        <w:t> </w:t>
      </w:r>
      <w:r>
        <w:rPr/>
        <w:t>раціону),</w:t>
      </w:r>
      <w:r>
        <w:rPr>
          <w:spacing w:val="-5"/>
        </w:rPr>
        <w:t> </w:t>
      </w:r>
      <w:r>
        <w:rPr/>
        <w:t>згодовування</w:t>
      </w:r>
      <w:r>
        <w:rPr>
          <w:spacing w:val="-6"/>
        </w:rPr>
        <w:t> </w:t>
      </w:r>
      <w:r>
        <w:rPr/>
        <w:t>хумоліту</w:t>
      </w:r>
      <w:r>
        <w:rPr>
          <w:spacing w:val="-11"/>
        </w:rPr>
        <w:t> </w:t>
      </w:r>
      <w:r>
        <w:rPr/>
        <w:t>з</w:t>
      </w:r>
      <w:r>
        <w:rPr>
          <w:spacing w:val="-7"/>
        </w:rPr>
        <w:t> </w:t>
      </w:r>
      <w:r>
        <w:rPr/>
        <w:t>розрахунку</w:t>
      </w:r>
      <w:r>
        <w:rPr>
          <w:spacing w:val="-11"/>
        </w:rPr>
        <w:t> </w:t>
      </w:r>
      <w:r>
        <w:rPr/>
        <w:t>0,5</w:t>
      </w:r>
      <w:r>
        <w:rPr>
          <w:spacing w:val="-7"/>
        </w:rPr>
        <w:t> </w:t>
      </w:r>
      <w:r>
        <w:rPr/>
        <w:t>кг</w:t>
      </w:r>
      <w:r>
        <w:rPr>
          <w:spacing w:val="-6"/>
        </w:rPr>
        <w:t> </w:t>
      </w:r>
      <w:r>
        <w:rPr/>
        <w:t>на добу зменшувало вміст Сs -137 у молоці в середньому в 1,2 рази і поряд з тім на вміст Sr-90 практично не</w:t>
      </w:r>
      <w:r>
        <w:rPr>
          <w:spacing w:val="4"/>
        </w:rPr>
        <w:t> </w:t>
      </w:r>
      <w:r>
        <w:rPr/>
        <w:t>впливало.</w:t>
      </w:r>
    </w:p>
    <w:p>
      <w:pPr>
        <w:pStyle w:val="BodyText"/>
        <w:ind w:right="612" w:firstLine="710"/>
      </w:pPr>
      <w:r>
        <w:rPr>
          <w:b/>
        </w:rPr>
        <w:t>Використання «</w:t>
      </w:r>
      <w:r>
        <w:rPr>
          <w:b/>
          <w:i/>
        </w:rPr>
        <w:t>чистих кормів</w:t>
      </w:r>
      <w:r>
        <w:rPr>
          <w:b/>
        </w:rPr>
        <w:t>». </w:t>
      </w:r>
      <w:r>
        <w:rPr/>
        <w:t>Важливим заходом по зниженню радіонуклідів</w:t>
      </w:r>
      <w:r>
        <w:rPr>
          <w:spacing w:val="-15"/>
        </w:rPr>
        <w:t> </w:t>
      </w:r>
      <w:r>
        <w:rPr/>
        <w:t>у</w:t>
      </w:r>
      <w:r>
        <w:rPr>
          <w:spacing w:val="-17"/>
        </w:rPr>
        <w:t> </w:t>
      </w:r>
      <w:r>
        <w:rPr/>
        <w:t>молоці,</w:t>
      </w:r>
      <w:r>
        <w:rPr>
          <w:spacing w:val="-10"/>
        </w:rPr>
        <w:t> </w:t>
      </w:r>
      <w:r>
        <w:rPr/>
        <w:t>і</w:t>
      </w:r>
      <w:r>
        <w:rPr>
          <w:spacing w:val="-16"/>
        </w:rPr>
        <w:t> </w:t>
      </w:r>
      <w:r>
        <w:rPr/>
        <w:t>особливо</w:t>
      </w:r>
      <w:r>
        <w:rPr>
          <w:spacing w:val="-12"/>
        </w:rPr>
        <w:t> </w:t>
      </w:r>
      <w:r>
        <w:rPr/>
        <w:t>у</w:t>
      </w:r>
      <w:r>
        <w:rPr>
          <w:spacing w:val="-16"/>
        </w:rPr>
        <w:t> </w:t>
      </w:r>
      <w:r>
        <w:rPr/>
        <w:t>м'ясі,</w:t>
      </w:r>
      <w:r>
        <w:rPr>
          <w:spacing w:val="-11"/>
        </w:rPr>
        <w:t> </w:t>
      </w:r>
      <w:r>
        <w:rPr/>
        <w:t>є</w:t>
      </w:r>
      <w:r>
        <w:rPr>
          <w:spacing w:val="-16"/>
        </w:rPr>
        <w:t> </w:t>
      </w:r>
      <w:r>
        <w:rPr/>
        <w:t>використання</w:t>
      </w:r>
      <w:r>
        <w:rPr>
          <w:spacing w:val="-11"/>
        </w:rPr>
        <w:t> </w:t>
      </w:r>
      <w:r>
        <w:rPr/>
        <w:t>«</w:t>
      </w:r>
      <w:r>
        <w:rPr>
          <w:i/>
        </w:rPr>
        <w:t>чистих</w:t>
      </w:r>
      <w:r>
        <w:rPr>
          <w:i/>
          <w:spacing w:val="-11"/>
        </w:rPr>
        <w:t> </w:t>
      </w:r>
      <w:r>
        <w:rPr>
          <w:i/>
        </w:rPr>
        <w:t>кормів</w:t>
      </w:r>
      <w:r>
        <w:rPr>
          <w:b/>
        </w:rPr>
        <w:t>»</w:t>
      </w:r>
      <w:r>
        <w:rPr>
          <w:b/>
          <w:spacing w:val="-11"/>
        </w:rPr>
        <w:t> </w:t>
      </w:r>
      <w:r>
        <w:rPr/>
        <w:t>(жом, барда, силос, сінаж), які завезені </w:t>
      </w:r>
      <w:r>
        <w:rPr>
          <w:spacing w:val="-3"/>
        </w:rPr>
        <w:t>із </w:t>
      </w:r>
      <w:r>
        <w:rPr/>
        <w:t>незабруднених районів України. Завдяки цьому </w:t>
      </w:r>
      <w:r>
        <w:rPr>
          <w:spacing w:val="-3"/>
        </w:rPr>
        <w:t>із </w:t>
      </w:r>
      <w:r>
        <w:rPr/>
        <w:t>організму може бути виведена значна частина радіонуклідів, що нагромадилися. Такий захід дає ефект для виведення нуклідів </w:t>
      </w:r>
      <w:r>
        <w:rPr>
          <w:spacing w:val="-3"/>
        </w:rPr>
        <w:t>із </w:t>
      </w:r>
      <w:r>
        <w:rPr/>
        <w:t>м'яких тканин, але не </w:t>
      </w:r>
      <w:r>
        <w:rPr>
          <w:spacing w:val="-3"/>
        </w:rPr>
        <w:t>із </w:t>
      </w:r>
      <w:r>
        <w:rPr/>
        <w:t>кістяка. У зв'язку з тим, що стронцій-90 не може бути виведений із кістяка</w:t>
      </w:r>
      <w:r>
        <w:rPr>
          <w:spacing w:val="-17"/>
        </w:rPr>
        <w:t> </w:t>
      </w:r>
      <w:r>
        <w:rPr/>
        <w:t>за</w:t>
      </w:r>
      <w:r>
        <w:rPr>
          <w:spacing w:val="-15"/>
        </w:rPr>
        <w:t> </w:t>
      </w:r>
      <w:r>
        <w:rPr/>
        <w:t>короткий</w:t>
      </w:r>
      <w:r>
        <w:rPr>
          <w:spacing w:val="-13"/>
        </w:rPr>
        <w:t> </w:t>
      </w:r>
      <w:r>
        <w:rPr/>
        <w:t>час,</w:t>
      </w:r>
      <w:r>
        <w:rPr>
          <w:spacing w:val="-15"/>
        </w:rPr>
        <w:t> </w:t>
      </w:r>
      <w:r>
        <w:rPr/>
        <w:t>при</w:t>
      </w:r>
      <w:r>
        <w:rPr>
          <w:spacing w:val="-17"/>
        </w:rPr>
        <w:t> </w:t>
      </w:r>
      <w:r>
        <w:rPr/>
        <w:t>використанні</w:t>
      </w:r>
      <w:r>
        <w:rPr>
          <w:spacing w:val="-22"/>
        </w:rPr>
        <w:t> </w:t>
      </w:r>
      <w:r>
        <w:rPr/>
        <w:t>яловичини</w:t>
      </w:r>
      <w:r>
        <w:rPr>
          <w:spacing w:val="-18"/>
        </w:rPr>
        <w:t> </w:t>
      </w:r>
      <w:r>
        <w:rPr/>
        <w:t>для</w:t>
      </w:r>
      <w:r>
        <w:rPr>
          <w:spacing w:val="-4"/>
        </w:rPr>
        <w:t> </w:t>
      </w:r>
      <w:r>
        <w:rPr/>
        <w:t>харчових</w:t>
      </w:r>
      <w:r>
        <w:rPr>
          <w:spacing w:val="-18"/>
        </w:rPr>
        <w:t> </w:t>
      </w:r>
      <w:r>
        <w:rPr/>
        <w:t>потреб</w:t>
      </w:r>
      <w:r>
        <w:rPr>
          <w:spacing w:val="-15"/>
        </w:rPr>
        <w:t> </w:t>
      </w:r>
      <w:r>
        <w:rPr/>
        <w:t>кістки видаляють, а м'ясо використовують для виготовлення фаршу і ковбасних виробів. Аналогічно разом з компостами, золою й іншими залишками можуть повертатися в ґрунт радіоактивні речовини, </w:t>
      </w:r>
      <w:r>
        <w:rPr>
          <w:spacing w:val="3"/>
        </w:rPr>
        <w:t>які </w:t>
      </w:r>
      <w:r>
        <w:rPr/>
        <w:t>накопичені рослинами. Подібні </w:t>
      </w:r>
      <w:r>
        <w:rPr>
          <w:spacing w:val="2"/>
        </w:rPr>
        <w:t>зворотні зв'язки можуть </w:t>
      </w:r>
      <w:r>
        <w:rPr/>
        <w:t>виникати й між іншими ланками харчового ланцюга, наприклад від рослин, тварин і </w:t>
      </w:r>
      <w:r>
        <w:rPr>
          <w:spacing w:val="2"/>
        </w:rPr>
        <w:t>людину </w:t>
      </w:r>
      <w:r>
        <w:rPr/>
        <w:t>до води, від </w:t>
      </w:r>
      <w:r>
        <w:rPr>
          <w:spacing w:val="2"/>
        </w:rPr>
        <w:t>людини </w:t>
      </w:r>
      <w:r>
        <w:rPr/>
        <w:t>до ґрунту. </w:t>
      </w:r>
      <w:r>
        <w:rPr>
          <w:spacing w:val="3"/>
        </w:rPr>
        <w:t>Але </w:t>
      </w:r>
      <w:r>
        <w:rPr>
          <w:spacing w:val="5"/>
        </w:rPr>
        <w:t>внесок </w:t>
      </w:r>
      <w:r>
        <w:rPr>
          <w:spacing w:val="6"/>
        </w:rPr>
        <w:t>міграції</w:t>
      </w:r>
      <w:r>
        <w:rPr>
          <w:spacing w:val="82"/>
        </w:rPr>
        <w:t> </w:t>
      </w:r>
      <w:r>
        <w:rPr>
          <w:spacing w:val="6"/>
        </w:rPr>
        <w:t>радіоактивних</w:t>
      </w:r>
      <w:r>
        <w:rPr>
          <w:spacing w:val="82"/>
        </w:rPr>
        <w:t> </w:t>
      </w:r>
      <w:r>
        <w:rPr>
          <w:spacing w:val="6"/>
        </w:rPr>
        <w:t>речовин</w:t>
      </w:r>
      <w:r>
        <w:rPr>
          <w:spacing w:val="82"/>
        </w:rPr>
        <w:t> </w:t>
      </w:r>
      <w:r>
        <w:rPr/>
        <w:t>у </w:t>
      </w:r>
      <w:r>
        <w:rPr>
          <w:spacing w:val="4"/>
        </w:rPr>
        <w:t>цих </w:t>
      </w:r>
      <w:r>
        <w:rPr>
          <w:spacing w:val="6"/>
        </w:rPr>
        <w:t>напрямках</w:t>
      </w:r>
      <w:r>
        <w:rPr>
          <w:spacing w:val="82"/>
        </w:rPr>
        <w:t> </w:t>
      </w:r>
      <w:r>
        <w:rPr>
          <w:spacing w:val="6"/>
        </w:rPr>
        <w:t>порівняно невеликий, </w:t>
      </w:r>
      <w:r>
        <w:rPr/>
        <w:t>і </w:t>
      </w:r>
      <w:r>
        <w:rPr>
          <w:spacing w:val="3"/>
        </w:rPr>
        <w:t>вони </w:t>
      </w:r>
      <w:r>
        <w:rPr>
          <w:spacing w:val="4"/>
        </w:rPr>
        <w:t>не </w:t>
      </w:r>
      <w:r>
        <w:rPr>
          <w:spacing w:val="6"/>
        </w:rPr>
        <w:t>позначені </w:t>
      </w:r>
      <w:r>
        <w:rPr/>
        <w:t>на</w:t>
      </w:r>
      <w:r>
        <w:rPr>
          <w:spacing w:val="67"/>
        </w:rPr>
        <w:t> </w:t>
      </w:r>
      <w:r>
        <w:rPr>
          <w:spacing w:val="5"/>
        </w:rPr>
        <w:t>схемі.</w:t>
      </w:r>
    </w:p>
    <w:p>
      <w:pPr>
        <w:pStyle w:val="BodyText"/>
        <w:ind w:right="610" w:firstLine="710"/>
      </w:pPr>
      <w:r>
        <w:rPr/>
        <w:t>Існують і інші способи прогнозування надходження радіоактивних речовин у сільськогосподарські рослини, але </w:t>
      </w:r>
      <w:r>
        <w:rPr>
          <w:spacing w:val="2"/>
        </w:rPr>
        <w:t>вони вимагають </w:t>
      </w:r>
      <w:r>
        <w:rPr>
          <w:spacing w:val="3"/>
        </w:rPr>
        <w:t>попередньої спеціальної роботи </w:t>
      </w:r>
      <w:r>
        <w:rPr/>
        <w:t>з </w:t>
      </w:r>
      <w:r>
        <w:rPr>
          <w:spacing w:val="2"/>
        </w:rPr>
        <w:t>оцінки різних </w:t>
      </w:r>
      <w:r>
        <w:rPr>
          <w:spacing w:val="3"/>
        </w:rPr>
        <w:t>коефіцієнтів </w:t>
      </w:r>
      <w:r>
        <w:rPr/>
        <w:t>і </w:t>
      </w:r>
      <w:r>
        <w:rPr>
          <w:spacing w:val="3"/>
        </w:rPr>
        <w:t>показників, проведення лабораторних досліджень </w:t>
      </w:r>
      <w:r>
        <w:rPr/>
        <w:t>із </w:t>
      </w:r>
      <w:r>
        <w:rPr>
          <w:spacing w:val="3"/>
        </w:rPr>
        <w:t>забрудненим </w:t>
      </w:r>
      <w:r>
        <w:rPr>
          <w:spacing w:val="2"/>
        </w:rPr>
        <w:t>ґрунтом. </w:t>
      </w:r>
      <w:r>
        <w:rPr>
          <w:spacing w:val="-3"/>
        </w:rPr>
        <w:t>На </w:t>
      </w:r>
      <w:r>
        <w:rPr>
          <w:spacing w:val="2"/>
        </w:rPr>
        <w:t>аналогічних розрахунках </w:t>
      </w:r>
      <w:r>
        <w:rPr/>
        <w:t>базуються й методи </w:t>
      </w:r>
      <w:r>
        <w:rPr>
          <w:spacing w:val="2"/>
        </w:rPr>
        <w:t>прогнозування </w:t>
      </w:r>
      <w:r>
        <w:rPr/>
        <w:t>надходження й нагромадження радіоактивних речовин в організм </w:t>
      </w:r>
      <w:r>
        <w:rPr>
          <w:spacing w:val="2"/>
        </w:rPr>
        <w:t>сільськогосподарських </w:t>
      </w:r>
      <w:r>
        <w:rPr/>
        <w:t>тварин. Існують спеціальні коефіцієнти переходу й нагромадження радіоактивних речовин у різних тканинах тварин (коефіцієнти усмоктування, коефіцієнти відкладення), які, з огляду на їхній зміст у кормах, дозволяють розрахувати їхнє депонування в різних</w:t>
      </w:r>
      <w:r>
        <w:rPr>
          <w:spacing w:val="1"/>
        </w:rPr>
        <w:t> </w:t>
      </w:r>
      <w:r>
        <w:rPr/>
        <w:t>органах.</w:t>
      </w:r>
    </w:p>
    <w:p>
      <w:pPr>
        <w:spacing w:after="0"/>
        <w:sectPr>
          <w:pgSz w:w="11910" w:h="16840"/>
          <w:pgMar w:header="713" w:footer="778" w:top="1140" w:bottom="960" w:left="940" w:right="520"/>
        </w:sectPr>
      </w:pPr>
    </w:p>
    <w:p>
      <w:pPr>
        <w:pStyle w:val="BodyText"/>
        <w:spacing w:before="92"/>
        <w:ind w:right="607" w:firstLine="710"/>
      </w:pPr>
      <w:r>
        <w:rPr>
          <w:b/>
        </w:rPr>
        <w:t>Етапи організації виробництва доброякісної продукції</w:t>
      </w:r>
      <w:r>
        <w:rPr/>
        <w:t>. </w:t>
      </w:r>
      <w:r>
        <w:rPr>
          <w:spacing w:val="-3"/>
        </w:rPr>
        <w:t>На </w:t>
      </w:r>
      <w:r>
        <w:rPr/>
        <w:t>першому етапі організації виробництва доцільно умовно територію району поділити, залежно від щільності радіоактивного забруднення, на окремі (наприклад, три) зони. До першої зони відносять ту частину угідь, де можна одержувати продукцію, яка відповідає рівням вмісту нуклідів без проведення будь-яких додаткових заходів і зміни технології [2]. Підвищення врожайності луків і пасовищ, використання травостоїв лише після досягнення пасовищної зрілості є факторами, які дозволяють </w:t>
      </w:r>
      <w:r>
        <w:rPr>
          <w:position w:val="10"/>
          <w:sz w:val="18"/>
        </w:rPr>
        <w:t>„</w:t>
      </w:r>
      <w:r>
        <w:rPr/>
        <w:t>розбавити„ радіонукліди в кормах, тобто зменшити їх</w:t>
      </w:r>
      <w:r>
        <w:rPr>
          <w:spacing w:val="-12"/>
        </w:rPr>
        <w:t> </w:t>
      </w:r>
      <w:r>
        <w:rPr/>
        <w:t>вміст</w:t>
      </w:r>
      <w:r>
        <w:rPr>
          <w:spacing w:val="-8"/>
        </w:rPr>
        <w:t> </w:t>
      </w:r>
      <w:r>
        <w:rPr/>
        <w:t>в</w:t>
      </w:r>
      <w:r>
        <w:rPr>
          <w:spacing w:val="-8"/>
        </w:rPr>
        <w:t> </w:t>
      </w:r>
      <w:r>
        <w:rPr/>
        <w:t>одиниці</w:t>
      </w:r>
      <w:r>
        <w:rPr>
          <w:spacing w:val="-11"/>
        </w:rPr>
        <w:t> </w:t>
      </w:r>
      <w:r>
        <w:rPr/>
        <w:t>рослинної</w:t>
      </w:r>
      <w:r>
        <w:rPr>
          <w:spacing w:val="-12"/>
        </w:rPr>
        <w:t> </w:t>
      </w:r>
      <w:r>
        <w:rPr/>
        <w:t>маси.</w:t>
      </w:r>
      <w:r>
        <w:rPr>
          <w:spacing w:val="-4"/>
        </w:rPr>
        <w:t> </w:t>
      </w:r>
      <w:r>
        <w:rPr/>
        <w:t>У</w:t>
      </w:r>
      <w:r>
        <w:rPr>
          <w:spacing w:val="-6"/>
        </w:rPr>
        <w:t> </w:t>
      </w:r>
      <w:r>
        <w:rPr>
          <w:spacing w:val="-3"/>
        </w:rPr>
        <w:t>цій</w:t>
      </w:r>
      <w:r>
        <w:rPr>
          <w:spacing w:val="-6"/>
        </w:rPr>
        <w:t> </w:t>
      </w:r>
      <w:r>
        <w:rPr/>
        <w:t>зоні</w:t>
      </w:r>
      <w:r>
        <w:rPr>
          <w:spacing w:val="-12"/>
        </w:rPr>
        <w:t> </w:t>
      </w:r>
      <w:r>
        <w:rPr/>
        <w:t>роботи</w:t>
      </w:r>
      <w:r>
        <w:rPr>
          <w:spacing w:val="-6"/>
        </w:rPr>
        <w:t> </w:t>
      </w:r>
      <w:r>
        <w:rPr/>
        <w:t>проводяться</w:t>
      </w:r>
      <w:r>
        <w:rPr>
          <w:spacing w:val="-5"/>
        </w:rPr>
        <w:t> </w:t>
      </w:r>
      <w:r>
        <w:rPr/>
        <w:t>без</w:t>
      </w:r>
      <w:r>
        <w:rPr>
          <w:spacing w:val="-5"/>
        </w:rPr>
        <w:t> </w:t>
      </w:r>
      <w:r>
        <w:rPr/>
        <w:t>обмеження відповідно</w:t>
      </w:r>
      <w:r>
        <w:rPr>
          <w:spacing w:val="-10"/>
        </w:rPr>
        <w:t> </w:t>
      </w:r>
      <w:r>
        <w:rPr/>
        <w:t>до</w:t>
      </w:r>
      <w:r>
        <w:rPr>
          <w:spacing w:val="-10"/>
        </w:rPr>
        <w:t> </w:t>
      </w:r>
      <w:r>
        <w:rPr/>
        <w:t>існуючих</w:t>
      </w:r>
      <w:r>
        <w:rPr>
          <w:spacing w:val="-14"/>
        </w:rPr>
        <w:t> </w:t>
      </w:r>
      <w:r>
        <w:rPr/>
        <w:t>технологій,</w:t>
      </w:r>
      <w:r>
        <w:rPr>
          <w:spacing w:val="-9"/>
        </w:rPr>
        <w:t> </w:t>
      </w:r>
      <w:r>
        <w:rPr/>
        <w:t>і</w:t>
      </w:r>
      <w:r>
        <w:rPr>
          <w:spacing w:val="-15"/>
        </w:rPr>
        <w:t> </w:t>
      </w:r>
      <w:r>
        <w:rPr/>
        <w:t>одержувана</w:t>
      </w:r>
      <w:r>
        <w:rPr>
          <w:spacing w:val="-10"/>
        </w:rPr>
        <w:t> </w:t>
      </w:r>
      <w:r>
        <w:rPr/>
        <w:t>продукція</w:t>
      </w:r>
      <w:r>
        <w:rPr>
          <w:spacing w:val="-9"/>
        </w:rPr>
        <w:t> </w:t>
      </w:r>
      <w:r>
        <w:rPr/>
        <w:t>використовується</w:t>
      </w:r>
      <w:r>
        <w:rPr>
          <w:spacing w:val="-9"/>
        </w:rPr>
        <w:t> </w:t>
      </w:r>
      <w:r>
        <w:rPr/>
        <w:t>за прямим призначенням. До другої зони відносять угіддя, розміщені на території </w:t>
      </w:r>
      <w:r>
        <w:rPr>
          <w:spacing w:val="-3"/>
        </w:rPr>
        <w:t>із </w:t>
      </w:r>
      <w:r>
        <w:rPr/>
        <w:t>середніми рівнями радіоактивного забруднення (орієнтовно щільність забруднення радіонуклідами в </w:t>
      </w:r>
      <w:r>
        <w:rPr>
          <w:spacing w:val="2"/>
        </w:rPr>
        <w:t>3-4 </w:t>
      </w:r>
      <w:r>
        <w:rPr/>
        <w:t>рази вища, </w:t>
      </w:r>
      <w:r>
        <w:rPr>
          <w:spacing w:val="-3"/>
        </w:rPr>
        <w:t>ніж </w:t>
      </w:r>
      <w:r>
        <w:rPr/>
        <w:t>у першій зоні). В </w:t>
      </w:r>
      <w:r>
        <w:rPr>
          <w:spacing w:val="2"/>
        </w:rPr>
        <w:t>зоні </w:t>
      </w:r>
      <w:r>
        <w:rPr/>
        <w:t>проводять весь комплекс агротехнічних і агроекологічних заходів щодо зменшення вмісту радіонуклідів в продукції. Землю використовують в основному під кормові і технічні культури або для насіннєвих ділянок. Можна вирощувати й зернові культури, але лише для згодовування худобі і птиці, або на технічні і насіннєві потреби. При цьому проводять обов'язковий радіологічний контроль</w:t>
      </w:r>
      <w:r>
        <w:rPr>
          <w:spacing w:val="-1"/>
        </w:rPr>
        <w:t> </w:t>
      </w:r>
      <w:r>
        <w:rPr/>
        <w:t>продукції.</w:t>
      </w:r>
    </w:p>
    <w:p>
      <w:pPr>
        <w:pStyle w:val="BodyText"/>
        <w:ind w:right="610" w:firstLine="710"/>
      </w:pPr>
      <w:r>
        <w:rPr/>
        <w:t>До третьої зони відносять сільськогосподарські угіддя з порівняно високими рівнями радіоактивного забруднення (щільність його в </w:t>
      </w:r>
      <w:r>
        <w:rPr>
          <w:spacing w:val="2"/>
        </w:rPr>
        <w:t>8-10 </w:t>
      </w:r>
      <w:r>
        <w:rPr/>
        <w:t>разів вища, </w:t>
      </w:r>
      <w:r>
        <w:rPr>
          <w:spacing w:val="-3"/>
        </w:rPr>
        <w:t>ніж </w:t>
      </w:r>
      <w:r>
        <w:rPr/>
        <w:t>у першій зоні). Тут обов'язкове проведення всього комплексу агротехнічних заходів, хоча і вони не завжди гарантують одержання продукції, яка відповідає вимогам ТДР. </w:t>
      </w:r>
      <w:r>
        <w:rPr>
          <w:spacing w:val="3"/>
        </w:rPr>
        <w:t>Як </w:t>
      </w:r>
      <w:r>
        <w:rPr/>
        <w:t>правило, землю </w:t>
      </w:r>
      <w:r>
        <w:rPr>
          <w:spacing w:val="-3"/>
        </w:rPr>
        <w:t>тут </w:t>
      </w:r>
      <w:r>
        <w:rPr/>
        <w:t>треба використовувати для вирощування кормових та технічних культур, галузь – краще всього м'ясна, а якщо виробляти молоко, то лише для переробки на масло. При цьому слід пам'ятати,</w:t>
      </w:r>
      <w:r>
        <w:rPr>
          <w:spacing w:val="-18"/>
        </w:rPr>
        <w:t> </w:t>
      </w:r>
      <w:r>
        <w:rPr/>
        <w:t>що</w:t>
      </w:r>
      <w:r>
        <w:rPr>
          <w:spacing w:val="-19"/>
        </w:rPr>
        <w:t> </w:t>
      </w:r>
      <w:r>
        <w:rPr/>
        <w:t>при</w:t>
      </w:r>
      <w:r>
        <w:rPr>
          <w:spacing w:val="-19"/>
        </w:rPr>
        <w:t> </w:t>
      </w:r>
      <w:r>
        <w:rPr/>
        <w:t>однаковій</w:t>
      </w:r>
      <w:r>
        <w:rPr>
          <w:spacing w:val="-20"/>
        </w:rPr>
        <w:t> </w:t>
      </w:r>
      <w:r>
        <w:rPr/>
        <w:t>щільності</w:t>
      </w:r>
      <w:r>
        <w:rPr>
          <w:spacing w:val="-24"/>
        </w:rPr>
        <w:t> </w:t>
      </w:r>
      <w:r>
        <w:rPr/>
        <w:t>забруднення</w:t>
      </w:r>
      <w:r>
        <w:rPr>
          <w:spacing w:val="-18"/>
        </w:rPr>
        <w:t> </w:t>
      </w:r>
      <w:r>
        <w:rPr/>
        <w:t>грунтів</w:t>
      </w:r>
      <w:r>
        <w:rPr>
          <w:spacing w:val="-21"/>
        </w:rPr>
        <w:t> </w:t>
      </w:r>
      <w:r>
        <w:rPr/>
        <w:t>радіаційна</w:t>
      </w:r>
      <w:r>
        <w:rPr>
          <w:spacing w:val="-19"/>
        </w:rPr>
        <w:t> </w:t>
      </w:r>
      <w:r>
        <w:rPr/>
        <w:t>небезпека від </w:t>
      </w:r>
      <w:r>
        <w:rPr>
          <w:position w:val="10"/>
          <w:sz w:val="18"/>
        </w:rPr>
        <w:t>90</w:t>
      </w:r>
      <w:r>
        <w:rPr/>
        <w:t>Sr приблизно в 6 разів більша, ніж від</w:t>
      </w:r>
      <w:r>
        <w:rPr>
          <w:spacing w:val="19"/>
        </w:rPr>
        <w:t> </w:t>
      </w:r>
      <w:r>
        <w:rPr>
          <w:position w:val="10"/>
          <w:sz w:val="18"/>
        </w:rPr>
        <w:t>137</w:t>
      </w:r>
      <w:r>
        <w:rPr/>
        <w:t>Cs.</w:t>
      </w:r>
    </w:p>
    <w:p>
      <w:pPr>
        <w:pStyle w:val="BodyText"/>
        <w:spacing w:line="237" w:lineRule="auto"/>
        <w:ind w:right="605" w:firstLine="710"/>
      </w:pPr>
      <w:r>
        <w:rPr>
          <w:b/>
        </w:rPr>
        <w:t>Захисна роль деяких елементів. </w:t>
      </w:r>
      <w:r>
        <w:rPr/>
        <w:t>Захисна роль кальцію, яка полягає в обмеженні надходження </w:t>
      </w:r>
      <w:r>
        <w:rPr>
          <w:spacing w:val="-3"/>
        </w:rPr>
        <w:t>із </w:t>
      </w:r>
      <w:r>
        <w:rPr/>
        <w:t>кормів раціону в молоко </w:t>
      </w:r>
      <w:r>
        <w:rPr>
          <w:position w:val="10"/>
          <w:sz w:val="18"/>
        </w:rPr>
        <w:t>90</w:t>
      </w:r>
      <w:r>
        <w:rPr/>
        <w:t>Sr, різко зменшується з наближенням до нормальної фізіологічної норми у ньому організму. Нормальним</w:t>
      </w:r>
      <w:r>
        <w:rPr>
          <w:spacing w:val="-12"/>
        </w:rPr>
        <w:t> </w:t>
      </w:r>
      <w:r>
        <w:rPr/>
        <w:t>рівнем</w:t>
      </w:r>
      <w:r>
        <w:rPr>
          <w:spacing w:val="-12"/>
        </w:rPr>
        <w:t> </w:t>
      </w:r>
      <w:r>
        <w:rPr/>
        <w:t>вважається</w:t>
      </w:r>
      <w:r>
        <w:rPr>
          <w:spacing w:val="-11"/>
        </w:rPr>
        <w:t> </w:t>
      </w:r>
      <w:r>
        <w:rPr/>
        <w:t>добове</w:t>
      </w:r>
      <w:r>
        <w:rPr>
          <w:spacing w:val="-12"/>
        </w:rPr>
        <w:t> </w:t>
      </w:r>
      <w:r>
        <w:rPr/>
        <w:t>надходження</w:t>
      </w:r>
      <w:r>
        <w:rPr>
          <w:spacing w:val="-10"/>
        </w:rPr>
        <w:t> </w:t>
      </w:r>
      <w:r>
        <w:rPr/>
        <w:t>в</w:t>
      </w:r>
      <w:r>
        <w:rPr>
          <w:spacing w:val="-15"/>
        </w:rPr>
        <w:t> </w:t>
      </w:r>
      <w:r>
        <w:rPr/>
        <w:t>кількості</w:t>
      </w:r>
      <w:r>
        <w:rPr>
          <w:spacing w:val="-17"/>
        </w:rPr>
        <w:t> </w:t>
      </w:r>
      <w:r>
        <w:rPr/>
        <w:t>40-80г,</w:t>
      </w:r>
      <w:r>
        <w:rPr>
          <w:spacing w:val="-10"/>
        </w:rPr>
        <w:t> </w:t>
      </w:r>
      <w:r>
        <w:rPr/>
        <w:t>оскільки при</w:t>
      </w:r>
      <w:r>
        <w:rPr>
          <w:spacing w:val="-13"/>
        </w:rPr>
        <w:t> </w:t>
      </w:r>
      <w:r>
        <w:rPr/>
        <w:t>нормі</w:t>
      </w:r>
      <w:r>
        <w:rPr>
          <w:spacing w:val="-18"/>
        </w:rPr>
        <w:t> </w:t>
      </w:r>
      <w:r>
        <w:rPr/>
        <w:t>менше</w:t>
      </w:r>
      <w:r>
        <w:rPr>
          <w:spacing w:val="-12"/>
        </w:rPr>
        <w:t> </w:t>
      </w:r>
      <w:r>
        <w:rPr/>
        <w:t>40</w:t>
      </w:r>
      <w:r>
        <w:rPr>
          <w:spacing w:val="-13"/>
        </w:rPr>
        <w:t> </w:t>
      </w:r>
      <w:r>
        <w:rPr/>
        <w:t>г</w:t>
      </w:r>
      <w:r>
        <w:rPr>
          <w:spacing w:val="-16"/>
        </w:rPr>
        <w:t> </w:t>
      </w:r>
      <w:r>
        <w:rPr/>
        <w:t>спостерігається</w:t>
      </w:r>
      <w:r>
        <w:rPr>
          <w:spacing w:val="-12"/>
        </w:rPr>
        <w:t> </w:t>
      </w:r>
      <w:r>
        <w:rPr/>
        <w:t>збільшення</w:t>
      </w:r>
      <w:r>
        <w:rPr>
          <w:spacing w:val="-12"/>
        </w:rPr>
        <w:t> </w:t>
      </w:r>
      <w:r>
        <w:rPr/>
        <w:t>переходу</w:t>
      </w:r>
      <w:r>
        <w:rPr>
          <w:spacing w:val="-9"/>
        </w:rPr>
        <w:t> </w:t>
      </w:r>
      <w:r>
        <w:rPr>
          <w:position w:val="10"/>
          <w:sz w:val="18"/>
        </w:rPr>
        <w:t>90</w:t>
      </w:r>
      <w:r>
        <w:rPr/>
        <w:t>Sr</w:t>
      </w:r>
      <w:r>
        <w:rPr>
          <w:spacing w:val="-10"/>
        </w:rPr>
        <w:t> </w:t>
      </w:r>
      <w:r>
        <w:rPr>
          <w:spacing w:val="-3"/>
        </w:rPr>
        <w:t>із</w:t>
      </w:r>
      <w:r>
        <w:rPr>
          <w:spacing w:val="-13"/>
        </w:rPr>
        <w:t> </w:t>
      </w:r>
      <w:r>
        <w:rPr/>
        <w:t>кормів</w:t>
      </w:r>
      <w:r>
        <w:rPr>
          <w:spacing w:val="-15"/>
        </w:rPr>
        <w:t> </w:t>
      </w:r>
      <w:r>
        <w:rPr/>
        <w:t>раціону в молоко. Щодо вмісту від 40 до 80 г </w:t>
      </w:r>
      <w:r>
        <w:rPr>
          <w:spacing w:val="-3"/>
        </w:rPr>
        <w:t>на </w:t>
      </w:r>
      <w:r>
        <w:rPr/>
        <w:t>голову за добу, то його слід вважати нормальною концентрацією, при якій </w:t>
      </w:r>
      <w:r>
        <w:rPr>
          <w:spacing w:val="-3"/>
        </w:rPr>
        <w:t>із </w:t>
      </w:r>
      <w:r>
        <w:rPr/>
        <w:t>раціону в 1 кг молока переходить </w:t>
      </w:r>
      <w:r>
        <w:rPr>
          <w:spacing w:val="2"/>
        </w:rPr>
        <w:t>0,11- </w:t>
      </w:r>
      <w:r>
        <w:rPr/>
        <w:t>0,23% </w:t>
      </w:r>
      <w:r>
        <w:rPr>
          <w:position w:val="10"/>
          <w:sz w:val="18"/>
        </w:rPr>
        <w:t>90</w:t>
      </w:r>
      <w:r>
        <w:rPr/>
        <w:t>Sr, що надходить щоденно в організм. Рівні кальцію в раціоні, що знаходяться в межах </w:t>
      </w:r>
      <w:r>
        <w:rPr>
          <w:spacing w:val="2"/>
        </w:rPr>
        <w:t>80- </w:t>
      </w:r>
      <w:r>
        <w:rPr/>
        <w:t>240 г за добу, оцінюються як високі і</w:t>
      </w:r>
      <w:r>
        <w:rPr>
          <w:spacing w:val="-46"/>
        </w:rPr>
        <w:t> </w:t>
      </w:r>
      <w:r>
        <w:rPr/>
        <w:t>супроводжуються мінімальним переходом </w:t>
      </w:r>
      <w:r>
        <w:rPr>
          <w:position w:val="10"/>
          <w:sz w:val="18"/>
        </w:rPr>
        <w:t>90</w:t>
      </w:r>
      <w:r>
        <w:rPr/>
        <w:t>Sr </w:t>
      </w:r>
      <w:r>
        <w:rPr>
          <w:spacing w:val="-3"/>
        </w:rPr>
        <w:t>із </w:t>
      </w:r>
      <w:r>
        <w:rPr/>
        <w:t>кормів раціону в 1 кг молока, що становить 0,08- 0,11%</w:t>
      </w:r>
      <w:r>
        <w:rPr>
          <w:spacing w:val="-12"/>
        </w:rPr>
        <w:t> </w:t>
      </w:r>
      <w:r>
        <w:rPr/>
        <w:t>від</w:t>
      </w:r>
      <w:r>
        <w:rPr>
          <w:spacing w:val="-8"/>
        </w:rPr>
        <w:t> </w:t>
      </w:r>
      <w:r>
        <w:rPr/>
        <w:t>щоденного</w:t>
      </w:r>
      <w:r>
        <w:rPr>
          <w:spacing w:val="-10"/>
        </w:rPr>
        <w:t> </w:t>
      </w:r>
      <w:r>
        <w:rPr/>
        <w:t>його</w:t>
      </w:r>
      <w:r>
        <w:rPr>
          <w:spacing w:val="-10"/>
        </w:rPr>
        <w:t> </w:t>
      </w:r>
      <w:r>
        <w:rPr/>
        <w:t>надходження.</w:t>
      </w:r>
      <w:r>
        <w:rPr>
          <w:spacing w:val="-3"/>
        </w:rPr>
        <w:t> </w:t>
      </w:r>
      <w:r>
        <w:rPr/>
        <w:t>Максимальні</w:t>
      </w:r>
      <w:r>
        <w:rPr>
          <w:spacing w:val="-15"/>
        </w:rPr>
        <w:t> </w:t>
      </w:r>
      <w:r>
        <w:rPr/>
        <w:t>коефіцієнти</w:t>
      </w:r>
      <w:r>
        <w:rPr>
          <w:spacing w:val="-10"/>
        </w:rPr>
        <w:t> </w:t>
      </w:r>
      <w:r>
        <w:rPr/>
        <w:t>переходу</w:t>
      </w:r>
      <w:r>
        <w:rPr>
          <w:spacing w:val="-10"/>
        </w:rPr>
        <w:t> </w:t>
      </w:r>
      <w:r>
        <w:rPr>
          <w:position w:val="10"/>
          <w:sz w:val="18"/>
        </w:rPr>
        <w:t>90</w:t>
      </w:r>
      <w:r>
        <w:rPr/>
        <w:t>Sr </w:t>
      </w:r>
      <w:r>
        <w:rPr>
          <w:spacing w:val="-3"/>
        </w:rPr>
        <w:t>із </w:t>
      </w:r>
      <w:r>
        <w:rPr/>
        <w:t>раціону в молоко в зв'язку </w:t>
      </w:r>
      <w:r>
        <w:rPr>
          <w:spacing w:val="-3"/>
        </w:rPr>
        <w:t>із </w:t>
      </w:r>
      <w:r>
        <w:rPr/>
        <w:t>рівнем кальцієвого живлення відрізняються від мінімальних у 8-11 разів. Отже, для мінімального його надходження в молоко найбільш сприятливими є раціони з нормальним і підвищеним вмістом кальцію. </w:t>
      </w:r>
      <w:r>
        <w:rPr>
          <w:spacing w:val="-3"/>
        </w:rPr>
        <w:t>На </w:t>
      </w:r>
      <w:r>
        <w:rPr/>
        <w:t>рівень радіостронцію впливає не лише рівень, а й джерело кальцію в раціоні. Так,</w:t>
      </w:r>
      <w:r>
        <w:rPr>
          <w:spacing w:val="-12"/>
        </w:rPr>
        <w:t> </w:t>
      </w:r>
      <w:r>
        <w:rPr/>
        <w:t>збільшення</w:t>
      </w:r>
      <w:r>
        <w:rPr>
          <w:spacing w:val="-13"/>
        </w:rPr>
        <w:t> </w:t>
      </w:r>
      <w:r>
        <w:rPr/>
        <w:t>кальцію</w:t>
      </w:r>
      <w:r>
        <w:rPr>
          <w:spacing w:val="-15"/>
        </w:rPr>
        <w:t> </w:t>
      </w:r>
      <w:r>
        <w:rPr/>
        <w:t>в</w:t>
      </w:r>
      <w:r>
        <w:rPr>
          <w:spacing w:val="-15"/>
        </w:rPr>
        <w:t> </w:t>
      </w:r>
      <w:r>
        <w:rPr/>
        <w:t>дефіцитному</w:t>
      </w:r>
      <w:r>
        <w:rPr>
          <w:spacing w:val="-14"/>
        </w:rPr>
        <w:t> </w:t>
      </w:r>
      <w:r>
        <w:rPr/>
        <w:t>за</w:t>
      </w:r>
      <w:r>
        <w:rPr>
          <w:spacing w:val="-13"/>
        </w:rPr>
        <w:t> </w:t>
      </w:r>
      <w:r>
        <w:rPr/>
        <w:t>цим</w:t>
      </w:r>
      <w:r>
        <w:rPr>
          <w:spacing w:val="-12"/>
        </w:rPr>
        <w:t> </w:t>
      </w:r>
      <w:r>
        <w:rPr/>
        <w:t>елементом</w:t>
      </w:r>
      <w:r>
        <w:rPr>
          <w:spacing w:val="-13"/>
        </w:rPr>
        <w:t> </w:t>
      </w:r>
      <w:r>
        <w:rPr/>
        <w:t>раціоні</w:t>
      </w:r>
      <w:r>
        <w:rPr>
          <w:spacing w:val="-18"/>
        </w:rPr>
        <w:t> </w:t>
      </w:r>
      <w:r>
        <w:rPr/>
        <w:t>до</w:t>
      </w:r>
      <w:r>
        <w:rPr>
          <w:spacing w:val="-13"/>
        </w:rPr>
        <w:t> </w:t>
      </w:r>
      <w:r>
        <w:rPr/>
        <w:t>2-2,5</w:t>
      </w:r>
      <w:r>
        <w:rPr>
          <w:spacing w:val="-14"/>
        </w:rPr>
        <w:t> </w:t>
      </w:r>
      <w:r>
        <w:rPr/>
        <w:t>норми</w:t>
      </w:r>
    </w:p>
    <w:p>
      <w:pPr>
        <w:spacing w:after="0" w:line="237" w:lineRule="auto"/>
        <w:sectPr>
          <w:pgSz w:w="11910" w:h="16840"/>
          <w:pgMar w:header="713" w:footer="778" w:top="1140" w:bottom="960" w:left="940" w:right="520"/>
        </w:sectPr>
      </w:pPr>
    </w:p>
    <w:p>
      <w:pPr>
        <w:pStyle w:val="BodyText"/>
        <w:spacing w:before="85"/>
        <w:ind w:right="609"/>
      </w:pPr>
      <w:r>
        <w:rPr/>
        <w:t>за</w:t>
      </w:r>
      <w:r>
        <w:rPr>
          <w:spacing w:val="-8"/>
        </w:rPr>
        <w:t> </w:t>
      </w:r>
      <w:r>
        <w:rPr/>
        <w:t>рахунок</w:t>
      </w:r>
      <w:r>
        <w:rPr>
          <w:spacing w:val="-10"/>
        </w:rPr>
        <w:t> </w:t>
      </w:r>
      <w:r>
        <w:rPr/>
        <w:t>трикальційфосфату</w:t>
      </w:r>
      <w:r>
        <w:rPr>
          <w:spacing w:val="-14"/>
        </w:rPr>
        <w:t> </w:t>
      </w:r>
      <w:r>
        <w:rPr/>
        <w:t>в</w:t>
      </w:r>
      <w:r>
        <w:rPr>
          <w:spacing w:val="-10"/>
        </w:rPr>
        <w:t> </w:t>
      </w:r>
      <w:r>
        <w:rPr/>
        <w:t>4</w:t>
      </w:r>
      <w:r>
        <w:rPr>
          <w:spacing w:val="-8"/>
        </w:rPr>
        <w:t> </w:t>
      </w:r>
      <w:r>
        <w:rPr/>
        <w:t>рази</w:t>
      </w:r>
      <w:r>
        <w:rPr>
          <w:spacing w:val="-9"/>
        </w:rPr>
        <w:t> </w:t>
      </w:r>
      <w:r>
        <w:rPr/>
        <w:t>зменшує</w:t>
      </w:r>
      <w:r>
        <w:rPr>
          <w:spacing w:val="-9"/>
        </w:rPr>
        <w:t> </w:t>
      </w:r>
      <w:r>
        <w:rPr/>
        <w:t>виведення </w:t>
      </w:r>
      <w:r>
        <w:rPr>
          <w:position w:val="10"/>
          <w:sz w:val="18"/>
        </w:rPr>
        <w:t>90</w:t>
      </w:r>
      <w:r>
        <w:rPr/>
        <w:t>Sr</w:t>
      </w:r>
      <w:r>
        <w:rPr>
          <w:spacing w:val="-10"/>
        </w:rPr>
        <w:t> </w:t>
      </w:r>
      <w:r>
        <w:rPr/>
        <w:t>з</w:t>
      </w:r>
      <w:r>
        <w:rPr>
          <w:spacing w:val="-13"/>
        </w:rPr>
        <w:t> </w:t>
      </w:r>
      <w:r>
        <w:rPr/>
        <w:t>молоком,</w:t>
      </w:r>
      <w:r>
        <w:rPr>
          <w:spacing w:val="-7"/>
        </w:rPr>
        <w:t> </w:t>
      </w:r>
      <w:r>
        <w:rPr/>
        <w:t>проте величина цього виведення залишається в 1,7 рази більшою, </w:t>
      </w:r>
      <w:r>
        <w:rPr>
          <w:spacing w:val="-3"/>
        </w:rPr>
        <w:t>ніж </w:t>
      </w:r>
      <w:r>
        <w:rPr/>
        <w:t>у особин, що одержували раціон з нормальним вмістом кальцію в кормі.  Найбільш чітко роль кальцію в зниженні переходу стронцію в молоко спостерігають при використанні</w:t>
      </w:r>
      <w:r>
        <w:rPr>
          <w:spacing w:val="-24"/>
        </w:rPr>
        <w:t> </w:t>
      </w:r>
      <w:r>
        <w:rPr/>
        <w:t>кормів</w:t>
      </w:r>
      <w:r>
        <w:rPr>
          <w:spacing w:val="-20"/>
        </w:rPr>
        <w:t> </w:t>
      </w:r>
      <w:r>
        <w:rPr/>
        <w:t>з</w:t>
      </w:r>
      <w:r>
        <w:rPr>
          <w:spacing w:val="-19"/>
        </w:rPr>
        <w:t> </w:t>
      </w:r>
      <w:r>
        <w:rPr/>
        <w:t>високим</w:t>
      </w:r>
      <w:r>
        <w:rPr>
          <w:spacing w:val="-17"/>
        </w:rPr>
        <w:t> </w:t>
      </w:r>
      <w:r>
        <w:rPr/>
        <w:t>вмістом</w:t>
      </w:r>
      <w:r>
        <w:rPr>
          <w:spacing w:val="-18"/>
        </w:rPr>
        <w:t> </w:t>
      </w:r>
      <w:r>
        <w:rPr/>
        <w:t>кальцію</w:t>
      </w:r>
      <w:r>
        <w:rPr>
          <w:spacing w:val="-20"/>
        </w:rPr>
        <w:t> </w:t>
      </w:r>
      <w:r>
        <w:rPr/>
        <w:t>(120</w:t>
      </w:r>
      <w:r>
        <w:rPr>
          <w:spacing w:val="-19"/>
        </w:rPr>
        <w:t> </w:t>
      </w:r>
      <w:r>
        <w:rPr/>
        <w:t>г),</w:t>
      </w:r>
      <w:r>
        <w:rPr>
          <w:spacing w:val="-17"/>
        </w:rPr>
        <w:t> </w:t>
      </w:r>
      <w:r>
        <w:rPr/>
        <w:t>синтезованим</w:t>
      </w:r>
      <w:r>
        <w:rPr>
          <w:spacing w:val="-17"/>
        </w:rPr>
        <w:t> </w:t>
      </w:r>
      <w:r>
        <w:rPr/>
        <w:t>за</w:t>
      </w:r>
      <w:r>
        <w:rPr>
          <w:spacing w:val="-17"/>
        </w:rPr>
        <w:t> </w:t>
      </w:r>
      <w:r>
        <w:rPr/>
        <w:t>рахунок сіна бобових культур порівняно з його дефіцитом. При цьому в 1 л молока переходить в 3-4 рази менше </w:t>
      </w:r>
      <w:r>
        <w:rPr>
          <w:position w:val="10"/>
          <w:sz w:val="18"/>
        </w:rPr>
        <w:t>90</w:t>
      </w:r>
      <w:r>
        <w:rPr/>
        <w:t>Sr, </w:t>
      </w:r>
      <w:r>
        <w:rPr>
          <w:spacing w:val="-3"/>
        </w:rPr>
        <w:t>ніж </w:t>
      </w:r>
      <w:r>
        <w:rPr/>
        <w:t>у особин, яких утримують на раціонах </w:t>
      </w:r>
      <w:r>
        <w:rPr>
          <w:spacing w:val="-3"/>
        </w:rPr>
        <w:t>із </w:t>
      </w:r>
      <w:r>
        <w:rPr/>
        <w:t>нормальним його вмістом. Отже, збагачення раціонів кормами з високим вмістом кальцію (але не за рахунок мінеральних добавок) на фоні нормального і дефіцитного його вмісту дає змогу відповідно від 3 до 23 разів зменшити надходження </w:t>
      </w:r>
      <w:r>
        <w:rPr>
          <w:position w:val="10"/>
          <w:sz w:val="18"/>
        </w:rPr>
        <w:t>90</w:t>
      </w:r>
      <w:r>
        <w:rPr/>
        <w:t>Sr у</w:t>
      </w:r>
      <w:r>
        <w:rPr>
          <w:spacing w:val="6"/>
        </w:rPr>
        <w:t> </w:t>
      </w:r>
      <w:r>
        <w:rPr/>
        <w:t>молоко.</w:t>
      </w:r>
    </w:p>
    <w:p>
      <w:pPr>
        <w:pStyle w:val="BodyText"/>
        <w:ind w:right="610" w:firstLine="710"/>
      </w:pPr>
      <w:r>
        <w:rPr>
          <w:b/>
        </w:rPr>
        <w:t>Особливості використання ентеросорбентів. </w:t>
      </w:r>
      <w:r>
        <w:rPr/>
        <w:t>Іншим важливим напрямом зменшення забрудненості молока і м'яса є використання ентеросорбентів,</w:t>
      </w:r>
      <w:r>
        <w:rPr>
          <w:spacing w:val="-10"/>
        </w:rPr>
        <w:t> </w:t>
      </w:r>
      <w:r>
        <w:rPr/>
        <w:t>тобто</w:t>
      </w:r>
      <w:r>
        <w:rPr>
          <w:spacing w:val="-10"/>
        </w:rPr>
        <w:t> </w:t>
      </w:r>
      <w:r>
        <w:rPr/>
        <w:t>зв'язування</w:t>
      </w:r>
      <w:r>
        <w:rPr>
          <w:spacing w:val="-11"/>
        </w:rPr>
        <w:t> </w:t>
      </w:r>
      <w:r>
        <w:rPr/>
        <w:t>радіонуклідів</w:t>
      </w:r>
      <w:r>
        <w:rPr>
          <w:spacing w:val="-8"/>
        </w:rPr>
        <w:t> </w:t>
      </w:r>
      <w:r>
        <w:rPr/>
        <w:t>у</w:t>
      </w:r>
      <w:r>
        <w:rPr>
          <w:spacing w:val="-16"/>
        </w:rPr>
        <w:t> </w:t>
      </w:r>
      <w:r>
        <w:rPr/>
        <w:t>шлунково-кишковому</w:t>
      </w:r>
      <w:r>
        <w:rPr>
          <w:spacing w:val="-15"/>
        </w:rPr>
        <w:t> </w:t>
      </w:r>
      <w:r>
        <w:rPr/>
        <w:t>тракті. Так, доведено, що одним </w:t>
      </w:r>
      <w:r>
        <w:rPr>
          <w:spacing w:val="-3"/>
        </w:rPr>
        <w:t>із </w:t>
      </w:r>
      <w:r>
        <w:rPr/>
        <w:t>препаратів, який зменшує резорбцію радіоактивного цезію, є фероціанід, хоча тривале його використання небажане. Особливе місце серед ентеросорбентів належить природним цеолітам і препаратам, виготовленим на їх основі (хумоліт). Так, за даними Українського науково- дослідного інституту радіології, забрудненість молока у особин, які одержували цеоліти, зменшувалася в 1,7 рази порівняно з контролем. Застосування хумоліту було ще ефективнішим. Через 11 </w:t>
      </w:r>
      <w:r>
        <w:rPr>
          <w:spacing w:val="-3"/>
        </w:rPr>
        <w:t>діб </w:t>
      </w:r>
      <w:r>
        <w:rPr/>
        <w:t>після початку його згодовування концентрація цезію в молоці зменшувалася в 3,2 рази. </w:t>
      </w:r>
      <w:r>
        <w:rPr>
          <w:spacing w:val="-3"/>
        </w:rPr>
        <w:t>Після </w:t>
      </w:r>
      <w:r>
        <w:rPr/>
        <w:t>того, як хумоліт перестали згодовувати, вміст радіоцезію наблизився до вихідних</w:t>
      </w:r>
      <w:r>
        <w:rPr>
          <w:spacing w:val="-14"/>
        </w:rPr>
        <w:t> </w:t>
      </w:r>
      <w:r>
        <w:rPr/>
        <w:t>показників.</w:t>
      </w:r>
    </w:p>
    <w:p>
      <w:pPr>
        <w:pStyle w:val="BodyText"/>
        <w:ind w:right="609" w:firstLine="710"/>
      </w:pPr>
      <w:r>
        <w:rPr>
          <w:b/>
          <w:spacing w:val="5"/>
        </w:rPr>
        <w:t>Висновки. </w:t>
      </w:r>
      <w:r>
        <w:rPr>
          <w:spacing w:val="5"/>
        </w:rPr>
        <w:t>Встановлено, </w:t>
      </w:r>
      <w:r>
        <w:rPr>
          <w:spacing w:val="3"/>
        </w:rPr>
        <w:t>що </w:t>
      </w:r>
      <w:r>
        <w:rPr>
          <w:spacing w:val="5"/>
        </w:rPr>
        <w:t>розробка </w:t>
      </w:r>
      <w:r>
        <w:rPr>
          <w:spacing w:val="4"/>
        </w:rPr>
        <w:t>системи </w:t>
      </w:r>
      <w:r>
        <w:rPr>
          <w:spacing w:val="5"/>
        </w:rPr>
        <w:t>спеціальних заходів запобігають надходження радіоактивних речовин </w:t>
      </w:r>
      <w:r>
        <w:rPr/>
        <w:t>із </w:t>
      </w:r>
      <w:r>
        <w:rPr>
          <w:spacing w:val="5"/>
        </w:rPr>
        <w:t>ґрунту </w:t>
      </w:r>
      <w:r>
        <w:rPr>
          <w:spacing w:val="3"/>
        </w:rPr>
        <w:t>до </w:t>
      </w:r>
      <w:r>
        <w:rPr>
          <w:spacing w:val="4"/>
        </w:rPr>
        <w:t>тварин, </w:t>
      </w:r>
      <w:r>
        <w:rPr>
          <w:spacing w:val="5"/>
        </w:rPr>
        <w:t>дозволяють здійснювати </w:t>
      </w:r>
      <w:r>
        <w:rPr>
          <w:spacing w:val="4"/>
        </w:rPr>
        <w:t>прийомів </w:t>
      </w:r>
      <w:r>
        <w:rPr>
          <w:spacing w:val="6"/>
        </w:rPr>
        <w:t>дезактивації </w:t>
      </w:r>
      <w:r>
        <w:rPr>
          <w:spacing w:val="5"/>
        </w:rPr>
        <w:t>продуктів тваринництва. </w:t>
      </w:r>
      <w:r>
        <w:rPr/>
        <w:t>1. Ведення тваринництва </w:t>
      </w:r>
      <w:r>
        <w:rPr>
          <w:spacing w:val="-3"/>
        </w:rPr>
        <w:t>із </w:t>
      </w:r>
      <w:r>
        <w:rPr/>
        <w:t>безвигульним утриманням ссавців підвищує щільність розміщення голів; призводить до зниження </w:t>
      </w:r>
      <w:r>
        <w:rPr>
          <w:spacing w:val="4"/>
        </w:rPr>
        <w:t>надходження </w:t>
      </w:r>
      <w:r>
        <w:rPr/>
        <w:t>й </w:t>
      </w:r>
      <w:r>
        <w:rPr>
          <w:spacing w:val="4"/>
        </w:rPr>
        <w:t>виведення радіоактивних речовин </w:t>
      </w:r>
      <w:r>
        <w:rPr/>
        <w:t>з </w:t>
      </w:r>
      <w:r>
        <w:rPr>
          <w:spacing w:val="4"/>
        </w:rPr>
        <w:t>організму сільськогосподарських </w:t>
      </w:r>
      <w:r>
        <w:rPr>
          <w:spacing w:val="3"/>
        </w:rPr>
        <w:t>тварин; </w:t>
      </w:r>
      <w:r>
        <w:rPr>
          <w:spacing w:val="4"/>
        </w:rPr>
        <w:t>оптимізує </w:t>
      </w:r>
      <w:r>
        <w:rPr/>
        <w:t>дезактивацію продукції сільського господарства шляхом технологічної переробки, а також використання ентеросорбентів. 2. Особливу увагу при виробництві молока і яловичини в умовах радіоактивного забруднення слід приділяти гігієні. При порушенні правил гігієни можливе різке підвищення у приміщеннях радіаційного фону. Він підвищується також і в місцях зберігання грубих кормів, якщо вони зібрані </w:t>
      </w:r>
      <w:r>
        <w:rPr>
          <w:spacing w:val="-3"/>
        </w:rPr>
        <w:t>із </w:t>
      </w:r>
      <w:r>
        <w:rPr/>
        <w:t>забруднених угідь. Усе це слід обов'язково враховувати при організації виробництва молока та яловичини на територіях, забруднених</w:t>
      </w:r>
      <w:r>
        <w:rPr>
          <w:spacing w:val="-19"/>
        </w:rPr>
        <w:t> </w:t>
      </w:r>
      <w:r>
        <w:rPr/>
        <w:t>радіонуклідами.</w:t>
      </w:r>
      <w:r>
        <w:rPr>
          <w:spacing w:val="-8"/>
        </w:rPr>
        <w:t> </w:t>
      </w:r>
      <w:r>
        <w:rPr/>
        <w:t>3.</w:t>
      </w:r>
      <w:r>
        <w:rPr>
          <w:spacing w:val="-12"/>
        </w:rPr>
        <w:t> </w:t>
      </w:r>
      <w:r>
        <w:rPr/>
        <w:t>Одержання</w:t>
      </w:r>
      <w:r>
        <w:rPr>
          <w:spacing w:val="-12"/>
        </w:rPr>
        <w:t> </w:t>
      </w:r>
      <w:r>
        <w:rPr/>
        <w:t>«чистої»</w:t>
      </w:r>
      <w:r>
        <w:rPr>
          <w:spacing w:val="-15"/>
        </w:rPr>
        <w:t> </w:t>
      </w:r>
      <w:r>
        <w:rPr/>
        <w:t>продукції</w:t>
      </w:r>
      <w:r>
        <w:rPr>
          <w:spacing w:val="-20"/>
        </w:rPr>
        <w:t> </w:t>
      </w:r>
      <w:r>
        <w:rPr/>
        <w:t>щодо</w:t>
      </w:r>
      <w:r>
        <w:rPr>
          <w:spacing w:val="-9"/>
        </w:rPr>
        <w:t> </w:t>
      </w:r>
      <w:r>
        <w:rPr/>
        <w:t>харчування тварин дозволяє уникнути надходження радіоактивних речовин в організм тварин й людини. Для цього використовують «чисті кормі» (жом, барда, силос, сінаж), які завезені </w:t>
      </w:r>
      <w:r>
        <w:rPr>
          <w:spacing w:val="-3"/>
        </w:rPr>
        <w:t>із </w:t>
      </w:r>
      <w:r>
        <w:rPr/>
        <w:t>незабруднених районів України.</w:t>
      </w:r>
    </w:p>
    <w:p>
      <w:pPr>
        <w:pStyle w:val="Heading1"/>
        <w:spacing w:line="319" w:lineRule="exact"/>
        <w:ind w:left="187"/>
      </w:pPr>
      <w:r>
        <w:rPr/>
        <w:t>ЛІТЕРАТУРА</w:t>
      </w:r>
    </w:p>
    <w:p>
      <w:pPr>
        <w:pStyle w:val="ListParagraph"/>
        <w:numPr>
          <w:ilvl w:val="0"/>
          <w:numId w:val="13"/>
        </w:numPr>
        <w:tabs>
          <w:tab w:pos="506" w:val="left" w:leader="none"/>
          <w:tab w:pos="6311" w:val="left" w:leader="none"/>
        </w:tabs>
        <w:spacing w:line="240" w:lineRule="auto" w:before="0" w:after="0"/>
        <w:ind w:left="193" w:right="623" w:firstLine="0"/>
        <w:jc w:val="left"/>
        <w:rPr>
          <w:sz w:val="28"/>
        </w:rPr>
      </w:pPr>
      <w:r>
        <w:rPr>
          <w:sz w:val="28"/>
        </w:rPr>
        <w:t>Безбородов А.М.,  Попов В.О.,</w:t>
      </w:r>
      <w:r>
        <w:rPr>
          <w:spacing w:val="21"/>
          <w:sz w:val="28"/>
        </w:rPr>
        <w:t> </w:t>
      </w:r>
      <w:r>
        <w:rPr>
          <w:sz w:val="28"/>
        </w:rPr>
        <w:t>Загустина</w:t>
      </w:r>
      <w:r>
        <w:rPr>
          <w:spacing w:val="24"/>
          <w:sz w:val="28"/>
        </w:rPr>
        <w:t> </w:t>
      </w:r>
      <w:r>
        <w:rPr>
          <w:sz w:val="28"/>
        </w:rPr>
        <w:t>Н.А.</w:t>
        <w:tab/>
        <w:t>Ферментативные процессы в биотехнологии. М.: Наука, 2008. 336</w:t>
      </w:r>
      <w:r>
        <w:rPr>
          <w:spacing w:val="5"/>
          <w:sz w:val="28"/>
        </w:rPr>
        <w:t> </w:t>
      </w:r>
      <w:r>
        <w:rPr>
          <w:sz w:val="28"/>
        </w:rPr>
        <w:t>с.</w:t>
      </w:r>
    </w:p>
    <w:p>
      <w:pPr>
        <w:spacing w:after="0" w:line="240" w:lineRule="auto"/>
        <w:jc w:val="left"/>
        <w:rPr>
          <w:sz w:val="28"/>
        </w:rPr>
        <w:sectPr>
          <w:pgSz w:w="11910" w:h="16840"/>
          <w:pgMar w:header="713" w:footer="778" w:top="1140" w:bottom="960" w:left="940" w:right="520"/>
        </w:sectPr>
      </w:pPr>
    </w:p>
    <w:p>
      <w:pPr>
        <w:pStyle w:val="ListParagraph"/>
        <w:numPr>
          <w:ilvl w:val="0"/>
          <w:numId w:val="13"/>
        </w:numPr>
        <w:tabs>
          <w:tab w:pos="549" w:val="left" w:leader="none"/>
        </w:tabs>
        <w:spacing w:line="240" w:lineRule="auto" w:before="92" w:after="0"/>
        <w:ind w:left="193" w:right="609" w:firstLine="0"/>
        <w:jc w:val="both"/>
        <w:rPr>
          <w:sz w:val="28"/>
        </w:rPr>
      </w:pPr>
      <w:r>
        <w:rPr>
          <w:sz w:val="28"/>
        </w:rPr>
        <w:t>Глазко Т.Т., Власов В.І.. Глазко В.І. Введення у нанобіотехнологію – К. Знання, 2008. 108</w:t>
      </w:r>
      <w:r>
        <w:rPr>
          <w:spacing w:val="8"/>
          <w:sz w:val="28"/>
        </w:rPr>
        <w:t> </w:t>
      </w:r>
      <w:r>
        <w:rPr>
          <w:sz w:val="28"/>
        </w:rPr>
        <w:t>с.</w:t>
      </w:r>
    </w:p>
    <w:p>
      <w:pPr>
        <w:pStyle w:val="ListParagraph"/>
        <w:numPr>
          <w:ilvl w:val="0"/>
          <w:numId w:val="13"/>
        </w:numPr>
        <w:tabs>
          <w:tab w:pos="601" w:val="left" w:leader="none"/>
        </w:tabs>
        <w:spacing w:line="240" w:lineRule="auto" w:before="0" w:after="0"/>
        <w:ind w:left="193" w:right="607" w:firstLine="0"/>
        <w:jc w:val="both"/>
        <w:rPr>
          <w:sz w:val="28"/>
        </w:rPr>
      </w:pPr>
      <w:r>
        <w:rPr>
          <w:sz w:val="28"/>
        </w:rPr>
        <w:t>Шалімов М.О. Засновник імунології та геронтології. К 175-річчю І.І. Мечникова. «...</w:t>
      </w:r>
      <w:r>
        <w:rPr>
          <w:i/>
          <w:sz w:val="28"/>
        </w:rPr>
        <w:t>в Одесі, Ви запалили... науковий вогник</w:t>
      </w:r>
      <w:r>
        <w:rPr>
          <w:sz w:val="28"/>
        </w:rPr>
        <w:t>» або «</w:t>
      </w:r>
      <w:r>
        <w:rPr>
          <w:i/>
          <w:sz w:val="28"/>
        </w:rPr>
        <w:t>Етюди</w:t>
      </w:r>
      <w:r>
        <w:rPr>
          <w:i/>
          <w:spacing w:val="-46"/>
          <w:sz w:val="28"/>
        </w:rPr>
        <w:t> </w:t>
      </w:r>
      <w:r>
        <w:rPr>
          <w:i/>
          <w:sz w:val="28"/>
        </w:rPr>
        <w:t>оптимізму</w:t>
      </w:r>
      <w:r>
        <w:rPr>
          <w:sz w:val="28"/>
        </w:rPr>
        <w:t>» життя. Одеса: Бондаренко М.О., 2020. 82</w:t>
      </w:r>
      <w:r>
        <w:rPr>
          <w:spacing w:val="3"/>
          <w:sz w:val="28"/>
        </w:rPr>
        <w:t> </w:t>
      </w:r>
      <w:r>
        <w:rPr>
          <w:sz w:val="28"/>
        </w:rPr>
        <w:t>с.</w:t>
      </w:r>
    </w:p>
    <w:p>
      <w:pPr>
        <w:pStyle w:val="ListParagraph"/>
        <w:numPr>
          <w:ilvl w:val="0"/>
          <w:numId w:val="13"/>
        </w:numPr>
        <w:tabs>
          <w:tab w:pos="520" w:val="left" w:leader="none"/>
        </w:tabs>
        <w:spacing w:line="240" w:lineRule="auto" w:before="3" w:after="0"/>
        <w:ind w:left="193" w:right="620" w:firstLine="0"/>
        <w:jc w:val="both"/>
        <w:rPr>
          <w:sz w:val="28"/>
        </w:rPr>
      </w:pPr>
      <w:r>
        <w:rPr>
          <w:sz w:val="28"/>
        </w:rPr>
        <w:t>Карпов О.В., Демидов С.В., Кириченко С.С. Клітинна та генна інженерія: підручник. К.: Фітосоціоцентр, 2010. 208</w:t>
      </w:r>
      <w:r>
        <w:rPr>
          <w:spacing w:val="12"/>
          <w:sz w:val="28"/>
        </w:rPr>
        <w:t> </w:t>
      </w:r>
      <w:r>
        <w:rPr>
          <w:sz w:val="28"/>
        </w:rPr>
        <w:t>с.</w:t>
      </w:r>
    </w:p>
    <w:p>
      <w:pPr>
        <w:pStyle w:val="ListParagraph"/>
        <w:numPr>
          <w:ilvl w:val="0"/>
          <w:numId w:val="13"/>
        </w:numPr>
        <w:tabs>
          <w:tab w:pos="477" w:val="left" w:leader="none"/>
        </w:tabs>
        <w:spacing w:line="321" w:lineRule="exact" w:before="0" w:after="0"/>
        <w:ind w:left="476" w:right="0" w:hanging="284"/>
        <w:jc w:val="both"/>
        <w:rPr>
          <w:sz w:val="28"/>
        </w:rPr>
      </w:pPr>
      <w:r>
        <w:rPr>
          <w:sz w:val="28"/>
        </w:rPr>
        <w:t>Пирог Т.П., Ігнатова О.А. Загальна біотехнологія. К.: НУХТ, 2009. 336</w:t>
      </w:r>
      <w:r>
        <w:rPr>
          <w:spacing w:val="2"/>
          <w:sz w:val="28"/>
        </w:rPr>
        <w:t> </w:t>
      </w:r>
      <w:r>
        <w:rPr>
          <w:sz w:val="28"/>
        </w:rPr>
        <w:t>с.</w:t>
      </w:r>
    </w:p>
    <w:p>
      <w:pPr>
        <w:pStyle w:val="ListParagraph"/>
        <w:numPr>
          <w:ilvl w:val="0"/>
          <w:numId w:val="13"/>
        </w:numPr>
        <w:tabs>
          <w:tab w:pos="625" w:val="left" w:leader="none"/>
        </w:tabs>
        <w:spacing w:line="240" w:lineRule="auto" w:before="0" w:after="0"/>
        <w:ind w:left="193" w:right="614" w:firstLine="0"/>
        <w:jc w:val="both"/>
        <w:rPr>
          <w:sz w:val="28"/>
        </w:rPr>
      </w:pPr>
      <w:r>
        <w:rPr>
          <w:sz w:val="28"/>
        </w:rPr>
        <w:t>Огурцов А.Н. Основы молекулярной биологии. Ч. </w:t>
      </w:r>
      <w:r>
        <w:rPr>
          <w:spacing w:val="3"/>
          <w:sz w:val="28"/>
        </w:rPr>
        <w:t>2. </w:t>
      </w:r>
      <w:r>
        <w:rPr>
          <w:sz w:val="28"/>
        </w:rPr>
        <w:t>Молекулярные генетические механизмы. Х.: ХПИ, 2011. 240</w:t>
      </w:r>
      <w:r>
        <w:rPr>
          <w:spacing w:val="7"/>
          <w:sz w:val="28"/>
        </w:rPr>
        <w:t> </w:t>
      </w:r>
      <w:r>
        <w:rPr>
          <w:sz w:val="28"/>
        </w:rPr>
        <w:t>с.</w:t>
      </w:r>
    </w:p>
    <w:p>
      <w:pPr>
        <w:pStyle w:val="ListParagraph"/>
        <w:numPr>
          <w:ilvl w:val="0"/>
          <w:numId w:val="13"/>
        </w:numPr>
        <w:tabs>
          <w:tab w:pos="467" w:val="left" w:leader="none"/>
        </w:tabs>
        <w:spacing w:line="240" w:lineRule="auto" w:before="0" w:after="0"/>
        <w:ind w:left="193" w:right="618" w:firstLine="0"/>
        <w:jc w:val="both"/>
        <w:rPr>
          <w:sz w:val="28"/>
        </w:rPr>
      </w:pPr>
      <w:r>
        <w:rPr>
          <w:sz w:val="28"/>
        </w:rPr>
        <w:t>Шалімов</w:t>
      </w:r>
      <w:r>
        <w:rPr>
          <w:spacing w:val="-16"/>
          <w:sz w:val="28"/>
        </w:rPr>
        <w:t> </w:t>
      </w:r>
      <w:r>
        <w:rPr>
          <w:sz w:val="28"/>
        </w:rPr>
        <w:t>М.О.</w:t>
      </w:r>
      <w:r>
        <w:rPr>
          <w:spacing w:val="-10"/>
          <w:sz w:val="28"/>
        </w:rPr>
        <w:t> </w:t>
      </w:r>
      <w:r>
        <w:rPr>
          <w:sz w:val="28"/>
        </w:rPr>
        <w:t>Біоіндикація:</w:t>
      </w:r>
      <w:r>
        <w:rPr>
          <w:spacing w:val="-14"/>
          <w:sz w:val="28"/>
        </w:rPr>
        <w:t> </w:t>
      </w:r>
      <w:r>
        <w:rPr>
          <w:sz w:val="28"/>
        </w:rPr>
        <w:t>навч.</w:t>
      </w:r>
      <w:r>
        <w:rPr>
          <w:spacing w:val="-11"/>
          <w:sz w:val="28"/>
        </w:rPr>
        <w:t> </w:t>
      </w:r>
      <w:r>
        <w:rPr>
          <w:sz w:val="28"/>
        </w:rPr>
        <w:t>посібник.</w:t>
      </w:r>
      <w:r>
        <w:rPr>
          <w:spacing w:val="-12"/>
          <w:sz w:val="28"/>
        </w:rPr>
        <w:t> </w:t>
      </w:r>
      <w:r>
        <w:rPr>
          <w:sz w:val="28"/>
        </w:rPr>
        <w:t>Одеса:</w:t>
      </w:r>
      <w:r>
        <w:rPr>
          <w:spacing w:val="-18"/>
          <w:sz w:val="28"/>
        </w:rPr>
        <w:t> </w:t>
      </w:r>
      <w:r>
        <w:rPr>
          <w:sz w:val="28"/>
        </w:rPr>
        <w:t>Наука</w:t>
      </w:r>
      <w:r>
        <w:rPr>
          <w:spacing w:val="-12"/>
          <w:sz w:val="28"/>
        </w:rPr>
        <w:t> </w:t>
      </w:r>
      <w:r>
        <w:rPr>
          <w:sz w:val="28"/>
        </w:rPr>
        <w:t>и</w:t>
      </w:r>
      <w:r>
        <w:rPr>
          <w:spacing w:val="-13"/>
          <w:sz w:val="28"/>
        </w:rPr>
        <w:t> </w:t>
      </w:r>
      <w:r>
        <w:rPr>
          <w:sz w:val="28"/>
        </w:rPr>
        <w:t>техника,</w:t>
      </w:r>
      <w:r>
        <w:rPr>
          <w:spacing w:val="-11"/>
          <w:sz w:val="28"/>
        </w:rPr>
        <w:t> </w:t>
      </w:r>
      <w:r>
        <w:rPr>
          <w:sz w:val="28"/>
        </w:rPr>
        <w:t>2011.</w:t>
      </w:r>
      <w:r>
        <w:rPr>
          <w:spacing w:val="-12"/>
          <w:sz w:val="28"/>
        </w:rPr>
        <w:t> </w:t>
      </w:r>
      <w:r>
        <w:rPr>
          <w:sz w:val="28"/>
        </w:rPr>
        <w:t>124 с.</w:t>
      </w:r>
    </w:p>
    <w:p>
      <w:pPr>
        <w:pStyle w:val="ListParagraph"/>
        <w:numPr>
          <w:ilvl w:val="0"/>
          <w:numId w:val="13"/>
        </w:numPr>
        <w:tabs>
          <w:tab w:pos="477" w:val="left" w:leader="none"/>
        </w:tabs>
        <w:spacing w:line="321" w:lineRule="exact" w:before="0" w:after="0"/>
        <w:ind w:left="476" w:right="0" w:hanging="284"/>
        <w:jc w:val="both"/>
        <w:rPr>
          <w:sz w:val="28"/>
        </w:rPr>
      </w:pPr>
      <w:r>
        <w:rPr>
          <w:sz w:val="28"/>
        </w:rPr>
        <w:t>Шалімов М.О. Мала екологічна енциклопедія. Одеса: СЖУ, 2014. 179</w:t>
      </w:r>
      <w:r>
        <w:rPr>
          <w:spacing w:val="-4"/>
          <w:sz w:val="28"/>
        </w:rPr>
        <w:t> </w:t>
      </w:r>
      <w:r>
        <w:rPr>
          <w:sz w:val="28"/>
        </w:rPr>
        <w:t>с.</w:t>
      </w:r>
    </w:p>
    <w:p>
      <w:pPr>
        <w:pStyle w:val="BodyText"/>
        <w:spacing w:before="4"/>
        <w:ind w:left="0"/>
        <w:jc w:val="left"/>
      </w:pPr>
    </w:p>
    <w:p>
      <w:pPr>
        <w:pStyle w:val="Heading1"/>
        <w:ind w:left="890"/>
      </w:pPr>
      <w:r>
        <w:rPr/>
        <w:t>БІОТЕХНОЛОГИЯ ПОЛУЧЕНИЯ ДОБРОКАЧЕСТВЕННОЙ</w:t>
      </w:r>
    </w:p>
    <w:p>
      <w:pPr>
        <w:spacing w:line="319" w:lineRule="exact" w:before="0"/>
        <w:ind w:left="174" w:right="603" w:firstLine="0"/>
        <w:jc w:val="center"/>
        <w:rPr>
          <w:b/>
          <w:sz w:val="28"/>
        </w:rPr>
      </w:pPr>
      <w:r>
        <w:rPr>
          <w:b/>
          <w:sz w:val="28"/>
        </w:rPr>
        <w:t>«ЧИСТОЙ» ПРОДУКЦИИ ЖИВОТНОВОДСТВА</w:t>
      </w:r>
    </w:p>
    <w:p>
      <w:pPr>
        <w:pStyle w:val="BodyText"/>
        <w:spacing w:line="319" w:lineRule="exact"/>
        <w:ind w:left="4625"/>
      </w:pPr>
      <w:r>
        <w:rPr/>
        <w:t>Шалимов Н.</w:t>
      </w:r>
    </w:p>
    <w:p>
      <w:pPr>
        <w:spacing w:line="240" w:lineRule="auto" w:before="0"/>
        <w:ind w:left="193" w:right="602" w:firstLine="710"/>
        <w:jc w:val="both"/>
        <w:rPr>
          <w:i/>
          <w:sz w:val="28"/>
        </w:rPr>
      </w:pPr>
      <w:r>
        <w:rPr>
          <w:i/>
          <w:sz w:val="28"/>
        </w:rPr>
        <w:t>Статья содержит информацию относительно отдельных способов </w:t>
      </w:r>
      <w:r>
        <w:rPr>
          <w:i/>
          <w:sz w:val="28"/>
        </w:rPr>
        <w:t>предотвращения поступления и накопления радиоактивных </w:t>
      </w:r>
      <w:r>
        <w:rPr>
          <w:i/>
          <w:spacing w:val="-3"/>
          <w:sz w:val="28"/>
        </w:rPr>
        <w:t>веществ </w:t>
      </w:r>
      <w:r>
        <w:rPr>
          <w:i/>
          <w:sz w:val="28"/>
        </w:rPr>
        <w:t>в организм сельскохозяйственных животных. Меры могут оказаться малоэффективними, в связи с чем вещества в полученной продукции могут превышать </w:t>
      </w:r>
      <w:r>
        <w:rPr>
          <w:i/>
          <w:spacing w:val="-2"/>
          <w:sz w:val="28"/>
        </w:rPr>
        <w:t>допустимые </w:t>
      </w:r>
      <w:r>
        <w:rPr>
          <w:i/>
          <w:sz w:val="28"/>
        </w:rPr>
        <w:t>нормы. Однако такая продукция не должна бать утилізована. При специальніх технологических переработках происходит распределение продукции на отдельные </w:t>
      </w:r>
      <w:r>
        <w:rPr>
          <w:i/>
          <w:spacing w:val="-3"/>
          <w:sz w:val="28"/>
        </w:rPr>
        <w:t>компоненты. </w:t>
      </w:r>
      <w:r>
        <w:rPr>
          <w:i/>
          <w:sz w:val="28"/>
        </w:rPr>
        <w:t>При этом часть радиоактивных </w:t>
      </w:r>
      <w:r>
        <w:rPr>
          <w:i/>
          <w:spacing w:val="-3"/>
          <w:sz w:val="28"/>
        </w:rPr>
        <w:t>веществ </w:t>
      </w:r>
      <w:r>
        <w:rPr>
          <w:i/>
          <w:sz w:val="28"/>
        </w:rPr>
        <w:t>может находиться в одном из компонентов продукции. Продуктом может выявиться не основной, а побочный продукт переработки.Снизить концентрацию радиоактивных </w:t>
      </w:r>
      <w:r>
        <w:rPr>
          <w:i/>
          <w:spacing w:val="-3"/>
          <w:sz w:val="28"/>
        </w:rPr>
        <w:t>веществ </w:t>
      </w:r>
      <w:r>
        <w:rPr>
          <w:i/>
          <w:sz w:val="28"/>
        </w:rPr>
        <w:t>в м’яке </w:t>
      </w:r>
      <w:r>
        <w:rPr>
          <w:i/>
          <w:spacing w:val="-3"/>
          <w:sz w:val="28"/>
        </w:rPr>
        <w:t>можно </w:t>
      </w:r>
      <w:r>
        <w:rPr>
          <w:i/>
          <w:sz w:val="28"/>
        </w:rPr>
        <w:t>путём его длительного сохранения в засоленом </w:t>
      </w:r>
      <w:r>
        <w:rPr>
          <w:i/>
          <w:spacing w:val="-3"/>
          <w:sz w:val="28"/>
        </w:rPr>
        <w:t>виде </w:t>
      </w:r>
      <w:r>
        <w:rPr>
          <w:i/>
          <w:sz w:val="28"/>
        </w:rPr>
        <w:t>с дальнейшим вымачиванием. Применение четырёх технологических примов обработки со сменой раствора позволяет уменшить содержание </w:t>
      </w:r>
      <w:r>
        <w:rPr>
          <w:i/>
          <w:spacing w:val="-3"/>
          <w:position w:val="9"/>
          <w:sz w:val="18"/>
        </w:rPr>
        <w:t>I37</w:t>
      </w:r>
      <w:r>
        <w:rPr>
          <w:i/>
          <w:spacing w:val="-3"/>
          <w:sz w:val="28"/>
        </w:rPr>
        <w:t>Cs </w:t>
      </w:r>
      <w:r>
        <w:rPr>
          <w:i/>
          <w:sz w:val="28"/>
        </w:rPr>
        <w:t>на 63-99 </w:t>
      </w:r>
      <w:r>
        <w:rPr>
          <w:i/>
          <w:spacing w:val="-8"/>
          <w:sz w:val="28"/>
        </w:rPr>
        <w:t>%. </w:t>
      </w:r>
      <w:r>
        <w:rPr>
          <w:i/>
          <w:sz w:val="28"/>
        </w:rPr>
        <w:t>Загрязнённая радиоактивными веществами, не пригодная для скармливания млекопитающим вегетативная масса растений может бать использована для прямого получения пищевого и кормового </w:t>
      </w:r>
      <w:r>
        <w:rPr>
          <w:i/>
          <w:spacing w:val="-3"/>
          <w:sz w:val="28"/>
        </w:rPr>
        <w:t>белка. </w:t>
      </w:r>
      <w:r>
        <w:rPr>
          <w:i/>
          <w:sz w:val="28"/>
        </w:rPr>
        <w:t>Новейшая биотехнология достаточно широко используется в зарубежных странах,</w:t>
      </w:r>
      <w:r>
        <w:rPr>
          <w:i/>
          <w:spacing w:val="-18"/>
          <w:sz w:val="28"/>
        </w:rPr>
        <w:t> </w:t>
      </w:r>
      <w:r>
        <w:rPr>
          <w:i/>
          <w:sz w:val="28"/>
        </w:rPr>
        <w:t>а</w:t>
      </w:r>
      <w:r>
        <w:rPr>
          <w:i/>
          <w:spacing w:val="-19"/>
          <w:sz w:val="28"/>
        </w:rPr>
        <w:t> </w:t>
      </w:r>
      <w:r>
        <w:rPr>
          <w:i/>
          <w:sz w:val="28"/>
        </w:rPr>
        <w:t>в</w:t>
      </w:r>
      <w:r>
        <w:rPr>
          <w:i/>
          <w:spacing w:val="-20"/>
          <w:sz w:val="28"/>
        </w:rPr>
        <w:t> </w:t>
      </w:r>
      <w:r>
        <w:rPr>
          <w:i/>
          <w:sz w:val="28"/>
        </w:rPr>
        <w:t>Украине</w:t>
      </w:r>
      <w:r>
        <w:rPr>
          <w:i/>
          <w:spacing w:val="-18"/>
          <w:sz w:val="28"/>
        </w:rPr>
        <w:t> </w:t>
      </w:r>
      <w:r>
        <w:rPr>
          <w:i/>
          <w:spacing w:val="-3"/>
          <w:sz w:val="28"/>
        </w:rPr>
        <w:t>внедряется,</w:t>
      </w:r>
      <w:r>
        <w:rPr>
          <w:i/>
          <w:spacing w:val="-17"/>
          <w:sz w:val="28"/>
        </w:rPr>
        <w:t> </w:t>
      </w:r>
      <w:r>
        <w:rPr>
          <w:i/>
          <w:sz w:val="28"/>
        </w:rPr>
        <w:t>допуская</w:t>
      </w:r>
      <w:r>
        <w:rPr>
          <w:i/>
          <w:spacing w:val="-15"/>
          <w:sz w:val="28"/>
        </w:rPr>
        <w:t> </w:t>
      </w:r>
      <w:r>
        <w:rPr>
          <w:i/>
          <w:spacing w:val="-3"/>
          <w:sz w:val="28"/>
        </w:rPr>
        <w:t>выделение</w:t>
      </w:r>
      <w:r>
        <w:rPr>
          <w:i/>
          <w:spacing w:val="-15"/>
          <w:sz w:val="28"/>
        </w:rPr>
        <w:t> </w:t>
      </w:r>
      <w:r>
        <w:rPr>
          <w:i/>
          <w:sz w:val="28"/>
        </w:rPr>
        <w:t>белка</w:t>
      </w:r>
      <w:r>
        <w:rPr>
          <w:i/>
          <w:spacing w:val="-20"/>
          <w:sz w:val="28"/>
        </w:rPr>
        <w:t> </w:t>
      </w:r>
      <w:r>
        <w:rPr>
          <w:i/>
          <w:sz w:val="28"/>
        </w:rPr>
        <w:t>бнепосредственно</w:t>
      </w:r>
      <w:r>
        <w:rPr>
          <w:i/>
          <w:spacing w:val="-15"/>
          <w:sz w:val="28"/>
        </w:rPr>
        <w:t> </w:t>
      </w:r>
      <w:r>
        <w:rPr>
          <w:i/>
          <w:spacing w:val="-3"/>
          <w:sz w:val="28"/>
        </w:rPr>
        <w:t>из </w:t>
      </w:r>
      <w:r>
        <w:rPr>
          <w:i/>
          <w:sz w:val="28"/>
        </w:rPr>
        <w:t>зелёной массы ррастений путём от жиму клеточного сока с дальнейшей коагуляцией из негодо специальной технологии чистого </w:t>
      </w:r>
      <w:r>
        <w:rPr>
          <w:i/>
          <w:spacing w:val="-3"/>
          <w:sz w:val="28"/>
        </w:rPr>
        <w:t>белка, </w:t>
      </w:r>
      <w:r>
        <w:rPr>
          <w:i/>
          <w:sz w:val="28"/>
        </w:rPr>
        <w:t>который содержит меньше радиоактивных </w:t>
      </w:r>
      <w:r>
        <w:rPr>
          <w:i/>
          <w:spacing w:val="-3"/>
          <w:sz w:val="28"/>
        </w:rPr>
        <w:t>веществ, </w:t>
      </w:r>
      <w:r>
        <w:rPr>
          <w:i/>
          <w:sz w:val="28"/>
        </w:rPr>
        <w:t>чем </w:t>
      </w:r>
      <w:r>
        <w:rPr>
          <w:i/>
          <w:spacing w:val="-3"/>
          <w:sz w:val="28"/>
        </w:rPr>
        <w:t>используемые растения. </w:t>
      </w:r>
      <w:r>
        <w:rPr>
          <w:i/>
          <w:sz w:val="28"/>
        </w:rPr>
        <w:t>Такой белковый препарат представляет собой ценный продукт для пищевой промышленности и широко </w:t>
      </w:r>
      <w:r>
        <w:rPr>
          <w:i/>
          <w:spacing w:val="-3"/>
          <w:sz w:val="28"/>
        </w:rPr>
        <w:t>используется </w:t>
      </w:r>
      <w:r>
        <w:rPr>
          <w:i/>
          <w:sz w:val="28"/>
        </w:rPr>
        <w:t>при изготовлении колбас, </w:t>
      </w:r>
      <w:r>
        <w:rPr>
          <w:i/>
          <w:spacing w:val="-3"/>
          <w:sz w:val="28"/>
        </w:rPr>
        <w:t>некоторых </w:t>
      </w:r>
      <w:r>
        <w:rPr>
          <w:i/>
          <w:sz w:val="28"/>
        </w:rPr>
        <w:t>видов консерв, сыров, хлебобулочных и кондитерских </w:t>
      </w:r>
      <w:r>
        <w:rPr>
          <w:i/>
          <w:spacing w:val="-3"/>
          <w:sz w:val="28"/>
        </w:rPr>
        <w:t>изделий, </w:t>
      </w:r>
      <w:r>
        <w:rPr>
          <w:i/>
          <w:sz w:val="28"/>
        </w:rPr>
        <w:t>а также как добавки в корм сельскохозяйственных животных и птиц. </w:t>
      </w:r>
      <w:r>
        <w:rPr>
          <w:i/>
          <w:spacing w:val="-3"/>
          <w:sz w:val="28"/>
        </w:rPr>
        <w:t>Все </w:t>
      </w:r>
      <w:r>
        <w:rPr>
          <w:i/>
          <w:sz w:val="28"/>
        </w:rPr>
        <w:t>пути миграции радиоактивных </w:t>
      </w:r>
      <w:r>
        <w:rPr>
          <w:i/>
          <w:spacing w:val="-3"/>
          <w:sz w:val="28"/>
        </w:rPr>
        <w:t>веществ </w:t>
      </w:r>
      <w:r>
        <w:rPr>
          <w:i/>
          <w:sz w:val="28"/>
        </w:rPr>
        <w:t>в объектах окружающей среды и сельскохозяйственного производства ображаються на </w:t>
      </w:r>
      <w:r>
        <w:rPr>
          <w:i/>
          <w:spacing w:val="-3"/>
          <w:sz w:val="28"/>
        </w:rPr>
        <w:t>людях. Поэтому </w:t>
      </w:r>
      <w:r>
        <w:rPr>
          <w:i/>
          <w:sz w:val="28"/>
        </w:rPr>
        <w:t>основным заданием специалистов, которые осуществляют</w:t>
      </w:r>
      <w:r>
        <w:rPr>
          <w:i/>
          <w:spacing w:val="62"/>
          <w:sz w:val="28"/>
        </w:rPr>
        <w:t> </w:t>
      </w:r>
      <w:r>
        <w:rPr>
          <w:i/>
          <w:sz w:val="28"/>
        </w:rPr>
        <w:t>реализацию</w:t>
      </w:r>
    </w:p>
    <w:p>
      <w:pPr>
        <w:spacing w:after="0" w:line="240" w:lineRule="auto"/>
        <w:jc w:val="both"/>
        <w:rPr>
          <w:sz w:val="28"/>
        </w:rPr>
        <w:sectPr>
          <w:pgSz w:w="11910" w:h="16840"/>
          <w:pgMar w:header="713" w:footer="778" w:top="1140" w:bottom="960" w:left="940" w:right="520"/>
        </w:sectPr>
      </w:pPr>
    </w:p>
    <w:p>
      <w:pPr>
        <w:spacing w:line="240" w:lineRule="auto" w:before="92"/>
        <w:ind w:left="193" w:right="611" w:firstLine="0"/>
        <w:jc w:val="both"/>
        <w:rPr>
          <w:i/>
          <w:sz w:val="28"/>
        </w:rPr>
      </w:pPr>
      <w:r>
        <w:rPr>
          <w:i/>
          <w:sz w:val="28"/>
        </w:rPr>
        <w:t>широкомасштабных мероприятий относительно перехода радиоактивных </w:t>
      </w:r>
      <w:r>
        <w:rPr>
          <w:i/>
          <w:sz w:val="28"/>
        </w:rPr>
        <w:t>веществ в продукцию животноводства, которое обеспечивает чистоту продукции,</w:t>
      </w:r>
      <w:r>
        <w:rPr>
          <w:i/>
          <w:spacing w:val="-15"/>
          <w:sz w:val="28"/>
        </w:rPr>
        <w:t> </w:t>
      </w:r>
      <w:r>
        <w:rPr>
          <w:i/>
          <w:sz w:val="28"/>
        </w:rPr>
        <w:t>и</w:t>
      </w:r>
      <w:r>
        <w:rPr>
          <w:i/>
          <w:spacing w:val="-17"/>
          <w:sz w:val="28"/>
        </w:rPr>
        <w:t> </w:t>
      </w:r>
      <w:r>
        <w:rPr>
          <w:i/>
          <w:sz w:val="28"/>
        </w:rPr>
        <w:t>технологов</w:t>
      </w:r>
      <w:r>
        <w:rPr>
          <w:i/>
          <w:spacing w:val="-16"/>
          <w:sz w:val="28"/>
        </w:rPr>
        <w:t> </w:t>
      </w:r>
      <w:r>
        <w:rPr>
          <w:i/>
          <w:sz w:val="28"/>
        </w:rPr>
        <w:t>пищевой</w:t>
      </w:r>
      <w:r>
        <w:rPr>
          <w:i/>
          <w:spacing w:val="-13"/>
          <w:sz w:val="28"/>
        </w:rPr>
        <w:t> </w:t>
      </w:r>
      <w:r>
        <w:rPr>
          <w:i/>
          <w:sz w:val="28"/>
        </w:rPr>
        <w:t>промышленности,</w:t>
      </w:r>
      <w:r>
        <w:rPr>
          <w:i/>
          <w:spacing w:val="-15"/>
          <w:sz w:val="28"/>
        </w:rPr>
        <w:t> </w:t>
      </w:r>
      <w:r>
        <w:rPr>
          <w:i/>
          <w:sz w:val="28"/>
        </w:rPr>
        <w:t>которые</w:t>
      </w:r>
      <w:r>
        <w:rPr>
          <w:i/>
          <w:spacing w:val="-16"/>
          <w:sz w:val="28"/>
        </w:rPr>
        <w:t> </w:t>
      </w:r>
      <w:r>
        <w:rPr>
          <w:i/>
          <w:sz w:val="28"/>
        </w:rPr>
        <w:t>проводять</w:t>
      </w:r>
      <w:r>
        <w:rPr>
          <w:i/>
          <w:spacing w:val="-13"/>
          <w:sz w:val="28"/>
        </w:rPr>
        <w:t> </w:t>
      </w:r>
      <w:r>
        <w:rPr>
          <w:i/>
          <w:spacing w:val="-3"/>
          <w:sz w:val="28"/>
        </w:rPr>
        <w:t>вместе </w:t>
      </w:r>
      <w:r>
        <w:rPr>
          <w:i/>
          <w:sz w:val="28"/>
        </w:rPr>
        <w:t>с врачами-зоогигиенистами роботи по очистке этих видов продукции,</w:t>
      </w:r>
      <w:r>
        <w:rPr>
          <w:i/>
          <w:spacing w:val="-33"/>
          <w:sz w:val="28"/>
        </w:rPr>
        <w:t> </w:t>
      </w:r>
      <w:r>
        <w:rPr>
          <w:i/>
          <w:spacing w:val="-3"/>
          <w:sz w:val="28"/>
        </w:rPr>
        <w:t>является </w:t>
      </w:r>
      <w:r>
        <w:rPr>
          <w:i/>
          <w:sz w:val="28"/>
        </w:rPr>
        <w:t>приостановление</w:t>
      </w:r>
      <w:r>
        <w:rPr>
          <w:i/>
          <w:spacing w:val="-21"/>
          <w:sz w:val="28"/>
        </w:rPr>
        <w:t> </w:t>
      </w:r>
      <w:r>
        <w:rPr>
          <w:i/>
          <w:sz w:val="28"/>
        </w:rPr>
        <w:t>этих</w:t>
      </w:r>
      <w:r>
        <w:rPr>
          <w:i/>
          <w:spacing w:val="-25"/>
          <w:sz w:val="28"/>
        </w:rPr>
        <w:t> </w:t>
      </w:r>
      <w:r>
        <w:rPr>
          <w:i/>
          <w:sz w:val="28"/>
        </w:rPr>
        <w:t>путей.</w:t>
      </w:r>
      <w:r>
        <w:rPr>
          <w:i/>
          <w:spacing w:val="-20"/>
          <w:sz w:val="28"/>
        </w:rPr>
        <w:t> </w:t>
      </w:r>
      <w:r>
        <w:rPr>
          <w:i/>
          <w:sz w:val="28"/>
        </w:rPr>
        <w:t>Исследования</w:t>
      </w:r>
      <w:r>
        <w:rPr>
          <w:i/>
          <w:spacing w:val="-21"/>
          <w:sz w:val="28"/>
        </w:rPr>
        <w:t> </w:t>
      </w:r>
      <w:r>
        <w:rPr>
          <w:i/>
          <w:sz w:val="28"/>
        </w:rPr>
        <w:t>свидетельствуют,</w:t>
      </w:r>
      <w:r>
        <w:rPr>
          <w:i/>
          <w:spacing w:val="-21"/>
          <w:sz w:val="28"/>
        </w:rPr>
        <w:t> </w:t>
      </w:r>
      <w:r>
        <w:rPr>
          <w:i/>
          <w:sz w:val="28"/>
        </w:rPr>
        <w:t>что</w:t>
      </w:r>
      <w:r>
        <w:rPr>
          <w:i/>
          <w:spacing w:val="-21"/>
          <w:sz w:val="28"/>
        </w:rPr>
        <w:t> </w:t>
      </w:r>
      <w:r>
        <w:rPr>
          <w:i/>
          <w:sz w:val="28"/>
        </w:rPr>
        <w:t>чем</w:t>
      </w:r>
      <w:r>
        <w:rPr>
          <w:i/>
          <w:spacing w:val="-25"/>
          <w:sz w:val="28"/>
        </w:rPr>
        <w:t> </w:t>
      </w:r>
      <w:r>
        <w:rPr>
          <w:i/>
          <w:sz w:val="28"/>
        </w:rPr>
        <w:t>на</w:t>
      </w:r>
      <w:r>
        <w:rPr>
          <w:i/>
          <w:spacing w:val="-22"/>
          <w:sz w:val="28"/>
        </w:rPr>
        <w:t> </w:t>
      </w:r>
      <w:r>
        <w:rPr>
          <w:i/>
          <w:sz w:val="28"/>
        </w:rPr>
        <w:t>более раннем этапе это задание </w:t>
      </w:r>
      <w:r>
        <w:rPr>
          <w:i/>
          <w:spacing w:val="-3"/>
          <w:sz w:val="28"/>
        </w:rPr>
        <w:t>будет </w:t>
      </w:r>
      <w:r>
        <w:rPr>
          <w:i/>
          <w:sz w:val="28"/>
        </w:rPr>
        <w:t>решено, тем более эффективной выявится защита человека </w:t>
      </w:r>
      <w:r>
        <w:rPr>
          <w:i/>
          <w:spacing w:val="-3"/>
          <w:sz w:val="28"/>
        </w:rPr>
        <w:t>от </w:t>
      </w:r>
      <w:r>
        <w:rPr>
          <w:i/>
          <w:sz w:val="28"/>
        </w:rPr>
        <w:t>недоброкачественной</w:t>
      </w:r>
      <w:r>
        <w:rPr>
          <w:i/>
          <w:spacing w:val="-24"/>
          <w:sz w:val="28"/>
        </w:rPr>
        <w:t> </w:t>
      </w:r>
      <w:r>
        <w:rPr>
          <w:i/>
          <w:sz w:val="28"/>
        </w:rPr>
        <w:t>продукции.</w:t>
      </w:r>
    </w:p>
    <w:p>
      <w:pPr>
        <w:spacing w:before="2"/>
        <w:ind w:left="193" w:right="606" w:firstLine="710"/>
        <w:jc w:val="both"/>
        <w:rPr>
          <w:i/>
          <w:sz w:val="28"/>
        </w:rPr>
      </w:pPr>
      <w:r>
        <w:rPr>
          <w:b/>
          <w:i/>
          <w:sz w:val="28"/>
        </w:rPr>
        <w:t>Ключевые слова: </w:t>
      </w:r>
      <w:r>
        <w:rPr>
          <w:i/>
          <w:sz w:val="28"/>
        </w:rPr>
        <w:t>радионуклиді, дезактивация продукта, компартменти, </w:t>
      </w:r>
      <w:r>
        <w:rPr>
          <w:i/>
          <w:sz w:val="28"/>
        </w:rPr>
        <w:t>метаболизм,электродиализный метод, детритный цикл, мутабильность, продуктивность животных.</w:t>
      </w:r>
    </w:p>
    <w:p>
      <w:pPr>
        <w:pStyle w:val="BodyText"/>
        <w:spacing w:before="4"/>
        <w:ind w:left="0"/>
        <w:jc w:val="left"/>
        <w:rPr>
          <w:i/>
        </w:rPr>
      </w:pPr>
    </w:p>
    <w:p>
      <w:pPr>
        <w:pStyle w:val="Heading1"/>
        <w:spacing w:line="322" w:lineRule="exact"/>
        <w:ind w:left="889"/>
      </w:pPr>
      <w:r>
        <w:rPr/>
        <w:t>BIОTECHNOLOGY FROM THE WORLD «GREEN» PRODUCTION</w:t>
      </w:r>
    </w:p>
    <w:p>
      <w:pPr>
        <w:spacing w:line="319" w:lineRule="exact" w:before="0"/>
        <w:ind w:left="190" w:right="603" w:firstLine="0"/>
        <w:jc w:val="center"/>
        <w:rPr>
          <w:b/>
          <w:sz w:val="28"/>
        </w:rPr>
      </w:pPr>
      <w:r>
        <w:rPr>
          <w:b/>
          <w:sz w:val="28"/>
        </w:rPr>
        <w:t>OF THE ANIMAL</w:t>
      </w:r>
    </w:p>
    <w:p>
      <w:pPr>
        <w:pStyle w:val="BodyText"/>
        <w:spacing w:line="319" w:lineRule="exact"/>
        <w:ind w:left="4658"/>
      </w:pPr>
      <w:r>
        <w:rPr/>
        <w:t>Shalimov N.</w:t>
      </w:r>
    </w:p>
    <w:p>
      <w:pPr>
        <w:spacing w:line="240" w:lineRule="auto" w:before="0"/>
        <w:ind w:left="193" w:right="606" w:firstLine="710"/>
        <w:jc w:val="both"/>
        <w:rPr>
          <w:i/>
          <w:sz w:val="28"/>
        </w:rPr>
      </w:pPr>
      <w:r>
        <w:rPr>
          <w:i/>
          <w:sz w:val="28"/>
        </w:rPr>
        <w:t>Article contains information on individual ways to prevent the inflow and </w:t>
      </w:r>
      <w:r>
        <w:rPr>
          <w:i/>
          <w:sz w:val="28"/>
        </w:rPr>
        <w:t>accumulation of radioactive substances into the body of farm animals. Measures may be ineffective, so the substances in the products obtained may exceed acceptable standards. However, such products should not be stywed. In special technological processing,</w:t>
      </w:r>
      <w:r>
        <w:rPr>
          <w:i/>
          <w:spacing w:val="-15"/>
          <w:sz w:val="28"/>
        </w:rPr>
        <w:t> </w:t>
      </w:r>
      <w:r>
        <w:rPr>
          <w:i/>
          <w:sz w:val="28"/>
        </w:rPr>
        <w:t>products</w:t>
      </w:r>
      <w:r>
        <w:rPr>
          <w:i/>
          <w:spacing w:val="-20"/>
          <w:sz w:val="28"/>
        </w:rPr>
        <w:t> </w:t>
      </w:r>
      <w:r>
        <w:rPr>
          <w:i/>
          <w:sz w:val="28"/>
        </w:rPr>
        <w:t>are</w:t>
      </w:r>
      <w:r>
        <w:rPr>
          <w:i/>
          <w:spacing w:val="-16"/>
          <w:sz w:val="28"/>
        </w:rPr>
        <w:t> </w:t>
      </w:r>
      <w:r>
        <w:rPr>
          <w:i/>
          <w:sz w:val="28"/>
        </w:rPr>
        <w:t>distributed</w:t>
      </w:r>
      <w:r>
        <w:rPr>
          <w:i/>
          <w:spacing w:val="-17"/>
          <w:sz w:val="28"/>
        </w:rPr>
        <w:t> </w:t>
      </w:r>
      <w:r>
        <w:rPr>
          <w:i/>
          <w:sz w:val="28"/>
        </w:rPr>
        <w:t>to</w:t>
      </w:r>
      <w:r>
        <w:rPr>
          <w:i/>
          <w:spacing w:val="-17"/>
          <w:sz w:val="28"/>
        </w:rPr>
        <w:t> </w:t>
      </w:r>
      <w:r>
        <w:rPr>
          <w:i/>
          <w:sz w:val="28"/>
        </w:rPr>
        <w:t>individual</w:t>
      </w:r>
      <w:r>
        <w:rPr>
          <w:i/>
          <w:spacing w:val="-17"/>
          <w:sz w:val="28"/>
        </w:rPr>
        <w:t> </w:t>
      </w:r>
      <w:r>
        <w:rPr>
          <w:i/>
          <w:sz w:val="28"/>
        </w:rPr>
        <w:t>components.</w:t>
      </w:r>
      <w:r>
        <w:rPr>
          <w:i/>
          <w:spacing w:val="-8"/>
          <w:sz w:val="28"/>
        </w:rPr>
        <w:t> </w:t>
      </w:r>
      <w:r>
        <w:rPr>
          <w:i/>
          <w:sz w:val="28"/>
        </w:rPr>
        <w:t>.</w:t>
      </w:r>
      <w:r>
        <w:rPr>
          <w:i/>
          <w:spacing w:val="-15"/>
          <w:sz w:val="28"/>
        </w:rPr>
        <w:t> </w:t>
      </w:r>
      <w:r>
        <w:rPr>
          <w:i/>
          <w:sz w:val="28"/>
        </w:rPr>
        <w:t>At</w:t>
      </w:r>
      <w:r>
        <w:rPr>
          <w:i/>
          <w:spacing w:val="-17"/>
          <w:sz w:val="28"/>
        </w:rPr>
        <w:t> </w:t>
      </w:r>
      <w:r>
        <w:rPr>
          <w:i/>
          <w:sz w:val="28"/>
        </w:rPr>
        <w:t>the</w:t>
      </w:r>
      <w:r>
        <w:rPr>
          <w:i/>
          <w:spacing w:val="-16"/>
          <w:sz w:val="28"/>
        </w:rPr>
        <w:t> </w:t>
      </w:r>
      <w:r>
        <w:rPr>
          <w:i/>
          <w:sz w:val="28"/>
        </w:rPr>
        <w:t>same</w:t>
      </w:r>
      <w:r>
        <w:rPr>
          <w:i/>
          <w:spacing w:val="-15"/>
          <w:sz w:val="28"/>
        </w:rPr>
        <w:t> </w:t>
      </w:r>
      <w:r>
        <w:rPr>
          <w:i/>
          <w:sz w:val="28"/>
        </w:rPr>
        <w:t>time,</w:t>
      </w:r>
      <w:r>
        <w:rPr>
          <w:i/>
          <w:spacing w:val="-18"/>
          <w:sz w:val="28"/>
        </w:rPr>
        <w:t> </w:t>
      </w:r>
      <w:r>
        <w:rPr>
          <w:i/>
          <w:sz w:val="28"/>
        </w:rPr>
        <w:t>some of the radioactive substances may be in one of the components of the product. The product can be revealed not the main, but a by-product of processing. The use of four technological priyoms of processing with a change of solution allows to reduce the content of I37Cs by 63-99 %.Contaminated with radioactive substances, not suitable for feeding mammals vegetative mass of plants can be used </w:t>
      </w:r>
      <w:r>
        <w:rPr>
          <w:i/>
          <w:spacing w:val="3"/>
          <w:sz w:val="28"/>
        </w:rPr>
        <w:t>for </w:t>
      </w:r>
      <w:r>
        <w:rPr>
          <w:i/>
          <w:sz w:val="28"/>
        </w:rPr>
        <w:t>direct receipt of food and feed protein. The latest biotechnology is widely used in foreign countries, and in Ukraine is being introduced, allowing the release of protein directly from the green mass</w:t>
      </w:r>
      <w:r>
        <w:rPr>
          <w:i/>
          <w:spacing w:val="-11"/>
          <w:sz w:val="28"/>
        </w:rPr>
        <w:t> </w:t>
      </w:r>
      <w:r>
        <w:rPr>
          <w:i/>
          <w:sz w:val="28"/>
        </w:rPr>
        <w:t>of</w:t>
      </w:r>
      <w:r>
        <w:rPr>
          <w:i/>
          <w:spacing w:val="-17"/>
          <w:sz w:val="28"/>
        </w:rPr>
        <w:t> </w:t>
      </w:r>
      <w:r>
        <w:rPr>
          <w:i/>
          <w:sz w:val="28"/>
        </w:rPr>
        <w:t>stenums</w:t>
      </w:r>
      <w:r>
        <w:rPr>
          <w:i/>
          <w:spacing w:val="-15"/>
          <w:sz w:val="28"/>
        </w:rPr>
        <w:t> </w:t>
      </w:r>
      <w:r>
        <w:rPr>
          <w:i/>
          <w:sz w:val="28"/>
        </w:rPr>
        <w:t>by</w:t>
      </w:r>
      <w:r>
        <w:rPr>
          <w:i/>
          <w:spacing w:val="-11"/>
          <w:sz w:val="28"/>
        </w:rPr>
        <w:t> </w:t>
      </w:r>
      <w:r>
        <w:rPr>
          <w:i/>
          <w:sz w:val="28"/>
        </w:rPr>
        <w:t>pressing</w:t>
      </w:r>
      <w:r>
        <w:rPr>
          <w:i/>
          <w:spacing w:val="-17"/>
          <w:sz w:val="28"/>
        </w:rPr>
        <w:t> </w:t>
      </w:r>
      <w:r>
        <w:rPr>
          <w:i/>
          <w:sz w:val="28"/>
        </w:rPr>
        <w:t>the</w:t>
      </w:r>
      <w:r>
        <w:rPr>
          <w:i/>
          <w:spacing w:val="-12"/>
          <w:sz w:val="28"/>
        </w:rPr>
        <w:t> </w:t>
      </w:r>
      <w:r>
        <w:rPr>
          <w:i/>
          <w:sz w:val="28"/>
        </w:rPr>
        <w:t>cell</w:t>
      </w:r>
      <w:r>
        <w:rPr>
          <w:i/>
          <w:spacing w:val="-13"/>
          <w:sz w:val="28"/>
        </w:rPr>
        <w:t> </w:t>
      </w:r>
      <w:r>
        <w:rPr>
          <w:i/>
          <w:sz w:val="28"/>
        </w:rPr>
        <w:t>juice</w:t>
      </w:r>
      <w:r>
        <w:rPr>
          <w:i/>
          <w:spacing w:val="-16"/>
          <w:sz w:val="28"/>
        </w:rPr>
        <w:t> </w:t>
      </w:r>
      <w:r>
        <w:rPr>
          <w:i/>
          <w:sz w:val="28"/>
        </w:rPr>
        <w:t>with</w:t>
      </w:r>
      <w:r>
        <w:rPr>
          <w:i/>
          <w:spacing w:val="-13"/>
          <w:sz w:val="28"/>
        </w:rPr>
        <w:t> </w:t>
      </w:r>
      <w:r>
        <w:rPr>
          <w:i/>
          <w:sz w:val="28"/>
        </w:rPr>
        <w:t>further</w:t>
      </w:r>
      <w:r>
        <w:rPr>
          <w:i/>
          <w:spacing w:val="-10"/>
          <w:sz w:val="28"/>
        </w:rPr>
        <w:t> </w:t>
      </w:r>
      <w:r>
        <w:rPr>
          <w:i/>
          <w:sz w:val="28"/>
        </w:rPr>
        <w:t>coagulation</w:t>
      </w:r>
      <w:r>
        <w:rPr>
          <w:i/>
          <w:spacing w:val="-13"/>
          <w:sz w:val="28"/>
        </w:rPr>
        <w:t> </w:t>
      </w:r>
      <w:r>
        <w:rPr>
          <w:i/>
          <w:sz w:val="28"/>
        </w:rPr>
        <w:t>from</w:t>
      </w:r>
      <w:r>
        <w:rPr>
          <w:i/>
          <w:spacing w:val="-12"/>
          <w:sz w:val="28"/>
        </w:rPr>
        <w:t> </w:t>
      </w:r>
      <w:r>
        <w:rPr>
          <w:i/>
          <w:sz w:val="28"/>
        </w:rPr>
        <w:t>the</w:t>
      </w:r>
      <w:r>
        <w:rPr>
          <w:i/>
          <w:spacing w:val="-16"/>
          <w:sz w:val="28"/>
        </w:rPr>
        <w:t> </w:t>
      </w:r>
      <w:r>
        <w:rPr>
          <w:i/>
          <w:sz w:val="28"/>
        </w:rPr>
        <w:t>non-agility of a special technology of pure protein, which contains less radioactive substances than the plants used. This protein is a valuable product for the food industry and is widely used in the manufacture of sausages, certain types of canned food, cheeses, bakery</w:t>
      </w:r>
      <w:r>
        <w:rPr>
          <w:i/>
          <w:spacing w:val="-10"/>
          <w:sz w:val="28"/>
        </w:rPr>
        <w:t> </w:t>
      </w:r>
      <w:r>
        <w:rPr>
          <w:i/>
          <w:sz w:val="28"/>
        </w:rPr>
        <w:t>and</w:t>
      </w:r>
      <w:r>
        <w:rPr>
          <w:i/>
          <w:spacing w:val="-11"/>
          <w:sz w:val="28"/>
        </w:rPr>
        <w:t> </w:t>
      </w:r>
      <w:r>
        <w:rPr>
          <w:i/>
          <w:sz w:val="28"/>
        </w:rPr>
        <w:t>confectionery</w:t>
      </w:r>
      <w:r>
        <w:rPr>
          <w:i/>
          <w:spacing w:val="-15"/>
          <w:sz w:val="28"/>
        </w:rPr>
        <w:t> </w:t>
      </w:r>
      <w:r>
        <w:rPr>
          <w:i/>
          <w:sz w:val="28"/>
        </w:rPr>
        <w:t>products,</w:t>
      </w:r>
      <w:r>
        <w:rPr>
          <w:i/>
          <w:spacing w:val="-9"/>
          <w:sz w:val="28"/>
        </w:rPr>
        <w:t> </w:t>
      </w:r>
      <w:r>
        <w:rPr>
          <w:i/>
          <w:spacing w:val="-3"/>
          <w:sz w:val="28"/>
        </w:rPr>
        <w:t>as</w:t>
      </w:r>
      <w:r>
        <w:rPr>
          <w:i/>
          <w:spacing w:val="-9"/>
          <w:sz w:val="28"/>
        </w:rPr>
        <w:t> </w:t>
      </w:r>
      <w:r>
        <w:rPr>
          <w:i/>
          <w:spacing w:val="-3"/>
          <w:sz w:val="28"/>
        </w:rPr>
        <w:t>well</w:t>
      </w:r>
      <w:r>
        <w:rPr>
          <w:i/>
          <w:spacing w:val="-12"/>
          <w:sz w:val="28"/>
        </w:rPr>
        <w:t> </w:t>
      </w:r>
      <w:r>
        <w:rPr>
          <w:i/>
          <w:sz w:val="28"/>
        </w:rPr>
        <w:t>as</w:t>
      </w:r>
      <w:r>
        <w:rPr>
          <w:i/>
          <w:spacing w:val="-9"/>
          <w:sz w:val="28"/>
        </w:rPr>
        <w:t> </w:t>
      </w:r>
      <w:r>
        <w:rPr>
          <w:i/>
          <w:sz w:val="28"/>
        </w:rPr>
        <w:t>additives</w:t>
      </w:r>
      <w:r>
        <w:rPr>
          <w:i/>
          <w:spacing w:val="-9"/>
          <w:sz w:val="28"/>
        </w:rPr>
        <w:t> </w:t>
      </w:r>
      <w:r>
        <w:rPr>
          <w:i/>
          <w:sz w:val="28"/>
        </w:rPr>
        <w:t>in</w:t>
      </w:r>
      <w:r>
        <w:rPr>
          <w:i/>
          <w:spacing w:val="-12"/>
          <w:sz w:val="28"/>
        </w:rPr>
        <w:t> </w:t>
      </w:r>
      <w:r>
        <w:rPr>
          <w:i/>
          <w:sz w:val="28"/>
        </w:rPr>
        <w:t>the</w:t>
      </w:r>
      <w:r>
        <w:rPr>
          <w:i/>
          <w:spacing w:val="-15"/>
          <w:sz w:val="28"/>
        </w:rPr>
        <w:t> </w:t>
      </w:r>
      <w:r>
        <w:rPr>
          <w:i/>
          <w:sz w:val="28"/>
        </w:rPr>
        <w:t>feed</w:t>
      </w:r>
      <w:r>
        <w:rPr>
          <w:i/>
          <w:spacing w:val="-11"/>
          <w:sz w:val="28"/>
        </w:rPr>
        <w:t> </w:t>
      </w:r>
      <w:r>
        <w:rPr>
          <w:i/>
          <w:sz w:val="28"/>
        </w:rPr>
        <w:t>of</w:t>
      </w:r>
      <w:r>
        <w:rPr>
          <w:i/>
          <w:spacing w:val="-16"/>
          <w:sz w:val="28"/>
        </w:rPr>
        <w:t> </w:t>
      </w:r>
      <w:r>
        <w:rPr>
          <w:i/>
          <w:sz w:val="28"/>
        </w:rPr>
        <w:t>farm</w:t>
      </w:r>
      <w:r>
        <w:rPr>
          <w:i/>
          <w:spacing w:val="-10"/>
          <w:sz w:val="28"/>
        </w:rPr>
        <w:t> </w:t>
      </w:r>
      <w:r>
        <w:rPr>
          <w:i/>
          <w:sz w:val="28"/>
        </w:rPr>
        <w:t>animals</w:t>
      </w:r>
      <w:r>
        <w:rPr>
          <w:i/>
          <w:spacing w:val="-10"/>
          <w:sz w:val="28"/>
        </w:rPr>
        <w:t> </w:t>
      </w:r>
      <w:r>
        <w:rPr>
          <w:i/>
          <w:sz w:val="28"/>
        </w:rPr>
        <w:t>and birds. All the migration routes of radioactive substances in the objects of the environment and agricultural production are affected by people. Therefore, the main task of specialists </w:t>
      </w:r>
      <w:r>
        <w:rPr>
          <w:i/>
          <w:spacing w:val="-3"/>
          <w:sz w:val="28"/>
        </w:rPr>
        <w:t>who </w:t>
      </w:r>
      <w:r>
        <w:rPr>
          <w:i/>
          <w:sz w:val="28"/>
        </w:rPr>
        <w:t>carry out large-scale measures on the transfer of radioactive substances into livestock products, which ensures the purity of products, and food industry technologists, </w:t>
      </w:r>
      <w:r>
        <w:rPr>
          <w:i/>
          <w:spacing w:val="-3"/>
          <w:sz w:val="28"/>
        </w:rPr>
        <w:t>who </w:t>
      </w:r>
      <w:r>
        <w:rPr>
          <w:i/>
          <w:sz w:val="28"/>
        </w:rPr>
        <w:t>conduct robots together </w:t>
      </w:r>
      <w:r>
        <w:rPr>
          <w:i/>
          <w:spacing w:val="-3"/>
          <w:sz w:val="28"/>
        </w:rPr>
        <w:t>with </w:t>
      </w:r>
      <w:r>
        <w:rPr>
          <w:i/>
          <w:sz w:val="28"/>
        </w:rPr>
        <w:t>zoohygieneers to clean these types of products, is to suspend these pathways. Studies show that the earlier this task is decided, the more effective will be the protection of a person from substandard products.</w:t>
      </w:r>
    </w:p>
    <w:p>
      <w:pPr>
        <w:spacing w:before="3"/>
        <w:ind w:left="193" w:right="607" w:firstLine="710"/>
        <w:jc w:val="both"/>
        <w:rPr>
          <w:i/>
          <w:sz w:val="28"/>
        </w:rPr>
      </w:pPr>
      <w:r>
        <w:rPr>
          <w:b/>
          <w:i/>
          <w:sz w:val="28"/>
        </w:rPr>
        <w:t>Key words: </w:t>
      </w:r>
      <w:r>
        <w:rPr>
          <w:i/>
          <w:sz w:val="28"/>
        </w:rPr>
        <w:t>radonukly, deactivating product, parts, metabolics, electrodealz </w:t>
      </w:r>
      <w:r>
        <w:rPr>
          <w:i/>
          <w:sz w:val="28"/>
        </w:rPr>
        <w:t>method, detritus cycle, mutabality, production of the animals.</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right="0"/>
        <w:jc w:val="left"/>
      </w:pPr>
      <w:r>
        <w:rPr/>
        <w:t>УДК</w:t>
      </w:r>
      <w:r>
        <w:rPr>
          <w:spacing w:val="-3"/>
        </w:rPr>
        <w:t> </w:t>
      </w:r>
      <w:r>
        <w:rPr/>
        <w:t>614:636.084.</w:t>
        <w:tab/>
        <w:t>DOI:</w:t>
      </w:r>
      <w:r>
        <w:rPr>
          <w:spacing w:val="-1"/>
        </w:rPr>
        <w:t> </w:t>
      </w:r>
      <w:r>
        <w:rPr/>
        <w:t>10.37000/abbsl.2020.96.09</w:t>
      </w:r>
    </w:p>
    <w:p>
      <w:pPr>
        <w:pStyle w:val="BodyText"/>
        <w:spacing w:before="11"/>
        <w:ind w:left="0"/>
        <w:jc w:val="left"/>
        <w:rPr>
          <w:b/>
          <w:sz w:val="27"/>
        </w:rPr>
      </w:pPr>
    </w:p>
    <w:p>
      <w:pPr>
        <w:spacing w:line="322" w:lineRule="exact" w:before="0"/>
        <w:ind w:left="737" w:right="603" w:firstLine="0"/>
        <w:jc w:val="center"/>
        <w:rPr>
          <w:b/>
          <w:sz w:val="28"/>
        </w:rPr>
      </w:pPr>
      <w:r>
        <w:rPr>
          <w:b/>
          <w:sz w:val="28"/>
        </w:rPr>
        <w:t>СУЧАСНІ ПРОБЛЕМИ ЯКОСТІ ТА БЕЗПЕЧНОСТІ МЕДУ</w:t>
      </w:r>
    </w:p>
    <w:p>
      <w:pPr>
        <w:spacing w:line="320" w:lineRule="exact" w:before="0"/>
        <w:ind w:left="184" w:right="603" w:firstLine="0"/>
        <w:jc w:val="center"/>
        <w:rPr>
          <w:b/>
          <w:sz w:val="28"/>
        </w:rPr>
      </w:pPr>
      <w:r>
        <w:rPr>
          <w:b/>
          <w:sz w:val="28"/>
        </w:rPr>
        <w:t>НАТУРАЛЬНОГО</w:t>
      </w:r>
    </w:p>
    <w:p>
      <w:pPr>
        <w:spacing w:line="320" w:lineRule="exact" w:before="0"/>
        <w:ind w:left="752" w:right="603" w:firstLine="0"/>
        <w:jc w:val="center"/>
        <w:rPr>
          <w:b/>
          <w:sz w:val="28"/>
        </w:rPr>
      </w:pPr>
      <w:r>
        <w:rPr>
          <w:b/>
          <w:sz w:val="28"/>
        </w:rPr>
        <w:t>К. Хамід</w:t>
      </w:r>
      <w:r>
        <w:rPr>
          <w:sz w:val="28"/>
        </w:rPr>
        <w:t>, </w:t>
      </w:r>
      <w:r>
        <w:rPr>
          <w:b/>
          <w:sz w:val="28"/>
        </w:rPr>
        <w:t>Т. Пушкар, Є. Гурко</w:t>
      </w:r>
    </w:p>
    <w:p>
      <w:pPr>
        <w:spacing w:before="5"/>
        <w:ind w:left="745" w:right="603" w:firstLine="0"/>
        <w:jc w:val="center"/>
        <w:rPr>
          <w:i/>
          <w:sz w:val="28"/>
        </w:rPr>
      </w:pPr>
      <w:r>
        <w:rPr>
          <w:i/>
          <w:sz w:val="28"/>
        </w:rPr>
        <w:t>Одеський державний аграрний університет</w:t>
      </w:r>
    </w:p>
    <w:p>
      <w:pPr>
        <w:pStyle w:val="BodyText"/>
        <w:spacing w:before="10"/>
        <w:ind w:left="0"/>
        <w:jc w:val="left"/>
        <w:rPr>
          <w:i/>
          <w:sz w:val="27"/>
        </w:rPr>
      </w:pPr>
    </w:p>
    <w:p>
      <w:pPr>
        <w:spacing w:before="0"/>
        <w:ind w:left="193" w:right="615" w:firstLine="710"/>
        <w:jc w:val="both"/>
        <w:rPr>
          <w:i/>
          <w:sz w:val="28"/>
        </w:rPr>
      </w:pPr>
      <w:r>
        <w:rPr>
          <w:i/>
          <w:sz w:val="28"/>
        </w:rPr>
        <w:t>На сьогоднішній день, забезпечення населення високоякісними та </w:t>
      </w:r>
      <w:r>
        <w:rPr>
          <w:i/>
          <w:sz w:val="28"/>
        </w:rPr>
        <w:t>безпечними харчовими продуктами є одним з головних завдань виробників харчової продукції. Проведення аналізу, спрямованого на підвищення ефективності для можливості подальшого удосконалення системи оцінювання якості меду натурального, було метою нашого дослідження. Встановлено, що однією з основних перешкод збільшення експорту меду є розрізненість українських виробників меду і медової продукції. Для забезпечення якості та безпеки продукції бджільництва необхідно здійснювати на всіх рівнях. Визначити безпечність і якість меду та його відповідність Держстандарту України, можливо завдяки лабораторних досліджень.</w:t>
      </w:r>
    </w:p>
    <w:p>
      <w:pPr>
        <w:spacing w:line="319" w:lineRule="exact" w:before="0"/>
        <w:ind w:left="903" w:right="0" w:firstLine="0"/>
        <w:jc w:val="both"/>
        <w:rPr>
          <w:i/>
          <w:sz w:val="28"/>
        </w:rPr>
      </w:pPr>
      <w:r>
        <w:rPr>
          <w:b/>
          <w:i/>
          <w:sz w:val="28"/>
        </w:rPr>
        <w:t>Ключові слова</w:t>
      </w:r>
      <w:r>
        <w:rPr>
          <w:i/>
          <w:sz w:val="28"/>
        </w:rPr>
        <w:t>: мед, якість, безпечність, вимоги, фальсифікація.</w:t>
      </w:r>
    </w:p>
    <w:p>
      <w:pPr>
        <w:pStyle w:val="BodyText"/>
        <w:spacing w:before="4"/>
        <w:ind w:left="0"/>
        <w:jc w:val="left"/>
        <w:rPr>
          <w:i/>
        </w:rPr>
      </w:pPr>
    </w:p>
    <w:p>
      <w:pPr>
        <w:pStyle w:val="BodyText"/>
        <w:ind w:right="612" w:firstLine="710"/>
      </w:pPr>
      <w:r>
        <w:rPr>
          <w:b/>
        </w:rPr>
        <w:t>Вступ. </w:t>
      </w:r>
      <w:r>
        <w:rPr/>
        <w:t>Однією з найважливіших складових національної безпеки держави є забезпечення населення високоякісними та безпечними харчовими продуктами. </w:t>
      </w:r>
      <w:r>
        <w:rPr>
          <w:spacing w:val="-3"/>
        </w:rPr>
        <w:t>На </w:t>
      </w:r>
      <w:r>
        <w:rPr/>
        <w:t>сьогодні це є одним з головних завдань виробників харчової продукції,</w:t>
      </w:r>
      <w:r>
        <w:rPr>
          <w:spacing w:val="-12"/>
        </w:rPr>
        <w:t> </w:t>
      </w:r>
      <w:r>
        <w:rPr/>
        <w:t>підприємств</w:t>
      </w:r>
      <w:r>
        <w:rPr>
          <w:spacing w:val="-16"/>
        </w:rPr>
        <w:t> </w:t>
      </w:r>
      <w:r>
        <w:rPr/>
        <w:t>торговельної</w:t>
      </w:r>
      <w:r>
        <w:rPr>
          <w:spacing w:val="-18"/>
        </w:rPr>
        <w:t> </w:t>
      </w:r>
      <w:r>
        <w:rPr/>
        <w:t>мережі,</w:t>
      </w:r>
      <w:r>
        <w:rPr>
          <w:spacing w:val="-12"/>
        </w:rPr>
        <w:t> </w:t>
      </w:r>
      <w:r>
        <w:rPr/>
        <w:t>спеціалістів</w:t>
      </w:r>
      <w:r>
        <w:rPr>
          <w:spacing w:val="-17"/>
        </w:rPr>
        <w:t> </w:t>
      </w:r>
      <w:r>
        <w:rPr/>
        <w:t>в</w:t>
      </w:r>
      <w:r>
        <w:rPr>
          <w:spacing w:val="-15"/>
        </w:rPr>
        <w:t> </w:t>
      </w:r>
      <w:r>
        <w:rPr/>
        <w:t>галузі</w:t>
      </w:r>
      <w:r>
        <w:rPr>
          <w:spacing w:val="-19"/>
        </w:rPr>
        <w:t> </w:t>
      </w:r>
      <w:r>
        <w:rPr/>
        <w:t>науки</w:t>
      </w:r>
      <w:r>
        <w:rPr>
          <w:spacing w:val="-9"/>
        </w:rPr>
        <w:t> </w:t>
      </w:r>
      <w:r>
        <w:rPr/>
        <w:t>і</w:t>
      </w:r>
      <w:r>
        <w:rPr>
          <w:spacing w:val="-18"/>
        </w:rPr>
        <w:t> </w:t>
      </w:r>
      <w:r>
        <w:rPr/>
        <w:t>техніки й держави в цілому. Погіршення екологічних і кліматичних умов у світі, порушення технологій вирощування сировини як рослинного, так і тваринного походження (безконтрольне внесення мінеральних добрив, використання гормонів та антибіотиків, генетично модифікованих організмів) та технологічних процесів виробництва харчових продуктів створюють небезпеку зниження їх якості, а також забруднення шкідливими речовинами хімічного та біологічного походження: важкими металами, пестицидами, радіонуклідами, забороненими харчовими добавками, патогенними мікроорганізмами та мікроскопічними грибами тощо. Системи для управління безпечністю харчових продуктів застосовують майже в усьому світі як надійний захист споживачів від небезпек, які можуть супроводжувати харчову продукцію. Цього вимагає і Закони України «Про безпечність та якість харчових продуктів». Безпечний харчовий продукт – харчовий продукт, який не справляє шкідливого впливу на здоров’я людини та є придатним для споживання. Нині споживач вважає природним, що продукти харчування мають бути безпечними та якісними, незалежно від їхньої ціни. 92% споживачів хвилює безпека харчових продуктів. Вимоги</w:t>
      </w:r>
      <w:r>
        <w:rPr>
          <w:spacing w:val="-14"/>
        </w:rPr>
        <w:t> </w:t>
      </w:r>
      <w:r>
        <w:rPr/>
        <w:t>до</w:t>
      </w:r>
      <w:r>
        <w:rPr>
          <w:spacing w:val="-13"/>
        </w:rPr>
        <w:t> </w:t>
      </w:r>
      <w:r>
        <w:rPr/>
        <w:t>харчової</w:t>
      </w:r>
      <w:r>
        <w:rPr>
          <w:spacing w:val="-18"/>
        </w:rPr>
        <w:t> </w:t>
      </w:r>
      <w:r>
        <w:rPr/>
        <w:t>продукції,</w:t>
      </w:r>
      <w:r>
        <w:rPr>
          <w:spacing w:val="-11"/>
        </w:rPr>
        <w:t> </w:t>
      </w:r>
      <w:r>
        <w:rPr/>
        <w:t>в</w:t>
      </w:r>
      <w:r>
        <w:rPr>
          <w:spacing w:val="-15"/>
        </w:rPr>
        <w:t> </w:t>
      </w:r>
      <w:r>
        <w:rPr/>
        <w:t>тому</w:t>
      </w:r>
      <w:r>
        <w:rPr>
          <w:spacing w:val="-18"/>
        </w:rPr>
        <w:t> </w:t>
      </w:r>
      <w:r>
        <w:rPr/>
        <w:t>числі</w:t>
      </w:r>
      <w:r>
        <w:rPr>
          <w:spacing w:val="-17"/>
        </w:rPr>
        <w:t> </w:t>
      </w:r>
      <w:r>
        <w:rPr/>
        <w:t>меду,</w:t>
      </w:r>
      <w:r>
        <w:rPr>
          <w:spacing w:val="-12"/>
        </w:rPr>
        <w:t> </w:t>
      </w:r>
      <w:r>
        <w:rPr/>
        <w:t>встановлюються</w:t>
      </w:r>
      <w:r>
        <w:rPr>
          <w:spacing w:val="-12"/>
        </w:rPr>
        <w:t> </w:t>
      </w:r>
      <w:r>
        <w:rPr/>
        <w:t>законом</w:t>
      </w:r>
      <w:r>
        <w:rPr>
          <w:spacing w:val="-12"/>
        </w:rPr>
        <w:t> </w:t>
      </w:r>
      <w:r>
        <w:rPr/>
        <w:t>«Про основні засади та вимоги до безпеки і якості харчових продуктів», а також наказом Мінагрополітики від 8 серпня 2012 р. № 491 «Про затвердження Ветеринарно-санітарних вимог для потужностей (об’єктів) з виробництва продуктів</w:t>
      </w:r>
      <w:r>
        <w:rPr>
          <w:spacing w:val="-2"/>
        </w:rPr>
        <w:t> </w:t>
      </w:r>
      <w:r>
        <w:rPr/>
        <w:t>бджільництва».</w:t>
      </w:r>
    </w:p>
    <w:p>
      <w:pPr>
        <w:spacing w:after="0"/>
        <w:sectPr>
          <w:pgSz w:w="11910" w:h="16840"/>
          <w:pgMar w:header="713" w:footer="778" w:top="1140" w:bottom="960" w:left="940" w:right="520"/>
        </w:sectPr>
      </w:pPr>
    </w:p>
    <w:p>
      <w:pPr>
        <w:pStyle w:val="BodyText"/>
        <w:spacing w:before="92"/>
        <w:ind w:right="616" w:firstLine="710"/>
      </w:pPr>
      <w:r>
        <w:rPr>
          <w:b/>
        </w:rPr>
        <w:t>Проблема</w:t>
      </w:r>
      <w:r>
        <w:rPr/>
        <w:t>. Бджільництво має величезний потенціал для нарощування експорту, адже кількість нових ринків збуту цієї продукції впродовж останніх років</w:t>
      </w:r>
      <w:r>
        <w:rPr>
          <w:spacing w:val="-19"/>
        </w:rPr>
        <w:t> </w:t>
      </w:r>
      <w:r>
        <w:rPr/>
        <w:t>росте</w:t>
      </w:r>
      <w:r>
        <w:rPr>
          <w:spacing w:val="-16"/>
        </w:rPr>
        <w:t> </w:t>
      </w:r>
      <w:r>
        <w:rPr/>
        <w:t>в</w:t>
      </w:r>
      <w:r>
        <w:rPr>
          <w:spacing w:val="-18"/>
        </w:rPr>
        <w:t> </w:t>
      </w:r>
      <w:r>
        <w:rPr/>
        <w:t>геометричній</w:t>
      </w:r>
      <w:r>
        <w:rPr>
          <w:spacing w:val="-18"/>
        </w:rPr>
        <w:t> </w:t>
      </w:r>
      <w:r>
        <w:rPr/>
        <w:t>прогресії.</w:t>
      </w:r>
      <w:r>
        <w:rPr>
          <w:spacing w:val="-14"/>
        </w:rPr>
        <w:t> </w:t>
      </w:r>
      <w:r>
        <w:rPr/>
        <w:t>Крім</w:t>
      </w:r>
      <w:r>
        <w:rPr>
          <w:spacing w:val="-16"/>
        </w:rPr>
        <w:t> </w:t>
      </w:r>
      <w:r>
        <w:rPr/>
        <w:t>того,</w:t>
      </w:r>
      <w:r>
        <w:rPr>
          <w:spacing w:val="-15"/>
        </w:rPr>
        <w:t> </w:t>
      </w:r>
      <w:r>
        <w:rPr/>
        <w:t>харчові</w:t>
      </w:r>
      <w:r>
        <w:rPr>
          <w:spacing w:val="-16"/>
        </w:rPr>
        <w:t> </w:t>
      </w:r>
      <w:r>
        <w:rPr/>
        <w:t>продукти</w:t>
      </w:r>
      <w:r>
        <w:rPr>
          <w:spacing w:val="-17"/>
        </w:rPr>
        <w:t> </w:t>
      </w:r>
      <w:r>
        <w:rPr/>
        <w:t>з</w:t>
      </w:r>
      <w:r>
        <w:rPr>
          <w:spacing w:val="-16"/>
        </w:rPr>
        <w:t> </w:t>
      </w:r>
      <w:r>
        <w:rPr/>
        <w:t>вмістом</w:t>
      </w:r>
      <w:r>
        <w:rPr>
          <w:spacing w:val="-16"/>
        </w:rPr>
        <w:t> </w:t>
      </w:r>
      <w:r>
        <w:rPr/>
        <w:t>меду за умови гарантування їх безпечності для споживачів також можуть стати важливим сегментом щодо експорту. Це підтверджуються офіційними</w:t>
      </w:r>
      <w:r>
        <w:rPr>
          <w:spacing w:val="23"/>
        </w:rPr>
        <w:t> </w:t>
      </w:r>
      <w:r>
        <w:rPr/>
        <w:t>даними</w:t>
      </w:r>
    </w:p>
    <w:p>
      <w:pPr>
        <w:pStyle w:val="BodyText"/>
        <w:spacing w:before="3"/>
        <w:ind w:right="606"/>
      </w:pPr>
      <w:r>
        <w:rPr/>
        <w:t>«Євроінтеграційного</w:t>
      </w:r>
      <w:r>
        <w:rPr>
          <w:spacing w:val="-13"/>
        </w:rPr>
        <w:t> </w:t>
      </w:r>
      <w:r>
        <w:rPr/>
        <w:t>порталу</w:t>
      </w:r>
      <w:r>
        <w:rPr>
          <w:spacing w:val="-19"/>
        </w:rPr>
        <w:t> </w:t>
      </w:r>
      <w:r>
        <w:rPr/>
        <w:t>України»,</w:t>
      </w:r>
      <w:r>
        <w:rPr>
          <w:spacing w:val="-7"/>
        </w:rPr>
        <w:t> </w:t>
      </w:r>
      <w:r>
        <w:rPr/>
        <w:t>згідно</w:t>
      </w:r>
      <w:r>
        <w:rPr>
          <w:spacing w:val="-14"/>
        </w:rPr>
        <w:t> </w:t>
      </w:r>
      <w:r>
        <w:rPr/>
        <w:t>з</w:t>
      </w:r>
      <w:r>
        <w:rPr>
          <w:spacing w:val="-13"/>
        </w:rPr>
        <w:t> </w:t>
      </w:r>
      <w:r>
        <w:rPr/>
        <w:t>якими</w:t>
      </w:r>
      <w:r>
        <w:rPr>
          <w:spacing w:val="-14"/>
        </w:rPr>
        <w:t> </w:t>
      </w:r>
      <w:r>
        <w:rPr/>
        <w:t>сьогодні</w:t>
      </w:r>
      <w:r>
        <w:rPr>
          <w:spacing w:val="-18"/>
        </w:rPr>
        <w:t> </w:t>
      </w:r>
      <w:r>
        <w:rPr/>
        <w:t>Україна</w:t>
      </w:r>
      <w:r>
        <w:rPr>
          <w:spacing w:val="-13"/>
        </w:rPr>
        <w:t> </w:t>
      </w:r>
      <w:r>
        <w:rPr/>
        <w:t>є</w:t>
      </w:r>
      <w:r>
        <w:rPr>
          <w:spacing w:val="-14"/>
        </w:rPr>
        <w:t> </w:t>
      </w:r>
      <w:r>
        <w:rPr/>
        <w:t>одним з шести найбільших виробників меду в світі та щороку забезпечує до 5 % світового</w:t>
      </w:r>
      <w:r>
        <w:rPr>
          <w:spacing w:val="-15"/>
        </w:rPr>
        <w:t> </w:t>
      </w:r>
      <w:r>
        <w:rPr/>
        <w:t>виробництва,</w:t>
      </w:r>
      <w:r>
        <w:rPr>
          <w:spacing w:val="-17"/>
        </w:rPr>
        <w:t> </w:t>
      </w:r>
      <w:r>
        <w:rPr/>
        <w:t>а</w:t>
      </w:r>
      <w:r>
        <w:rPr>
          <w:spacing w:val="-18"/>
        </w:rPr>
        <w:t> </w:t>
      </w:r>
      <w:r>
        <w:rPr/>
        <w:t>також</w:t>
      </w:r>
      <w:r>
        <w:rPr>
          <w:spacing w:val="-19"/>
        </w:rPr>
        <w:t> </w:t>
      </w:r>
      <w:r>
        <w:rPr/>
        <w:t>є</w:t>
      </w:r>
      <w:r>
        <w:rPr>
          <w:spacing w:val="-18"/>
        </w:rPr>
        <w:t> </w:t>
      </w:r>
      <w:r>
        <w:rPr/>
        <w:t>другим</w:t>
      </w:r>
      <w:r>
        <w:rPr>
          <w:spacing w:val="-13"/>
        </w:rPr>
        <w:t> </w:t>
      </w:r>
      <w:r>
        <w:rPr/>
        <w:t>(після</w:t>
      </w:r>
      <w:r>
        <w:rPr>
          <w:spacing w:val="-17"/>
        </w:rPr>
        <w:t> </w:t>
      </w:r>
      <w:r>
        <w:rPr/>
        <w:t>Китаю)</w:t>
      </w:r>
      <w:r>
        <w:rPr>
          <w:spacing w:val="-20"/>
        </w:rPr>
        <w:t> </w:t>
      </w:r>
      <w:r>
        <w:rPr/>
        <w:t>найбільшим</w:t>
      </w:r>
      <w:r>
        <w:rPr>
          <w:spacing w:val="-18"/>
        </w:rPr>
        <w:t> </w:t>
      </w:r>
      <w:r>
        <w:rPr/>
        <w:t>експортером меду до ЄС. Отримання натурального бджолиного меду пов’язано зі значними матеріальними витратами. Високі ціни на натуральний мед роблять його дуже привабливим об’єктом фальсифікації. А також попит на мед та продукти з добавленням меду в розвинених країнах перевищують пропозиції. Фальсифікований</w:t>
      </w:r>
      <w:r>
        <w:rPr>
          <w:spacing w:val="-1"/>
        </w:rPr>
        <w:t> </w:t>
      </w:r>
      <w:r>
        <w:rPr/>
        <w:t>–</w:t>
      </w:r>
      <w:r>
        <w:rPr>
          <w:spacing w:val="-2"/>
        </w:rPr>
        <w:t> </w:t>
      </w:r>
      <w:r>
        <w:rPr/>
        <w:t>це</w:t>
      </w:r>
      <w:r>
        <w:rPr>
          <w:spacing w:val="-1"/>
        </w:rPr>
        <w:t> </w:t>
      </w:r>
      <w:r>
        <w:rPr/>
        <w:t>такий</w:t>
      </w:r>
      <w:r>
        <w:rPr>
          <w:spacing w:val="-3"/>
        </w:rPr>
        <w:t> </w:t>
      </w:r>
      <w:r>
        <w:rPr/>
        <w:t>мед,</w:t>
      </w:r>
      <w:r>
        <w:rPr>
          <w:spacing w:val="-5"/>
        </w:rPr>
        <w:t> </w:t>
      </w:r>
      <w:r>
        <w:rPr/>
        <w:t>в</w:t>
      </w:r>
      <w:r>
        <w:rPr>
          <w:spacing w:val="-9"/>
        </w:rPr>
        <w:t> </w:t>
      </w:r>
      <w:r>
        <w:rPr/>
        <w:t>який</w:t>
      </w:r>
      <w:r>
        <w:rPr>
          <w:spacing w:val="-7"/>
        </w:rPr>
        <w:t> </w:t>
      </w:r>
      <w:r>
        <w:rPr/>
        <w:t>додані</w:t>
      </w:r>
      <w:r>
        <w:rPr>
          <w:spacing w:val="-8"/>
        </w:rPr>
        <w:t> </w:t>
      </w:r>
      <w:r>
        <w:rPr/>
        <w:t>різні</w:t>
      </w:r>
      <w:r>
        <w:rPr>
          <w:spacing w:val="-8"/>
        </w:rPr>
        <w:t> </w:t>
      </w:r>
      <w:r>
        <w:rPr/>
        <w:t>харчові</w:t>
      </w:r>
      <w:r>
        <w:rPr>
          <w:spacing w:val="-7"/>
        </w:rPr>
        <w:t> </w:t>
      </w:r>
      <w:r>
        <w:rPr/>
        <w:t>та</w:t>
      </w:r>
      <w:r>
        <w:rPr>
          <w:spacing w:val="-2"/>
        </w:rPr>
        <w:t> </w:t>
      </w:r>
      <w:r>
        <w:rPr/>
        <w:t>кормові</w:t>
      </w:r>
      <w:r>
        <w:rPr>
          <w:spacing w:val="-8"/>
        </w:rPr>
        <w:t> </w:t>
      </w:r>
      <w:r>
        <w:rPr/>
        <w:t>добавки для збільшення його маси (меляса бурякова і крохмальна, глюкоза, цукор тростинний і штучно інвертований, крохмаль, борошно, солодкі фруктові соки, желатин), або </w:t>
      </w:r>
      <w:r>
        <w:rPr>
          <w:spacing w:val="-3"/>
        </w:rPr>
        <w:t>він </w:t>
      </w:r>
      <w:r>
        <w:rPr/>
        <w:t>отриманий в результаті підгодівлі бджіл цукром. А так як, мед широко застосовують як харчовий, дієтичний продукт і лікувальний засіб, то необхідно щоб він мав певний склад і властивості, які гарантують його якість. У зв’язку з цим доцільно проводити експертизу меду. Крім того, експертизу меду проводять для дослідження його якості з позицій фальсифікації, поживності, санітарно-гігієнічних вимог, можливості тривалого зберігання й припустимості для споживання. Для забезпечення гарантування безпечності меду та харчових продуктів </w:t>
      </w:r>
      <w:r>
        <w:rPr>
          <w:spacing w:val="-3"/>
        </w:rPr>
        <w:t>із </w:t>
      </w:r>
      <w:r>
        <w:rPr/>
        <w:t>вмістом меду, для їх конкурентоспроможності не на внутрішньому, а зовнішньому ринку необхідно враховувати сучасні міжнародні вимоги </w:t>
      </w:r>
      <w:r>
        <w:rPr>
          <w:spacing w:val="3"/>
        </w:rPr>
        <w:t>до </w:t>
      </w:r>
      <w:r>
        <w:rPr/>
        <w:t>якості та безпечності меду, які визначені в директивних</w:t>
      </w:r>
      <w:r>
        <w:rPr>
          <w:spacing w:val="-16"/>
        </w:rPr>
        <w:t> </w:t>
      </w:r>
      <w:r>
        <w:rPr/>
        <w:t>документах.</w:t>
      </w:r>
    </w:p>
    <w:p>
      <w:pPr>
        <w:pStyle w:val="BodyText"/>
        <w:ind w:right="617" w:firstLine="710"/>
      </w:pPr>
      <w:r>
        <w:rPr>
          <w:b/>
        </w:rPr>
        <w:t>Аналіз останніх досліджень за темою</w:t>
      </w:r>
      <w:r>
        <w:rPr/>
        <w:t>. Проблеми у визначенні якості та безпечності харчових продуктів наведенні у статтях Кійко В.В., Дочинця І.В., Бондарчука В.М. та інших. Питання, пов'язані з управлінням якістю продукції, знайшли</w:t>
      </w:r>
      <w:r>
        <w:rPr>
          <w:spacing w:val="-17"/>
        </w:rPr>
        <w:t> </w:t>
      </w:r>
      <w:r>
        <w:rPr/>
        <w:t>відображення</w:t>
      </w:r>
      <w:r>
        <w:rPr>
          <w:spacing w:val="-11"/>
        </w:rPr>
        <w:t> </w:t>
      </w:r>
      <w:r>
        <w:rPr/>
        <w:t>у</w:t>
      </w:r>
      <w:r>
        <w:rPr>
          <w:spacing w:val="-17"/>
        </w:rPr>
        <w:t> </w:t>
      </w:r>
      <w:r>
        <w:rPr/>
        <w:t>роботах</w:t>
      </w:r>
      <w:r>
        <w:rPr>
          <w:spacing w:val="-16"/>
        </w:rPr>
        <w:t> </w:t>
      </w:r>
      <w:r>
        <w:rPr/>
        <w:t>вітчизняних</w:t>
      </w:r>
      <w:r>
        <w:rPr>
          <w:spacing w:val="-17"/>
        </w:rPr>
        <w:t> </w:t>
      </w:r>
      <w:r>
        <w:rPr/>
        <w:t>і</w:t>
      </w:r>
      <w:r>
        <w:rPr>
          <w:spacing w:val="-17"/>
        </w:rPr>
        <w:t> </w:t>
      </w:r>
      <w:r>
        <w:rPr/>
        <w:t>закордонних</w:t>
      </w:r>
      <w:r>
        <w:rPr>
          <w:spacing w:val="-21"/>
        </w:rPr>
        <w:t> </w:t>
      </w:r>
      <w:r>
        <w:rPr/>
        <w:t>авторів:</w:t>
      </w:r>
      <w:r>
        <w:rPr>
          <w:spacing w:val="-21"/>
        </w:rPr>
        <w:t> </w:t>
      </w:r>
      <w:r>
        <w:rPr/>
        <w:t>Бадалова</w:t>
      </w:r>
      <w:r>
        <w:rPr>
          <w:spacing w:val="-16"/>
        </w:rPr>
        <w:t> </w:t>
      </w:r>
      <w:r>
        <w:rPr/>
        <w:t>Л. М.,</w:t>
      </w:r>
      <w:r>
        <w:rPr>
          <w:spacing w:val="-12"/>
        </w:rPr>
        <w:t> </w:t>
      </w:r>
      <w:r>
        <w:rPr/>
        <w:t>Байєра</w:t>
      </w:r>
      <w:r>
        <w:rPr>
          <w:spacing w:val="-7"/>
        </w:rPr>
        <w:t> </w:t>
      </w:r>
      <w:r>
        <w:rPr/>
        <w:t>Г.,</w:t>
      </w:r>
      <w:r>
        <w:rPr>
          <w:spacing w:val="-11"/>
        </w:rPr>
        <w:t> </w:t>
      </w:r>
      <w:r>
        <w:rPr/>
        <w:t>Глудкіна</w:t>
      </w:r>
      <w:r>
        <w:rPr>
          <w:spacing w:val="-8"/>
        </w:rPr>
        <w:t> </w:t>
      </w:r>
      <w:r>
        <w:rPr/>
        <w:t>О.</w:t>
      </w:r>
      <w:r>
        <w:rPr>
          <w:spacing w:val="-7"/>
        </w:rPr>
        <w:t> </w:t>
      </w:r>
      <w:r>
        <w:rPr>
          <w:spacing w:val="-3"/>
        </w:rPr>
        <w:t>П,</w:t>
      </w:r>
      <w:r>
        <w:rPr>
          <w:spacing w:val="-11"/>
        </w:rPr>
        <w:t> </w:t>
      </w:r>
      <w:r>
        <w:rPr/>
        <w:t>Глічева</w:t>
      </w:r>
      <w:r>
        <w:rPr>
          <w:spacing w:val="-8"/>
        </w:rPr>
        <w:t> </w:t>
      </w:r>
      <w:r>
        <w:rPr>
          <w:spacing w:val="-3"/>
        </w:rPr>
        <w:t>А.</w:t>
      </w:r>
      <w:r>
        <w:rPr>
          <w:spacing w:val="-7"/>
        </w:rPr>
        <w:t> </w:t>
      </w:r>
      <w:r>
        <w:rPr/>
        <w:t>У.,</w:t>
      </w:r>
      <w:r>
        <w:rPr>
          <w:spacing w:val="-11"/>
        </w:rPr>
        <w:t> </w:t>
      </w:r>
      <w:r>
        <w:rPr/>
        <w:t>Деміденко</w:t>
      </w:r>
      <w:r>
        <w:rPr>
          <w:spacing w:val="-8"/>
        </w:rPr>
        <w:t> </w:t>
      </w:r>
      <w:r>
        <w:rPr/>
        <w:t>Д.</w:t>
      </w:r>
      <w:r>
        <w:rPr>
          <w:spacing w:val="-11"/>
        </w:rPr>
        <w:t> </w:t>
      </w:r>
      <w:r>
        <w:rPr/>
        <w:t>С,</w:t>
      </w:r>
      <w:r>
        <w:rPr>
          <w:spacing w:val="-12"/>
        </w:rPr>
        <w:t> </w:t>
      </w:r>
      <w:r>
        <w:rPr/>
        <w:t>Демінга</w:t>
      </w:r>
      <w:r>
        <w:rPr>
          <w:spacing w:val="-8"/>
        </w:rPr>
        <w:t> </w:t>
      </w:r>
      <w:r>
        <w:rPr/>
        <w:t>Е.,</w:t>
      </w:r>
      <w:r>
        <w:rPr>
          <w:spacing w:val="-11"/>
        </w:rPr>
        <w:t> </w:t>
      </w:r>
      <w:r>
        <w:rPr/>
        <w:t>Джурана Д.,</w:t>
      </w:r>
      <w:r>
        <w:rPr>
          <w:spacing w:val="-6"/>
        </w:rPr>
        <w:t> </w:t>
      </w:r>
      <w:r>
        <w:rPr/>
        <w:t>Ісікави</w:t>
      </w:r>
      <w:r>
        <w:rPr>
          <w:spacing w:val="-8"/>
        </w:rPr>
        <w:t> </w:t>
      </w:r>
      <w:r>
        <w:rPr/>
        <w:t>К.,</w:t>
      </w:r>
      <w:r>
        <w:rPr>
          <w:spacing w:val="-6"/>
        </w:rPr>
        <w:t> </w:t>
      </w:r>
      <w:r>
        <w:rPr/>
        <w:t>Каплена</w:t>
      </w:r>
      <w:r>
        <w:rPr>
          <w:spacing w:val="-8"/>
        </w:rPr>
        <w:t> </w:t>
      </w:r>
      <w:r>
        <w:rPr/>
        <w:t>Р.,</w:t>
      </w:r>
      <w:r>
        <w:rPr>
          <w:spacing w:val="-6"/>
        </w:rPr>
        <w:t> </w:t>
      </w:r>
      <w:r>
        <w:rPr/>
        <w:t>Карлика</w:t>
      </w:r>
      <w:r>
        <w:rPr>
          <w:spacing w:val="-8"/>
        </w:rPr>
        <w:t> </w:t>
      </w:r>
      <w:r>
        <w:rPr/>
        <w:t>Е.</w:t>
      </w:r>
      <w:r>
        <w:rPr>
          <w:spacing w:val="-6"/>
        </w:rPr>
        <w:t> </w:t>
      </w:r>
      <w:r>
        <w:rPr/>
        <w:t>М.,</w:t>
      </w:r>
      <w:r>
        <w:rPr>
          <w:spacing w:val="-11"/>
        </w:rPr>
        <w:t> </w:t>
      </w:r>
      <w:r>
        <w:rPr/>
        <w:t>Качалова</w:t>
      </w:r>
      <w:r>
        <w:rPr>
          <w:spacing w:val="-7"/>
        </w:rPr>
        <w:t> </w:t>
      </w:r>
      <w:r>
        <w:rPr/>
        <w:t>В.</w:t>
      </w:r>
      <w:r>
        <w:rPr>
          <w:spacing w:val="-6"/>
        </w:rPr>
        <w:t> </w:t>
      </w:r>
      <w:r>
        <w:rPr/>
        <w:t>А.,</w:t>
      </w:r>
      <w:r>
        <w:rPr>
          <w:spacing w:val="-6"/>
        </w:rPr>
        <w:t> </w:t>
      </w:r>
      <w:r>
        <w:rPr/>
        <w:t>Колегаєва</w:t>
      </w:r>
      <w:r>
        <w:rPr>
          <w:spacing w:val="-8"/>
        </w:rPr>
        <w:t> </w:t>
      </w:r>
      <w:r>
        <w:rPr/>
        <w:t>Р.</w:t>
      </w:r>
      <w:r>
        <w:rPr>
          <w:spacing w:val="-6"/>
        </w:rPr>
        <w:t> </w:t>
      </w:r>
      <w:r>
        <w:rPr/>
        <w:t>Н.,</w:t>
      </w:r>
      <w:r>
        <w:rPr>
          <w:spacing w:val="-6"/>
        </w:rPr>
        <w:t> </w:t>
      </w:r>
      <w:r>
        <w:rPr/>
        <w:t>Кросбі Ф., Круглова М. Г., Лапідуса В. А., Ніксона Ф., Огвоздіна В. Ю., Перерви </w:t>
      </w:r>
      <w:r>
        <w:rPr>
          <w:spacing w:val="-3"/>
        </w:rPr>
        <w:t>П. </w:t>
      </w:r>
      <w:r>
        <w:rPr/>
        <w:t>Г., Рахліна К. М., Робертсона А., Тагуті Г., Тимофеєва В. М., Чайки І. І. та</w:t>
      </w:r>
      <w:r>
        <w:rPr>
          <w:spacing w:val="-21"/>
        </w:rPr>
        <w:t> </w:t>
      </w:r>
      <w:r>
        <w:rPr>
          <w:spacing w:val="-3"/>
        </w:rPr>
        <w:t>інших.</w:t>
      </w:r>
    </w:p>
    <w:p>
      <w:pPr>
        <w:pStyle w:val="BodyText"/>
        <w:spacing w:before="2"/>
        <w:ind w:right="616" w:firstLine="710"/>
      </w:pPr>
      <w:r>
        <w:rPr>
          <w:b/>
        </w:rPr>
        <w:t>Метою досліджень </w:t>
      </w:r>
      <w:r>
        <w:rPr/>
        <w:t>було проведення аналізу вітчизняних і світових</w:t>
      </w:r>
      <w:r>
        <w:rPr>
          <w:spacing w:val="-44"/>
        </w:rPr>
        <w:t> </w:t>
      </w:r>
      <w:r>
        <w:rPr/>
        <w:t>вимог щодо якості меду та теоретичного обґрунтування, спрямованого на підвищення ефективності для можливості подальшого удосконалення системи оцінювання якості меду</w:t>
      </w:r>
      <w:r>
        <w:rPr>
          <w:spacing w:val="-8"/>
        </w:rPr>
        <w:t> </w:t>
      </w:r>
      <w:r>
        <w:rPr/>
        <w:t>натурального.</w:t>
      </w:r>
    </w:p>
    <w:p>
      <w:pPr>
        <w:pStyle w:val="BodyText"/>
        <w:ind w:right="607" w:firstLine="710"/>
      </w:pPr>
      <w:r>
        <w:rPr>
          <w:b/>
        </w:rPr>
        <w:t>Методика. </w:t>
      </w:r>
      <w:r>
        <w:rPr/>
        <w:t>При дослідженнях використовували такі методики як: збір інформації, її аналітичне опрацювання та теоретичне узагальнення. Для </w:t>
      </w:r>
      <w:r>
        <w:rPr>
          <w:spacing w:val="4"/>
        </w:rPr>
        <w:t>збору </w:t>
      </w:r>
      <w:r>
        <w:rPr/>
        <w:t>інформації</w:t>
      </w:r>
      <w:r>
        <w:rPr>
          <w:spacing w:val="-25"/>
        </w:rPr>
        <w:t> </w:t>
      </w:r>
      <w:r>
        <w:rPr/>
        <w:t>використовували</w:t>
      </w:r>
      <w:r>
        <w:rPr>
          <w:spacing w:val="-18"/>
        </w:rPr>
        <w:t> </w:t>
      </w:r>
      <w:r>
        <w:rPr/>
        <w:t>порівняльний</w:t>
      </w:r>
      <w:r>
        <w:rPr>
          <w:spacing w:val="-19"/>
        </w:rPr>
        <w:t> </w:t>
      </w:r>
      <w:r>
        <w:rPr/>
        <w:t>аналіз</w:t>
      </w:r>
      <w:r>
        <w:rPr>
          <w:spacing w:val="-14"/>
        </w:rPr>
        <w:t> </w:t>
      </w:r>
      <w:r>
        <w:rPr/>
        <w:t>таких</w:t>
      </w:r>
      <w:r>
        <w:rPr>
          <w:spacing w:val="-23"/>
        </w:rPr>
        <w:t> </w:t>
      </w:r>
      <w:r>
        <w:rPr/>
        <w:t>нормативних</w:t>
      </w:r>
      <w:r>
        <w:rPr>
          <w:spacing w:val="-23"/>
        </w:rPr>
        <w:t> </w:t>
      </w:r>
      <w:r>
        <w:rPr/>
        <w:t>документів як: ДСТУ 4497:2005 «Мед натуральний. Технічні умови» та Council Directive 2001/110/EC і CODEX STAN </w:t>
      </w:r>
      <w:r>
        <w:rPr>
          <w:spacing w:val="3"/>
        </w:rPr>
        <w:t>12- </w:t>
      </w:r>
      <w:r>
        <w:rPr/>
        <w:t>1981 Standard </w:t>
      </w:r>
      <w:r>
        <w:rPr>
          <w:spacing w:val="-3"/>
        </w:rPr>
        <w:t>for</w:t>
      </w:r>
      <w:r>
        <w:rPr>
          <w:spacing w:val="8"/>
        </w:rPr>
        <w:t> </w:t>
      </w:r>
      <w:r>
        <w:rPr/>
        <w:t>Honey.</w:t>
      </w:r>
    </w:p>
    <w:p>
      <w:pPr>
        <w:pStyle w:val="BodyText"/>
        <w:ind w:right="607" w:firstLine="710"/>
      </w:pPr>
      <w:r>
        <w:rPr>
          <w:b/>
          <w:spacing w:val="-4"/>
        </w:rPr>
        <w:t>Об’єкт дослідження. </w:t>
      </w:r>
      <w:r>
        <w:rPr>
          <w:spacing w:val="-4"/>
        </w:rPr>
        <w:t>Матеріалами </w:t>
      </w:r>
      <w:r>
        <w:rPr>
          <w:spacing w:val="-3"/>
        </w:rPr>
        <w:t>для </w:t>
      </w:r>
      <w:r>
        <w:rPr>
          <w:spacing w:val="-4"/>
        </w:rPr>
        <w:t>дослідження </w:t>
      </w:r>
      <w:r>
        <w:rPr>
          <w:spacing w:val="-3"/>
        </w:rPr>
        <w:t>слугували: </w:t>
      </w:r>
      <w:r>
        <w:rPr>
          <w:spacing w:val="-4"/>
        </w:rPr>
        <w:t>Директива Ради 2001/110/ЄС</w:t>
      </w:r>
      <w:r>
        <w:rPr>
          <w:spacing w:val="62"/>
        </w:rPr>
        <w:t> </w:t>
      </w:r>
      <w:r>
        <w:rPr>
          <w:spacing w:val="-4"/>
        </w:rPr>
        <w:t>[2],</w:t>
      </w:r>
      <w:r>
        <w:rPr>
          <w:spacing w:val="62"/>
        </w:rPr>
        <w:t> </w:t>
      </w:r>
      <w:r>
        <w:rPr>
          <w:spacing w:val="-4"/>
        </w:rPr>
        <w:t>CODEX</w:t>
      </w:r>
      <w:r>
        <w:rPr>
          <w:spacing w:val="62"/>
        </w:rPr>
        <w:t> </w:t>
      </w:r>
      <w:r>
        <w:rPr>
          <w:spacing w:val="-4"/>
        </w:rPr>
        <w:t>STAN</w:t>
      </w:r>
      <w:r>
        <w:rPr>
          <w:spacing w:val="62"/>
        </w:rPr>
        <w:t> </w:t>
      </w:r>
      <w:r>
        <w:rPr>
          <w:spacing w:val="-3"/>
        </w:rPr>
        <w:t>12-1981 </w:t>
      </w:r>
      <w:r>
        <w:rPr>
          <w:spacing w:val="-4"/>
        </w:rPr>
        <w:t>Standard</w:t>
      </w:r>
      <w:r>
        <w:rPr>
          <w:spacing w:val="62"/>
        </w:rPr>
        <w:t> </w:t>
      </w:r>
      <w:r>
        <w:rPr>
          <w:spacing w:val="-4"/>
        </w:rPr>
        <w:t>for </w:t>
      </w:r>
      <w:r>
        <w:rPr>
          <w:spacing w:val="-3"/>
        </w:rPr>
        <w:t>Honey </w:t>
      </w:r>
      <w:r>
        <w:rPr>
          <w:spacing w:val="-4"/>
        </w:rPr>
        <w:t>та </w:t>
      </w:r>
      <w:r>
        <w:rPr>
          <w:spacing w:val="-3"/>
        </w:rPr>
        <w:t>ДСТУ</w:t>
      </w:r>
    </w:p>
    <w:p>
      <w:pPr>
        <w:spacing w:after="0"/>
        <w:sectPr>
          <w:pgSz w:w="11910" w:h="16840"/>
          <w:pgMar w:header="713" w:footer="778" w:top="1140" w:bottom="960" w:left="940" w:right="520"/>
        </w:sectPr>
      </w:pPr>
    </w:p>
    <w:p>
      <w:pPr>
        <w:pStyle w:val="BodyText"/>
        <w:spacing w:line="322" w:lineRule="exact" w:before="92"/>
      </w:pPr>
      <w:r>
        <w:rPr/>
        <w:t>4497:2005 «Мед натуральний. Технічні умови»</w:t>
      </w:r>
    </w:p>
    <w:p>
      <w:pPr>
        <w:pStyle w:val="BodyText"/>
        <w:ind w:right="603" w:firstLine="710"/>
      </w:pPr>
      <w:r>
        <w:rPr>
          <w:b/>
          <w:spacing w:val="-4"/>
        </w:rPr>
        <w:t>Результати досліджень. </w:t>
      </w:r>
      <w:r>
        <w:rPr>
          <w:spacing w:val="-4"/>
        </w:rPr>
        <w:t>Забезпечення </w:t>
      </w:r>
      <w:r>
        <w:rPr/>
        <w:t>якості </w:t>
      </w:r>
      <w:r>
        <w:rPr>
          <w:spacing w:val="-4"/>
        </w:rPr>
        <w:t>та безпечності </w:t>
      </w:r>
      <w:r>
        <w:rPr/>
        <w:t>як </w:t>
      </w:r>
      <w:r>
        <w:rPr>
          <w:spacing w:val="-3"/>
        </w:rPr>
        <w:t>продукції </w:t>
      </w:r>
      <w:r>
        <w:rPr/>
        <w:t>є </w:t>
      </w:r>
      <w:r>
        <w:rPr>
          <w:spacing w:val="-4"/>
        </w:rPr>
        <w:t>ключовою</w:t>
      </w:r>
      <w:r>
        <w:rPr>
          <w:spacing w:val="-18"/>
        </w:rPr>
        <w:t> </w:t>
      </w:r>
      <w:r>
        <w:rPr>
          <w:spacing w:val="-4"/>
        </w:rPr>
        <w:t>складовою</w:t>
      </w:r>
      <w:r>
        <w:rPr>
          <w:spacing w:val="-17"/>
        </w:rPr>
        <w:t> </w:t>
      </w:r>
      <w:r>
        <w:rPr>
          <w:spacing w:val="-4"/>
        </w:rPr>
        <w:t>захисту</w:t>
      </w:r>
      <w:r>
        <w:rPr>
          <w:spacing w:val="-21"/>
        </w:rPr>
        <w:t> </w:t>
      </w:r>
      <w:r>
        <w:rPr>
          <w:spacing w:val="-4"/>
        </w:rPr>
        <w:t>здоров'я</w:t>
      </w:r>
      <w:r>
        <w:rPr>
          <w:spacing w:val="-13"/>
        </w:rPr>
        <w:t> </w:t>
      </w:r>
      <w:r>
        <w:rPr>
          <w:spacing w:val="-4"/>
        </w:rPr>
        <w:t>споживачів</w:t>
      </w:r>
      <w:r>
        <w:rPr>
          <w:spacing w:val="-18"/>
        </w:rPr>
        <w:t> </w:t>
      </w:r>
      <w:r>
        <w:rPr/>
        <w:t>будь</w:t>
      </w:r>
      <w:r>
        <w:rPr>
          <w:spacing w:val="-14"/>
        </w:rPr>
        <w:t> </w:t>
      </w:r>
      <w:r>
        <w:rPr>
          <w:spacing w:val="-3"/>
        </w:rPr>
        <w:t>якої</w:t>
      </w:r>
      <w:r>
        <w:rPr>
          <w:spacing w:val="-20"/>
        </w:rPr>
        <w:t> </w:t>
      </w:r>
      <w:r>
        <w:rPr>
          <w:spacing w:val="-4"/>
        </w:rPr>
        <w:t>країни.</w:t>
      </w:r>
      <w:r>
        <w:rPr>
          <w:spacing w:val="-14"/>
        </w:rPr>
        <w:t> </w:t>
      </w:r>
      <w:r>
        <w:rPr/>
        <w:t>В</w:t>
      </w:r>
      <w:r>
        <w:rPr>
          <w:spacing w:val="-18"/>
        </w:rPr>
        <w:t> </w:t>
      </w:r>
      <w:r>
        <w:rPr>
          <w:spacing w:val="-4"/>
        </w:rPr>
        <w:t>останні</w:t>
      </w:r>
      <w:r>
        <w:rPr>
          <w:spacing w:val="-21"/>
        </w:rPr>
        <w:t> </w:t>
      </w:r>
      <w:r>
        <w:rPr/>
        <w:t>роки в </w:t>
      </w:r>
      <w:r>
        <w:rPr>
          <w:spacing w:val="-3"/>
        </w:rPr>
        <w:t>Україні споживачі стали </w:t>
      </w:r>
      <w:r>
        <w:rPr>
          <w:spacing w:val="-4"/>
        </w:rPr>
        <w:t>більш</w:t>
      </w:r>
      <w:r>
        <w:rPr>
          <w:spacing w:val="62"/>
        </w:rPr>
        <w:t> </w:t>
      </w:r>
      <w:r>
        <w:rPr>
          <w:spacing w:val="-4"/>
        </w:rPr>
        <w:t>вимогливими </w:t>
      </w:r>
      <w:r>
        <w:rPr/>
        <w:t>до </w:t>
      </w:r>
      <w:r>
        <w:rPr>
          <w:spacing w:val="-3"/>
        </w:rPr>
        <w:t>споживчих </w:t>
      </w:r>
      <w:r>
        <w:rPr>
          <w:spacing w:val="-4"/>
        </w:rPr>
        <w:t>характеристик </w:t>
      </w:r>
      <w:r>
        <w:rPr>
          <w:spacing w:val="-3"/>
        </w:rPr>
        <w:t>харчових </w:t>
      </w:r>
      <w:r>
        <w:rPr>
          <w:spacing w:val="-4"/>
        </w:rPr>
        <w:t>продуктів, вони також звертають </w:t>
      </w:r>
      <w:r>
        <w:rPr>
          <w:spacing w:val="-3"/>
        </w:rPr>
        <w:t>особливу </w:t>
      </w:r>
      <w:r>
        <w:rPr>
          <w:spacing w:val="-4"/>
        </w:rPr>
        <w:t>увагу </w:t>
      </w:r>
      <w:r>
        <w:rPr>
          <w:spacing w:val="-3"/>
        </w:rPr>
        <w:t>на </w:t>
      </w:r>
      <w:r>
        <w:rPr>
          <w:spacing w:val="-4"/>
        </w:rPr>
        <w:t>показники </w:t>
      </w:r>
      <w:r>
        <w:rPr>
          <w:spacing w:val="-3"/>
        </w:rPr>
        <w:t>їх </w:t>
      </w:r>
      <w:r>
        <w:rPr/>
        <w:t>якості </w:t>
      </w:r>
      <w:r>
        <w:rPr>
          <w:spacing w:val="-4"/>
        </w:rPr>
        <w:t>та безпечності. Пріоритетним завданням виробників харчових продуктів </w:t>
      </w:r>
      <w:r>
        <w:rPr>
          <w:spacing w:val="-3"/>
        </w:rPr>
        <w:t>не </w:t>
      </w:r>
      <w:r>
        <w:rPr/>
        <w:t>тільки в </w:t>
      </w:r>
      <w:r>
        <w:rPr>
          <w:spacing w:val="-4"/>
        </w:rPr>
        <w:t>Україні, </w:t>
      </w:r>
      <w:r>
        <w:rPr/>
        <w:t>а й в </w:t>
      </w:r>
      <w:r>
        <w:rPr>
          <w:spacing w:val="-4"/>
        </w:rPr>
        <w:t>інших країнах </w:t>
      </w:r>
      <w:r>
        <w:rPr/>
        <w:t>світу – є </w:t>
      </w:r>
      <w:r>
        <w:rPr>
          <w:spacing w:val="-4"/>
        </w:rPr>
        <w:t>впровадження системи </w:t>
      </w:r>
      <w:r>
        <w:rPr>
          <w:spacing w:val="-3"/>
        </w:rPr>
        <w:t>безпеки харчових </w:t>
      </w:r>
      <w:r>
        <w:rPr>
          <w:spacing w:val="-4"/>
        </w:rPr>
        <w:t>продуктів, </w:t>
      </w:r>
      <w:r>
        <w:rPr/>
        <w:t>що </w:t>
      </w:r>
      <w:r>
        <w:rPr>
          <w:spacing w:val="-4"/>
        </w:rPr>
        <w:t>ґрунтується </w:t>
      </w:r>
      <w:r>
        <w:rPr>
          <w:spacing w:val="-3"/>
        </w:rPr>
        <w:t>на </w:t>
      </w:r>
      <w:r>
        <w:rPr>
          <w:spacing w:val="-4"/>
        </w:rPr>
        <w:t>принципах </w:t>
      </w:r>
      <w:r>
        <w:rPr>
          <w:spacing w:val="-3"/>
        </w:rPr>
        <w:t>ХАССП (НАССР </w:t>
      </w:r>
      <w:r>
        <w:rPr/>
        <w:t>- </w:t>
      </w:r>
      <w:r>
        <w:rPr>
          <w:spacing w:val="-4"/>
        </w:rPr>
        <w:t>Hazard </w:t>
      </w:r>
      <w:r>
        <w:rPr>
          <w:spacing w:val="-5"/>
        </w:rPr>
        <w:t>Analysis </w:t>
      </w:r>
      <w:r>
        <w:rPr/>
        <w:t>and </w:t>
      </w:r>
      <w:r>
        <w:rPr>
          <w:spacing w:val="-4"/>
        </w:rPr>
        <w:t>Critical </w:t>
      </w:r>
      <w:r>
        <w:rPr>
          <w:spacing w:val="-3"/>
        </w:rPr>
        <w:t>Control </w:t>
      </w:r>
      <w:r>
        <w:rPr>
          <w:spacing w:val="-4"/>
        </w:rPr>
        <w:t>Points), попередніх </w:t>
      </w:r>
      <w:r>
        <w:rPr>
          <w:spacing w:val="-3"/>
        </w:rPr>
        <w:t>програм </w:t>
      </w:r>
      <w:r>
        <w:rPr/>
        <w:t>– </w:t>
      </w:r>
      <w:r>
        <w:rPr>
          <w:spacing w:val="-4"/>
        </w:rPr>
        <w:t>передумов: </w:t>
      </w:r>
      <w:r>
        <w:rPr>
          <w:spacing w:val="-3"/>
        </w:rPr>
        <w:t>GMP </w:t>
      </w:r>
      <w:r>
        <w:rPr>
          <w:spacing w:val="-5"/>
        </w:rPr>
        <w:t>(належна </w:t>
      </w:r>
      <w:r>
        <w:rPr>
          <w:spacing w:val="-4"/>
        </w:rPr>
        <w:t>практика виробництва), GHP </w:t>
      </w:r>
      <w:r>
        <w:rPr>
          <w:spacing w:val="-5"/>
        </w:rPr>
        <w:t>(належна </w:t>
      </w:r>
      <w:r>
        <w:rPr>
          <w:spacing w:val="-4"/>
        </w:rPr>
        <w:t>практика </w:t>
      </w:r>
      <w:r>
        <w:rPr>
          <w:spacing w:val="-3"/>
        </w:rPr>
        <w:t>щодо </w:t>
      </w:r>
      <w:r>
        <w:rPr>
          <w:spacing w:val="-5"/>
        </w:rPr>
        <w:t>гігієни), </w:t>
      </w:r>
      <w:r>
        <w:rPr>
          <w:spacing w:val="-3"/>
        </w:rPr>
        <w:t>SOP </w:t>
      </w:r>
      <w:r>
        <w:rPr>
          <w:spacing w:val="-4"/>
        </w:rPr>
        <w:t>(стандартні </w:t>
      </w:r>
      <w:r>
        <w:rPr>
          <w:spacing w:val="-3"/>
        </w:rPr>
        <w:t>операційні </w:t>
      </w:r>
      <w:r>
        <w:rPr>
          <w:spacing w:val="-4"/>
        </w:rPr>
        <w:t>процедури),</w:t>
      </w:r>
      <w:r>
        <w:rPr>
          <w:spacing w:val="-10"/>
        </w:rPr>
        <w:t> </w:t>
      </w:r>
      <w:r>
        <w:rPr>
          <w:spacing w:val="-4"/>
        </w:rPr>
        <w:t>SSOP</w:t>
      </w:r>
      <w:r>
        <w:rPr>
          <w:spacing w:val="-13"/>
        </w:rPr>
        <w:t> </w:t>
      </w:r>
      <w:r>
        <w:rPr>
          <w:spacing w:val="-4"/>
        </w:rPr>
        <w:t>(набір</w:t>
      </w:r>
      <w:r>
        <w:rPr>
          <w:spacing w:val="-17"/>
        </w:rPr>
        <w:t> </w:t>
      </w:r>
      <w:r>
        <w:rPr>
          <w:spacing w:val="-3"/>
        </w:rPr>
        <w:t>стандартних</w:t>
      </w:r>
      <w:r>
        <w:rPr>
          <w:spacing w:val="-22"/>
        </w:rPr>
        <w:t> </w:t>
      </w:r>
      <w:r>
        <w:rPr>
          <w:spacing w:val="-3"/>
        </w:rPr>
        <w:t>санітарних</w:t>
      </w:r>
      <w:r>
        <w:rPr>
          <w:spacing w:val="-18"/>
        </w:rPr>
        <w:t> </w:t>
      </w:r>
      <w:r>
        <w:rPr>
          <w:spacing w:val="-4"/>
        </w:rPr>
        <w:t>процедур),</w:t>
      </w:r>
      <w:r>
        <w:rPr>
          <w:spacing w:val="-15"/>
        </w:rPr>
        <w:t> </w:t>
      </w:r>
      <w:r>
        <w:rPr>
          <w:spacing w:val="-3"/>
        </w:rPr>
        <w:t>системи</w:t>
      </w:r>
      <w:r>
        <w:rPr>
          <w:spacing w:val="-13"/>
        </w:rPr>
        <w:t> </w:t>
      </w:r>
      <w:r>
        <w:rPr>
          <w:spacing w:val="-4"/>
        </w:rPr>
        <w:t>ідентифікації небезпечних чинників, моніторингу </w:t>
      </w:r>
      <w:r>
        <w:rPr/>
        <w:t>в </w:t>
      </w:r>
      <w:r>
        <w:rPr>
          <w:spacing w:val="-4"/>
        </w:rPr>
        <w:t>критичних контрольних точках. </w:t>
      </w:r>
      <w:r>
        <w:rPr>
          <w:spacing w:val="-5"/>
        </w:rPr>
        <w:t>Аналіз</w:t>
      </w:r>
      <w:r>
        <w:rPr>
          <w:spacing w:val="-41"/>
        </w:rPr>
        <w:t> </w:t>
      </w:r>
      <w:r>
        <w:rPr/>
        <w:t>меду</w:t>
      </w:r>
    </w:p>
    <w:p>
      <w:pPr>
        <w:pStyle w:val="ListParagraph"/>
        <w:numPr>
          <w:ilvl w:val="0"/>
          <w:numId w:val="14"/>
        </w:numPr>
        <w:tabs>
          <w:tab w:pos="463" w:val="left" w:leader="none"/>
        </w:tabs>
        <w:spacing w:line="240" w:lineRule="auto" w:before="1" w:after="0"/>
        <w:ind w:left="193" w:right="603" w:firstLine="0"/>
        <w:jc w:val="both"/>
        <w:rPr>
          <w:sz w:val="28"/>
        </w:rPr>
      </w:pPr>
      <w:r>
        <w:rPr>
          <w:spacing w:val="-5"/>
          <w:sz w:val="28"/>
        </w:rPr>
        <w:t>надійне </w:t>
      </w:r>
      <w:r>
        <w:rPr>
          <w:spacing w:val="-4"/>
          <w:sz w:val="28"/>
        </w:rPr>
        <w:t>рішення </w:t>
      </w:r>
      <w:r>
        <w:rPr>
          <w:spacing w:val="-3"/>
          <w:sz w:val="28"/>
        </w:rPr>
        <w:t>для </w:t>
      </w:r>
      <w:r>
        <w:rPr>
          <w:spacing w:val="-4"/>
          <w:sz w:val="28"/>
        </w:rPr>
        <w:t>визначення його </w:t>
      </w:r>
      <w:r>
        <w:rPr>
          <w:spacing w:val="-3"/>
          <w:sz w:val="28"/>
        </w:rPr>
        <w:t>якості </w:t>
      </w:r>
      <w:r>
        <w:rPr>
          <w:spacing w:val="-4"/>
          <w:sz w:val="28"/>
        </w:rPr>
        <w:t>та безпечності. </w:t>
      </w:r>
      <w:r>
        <w:rPr>
          <w:spacing w:val="-5"/>
          <w:sz w:val="28"/>
        </w:rPr>
        <w:t>На </w:t>
      </w:r>
      <w:r>
        <w:rPr>
          <w:spacing w:val="-3"/>
          <w:sz w:val="28"/>
        </w:rPr>
        <w:t>якість </w:t>
      </w:r>
      <w:r>
        <w:rPr>
          <w:sz w:val="28"/>
        </w:rPr>
        <w:t>меду </w:t>
      </w:r>
      <w:r>
        <w:rPr>
          <w:spacing w:val="-4"/>
          <w:sz w:val="28"/>
        </w:rPr>
        <w:t>впливають</w:t>
      </w:r>
      <w:r>
        <w:rPr>
          <w:spacing w:val="62"/>
          <w:sz w:val="28"/>
        </w:rPr>
        <w:t> </w:t>
      </w:r>
      <w:r>
        <w:rPr>
          <w:spacing w:val="-3"/>
          <w:sz w:val="28"/>
        </w:rPr>
        <w:t>наступні фактори: </w:t>
      </w:r>
      <w:r>
        <w:rPr>
          <w:spacing w:val="-4"/>
          <w:sz w:val="28"/>
        </w:rPr>
        <w:t>сфери  виробництва, умови</w:t>
      </w:r>
      <w:r>
        <w:rPr>
          <w:spacing w:val="62"/>
          <w:sz w:val="28"/>
        </w:rPr>
        <w:t> </w:t>
      </w:r>
      <w:r>
        <w:rPr>
          <w:spacing w:val="-4"/>
          <w:sz w:val="28"/>
        </w:rPr>
        <w:t>збирання,</w:t>
      </w:r>
      <w:r>
        <w:rPr>
          <w:spacing w:val="62"/>
          <w:sz w:val="28"/>
        </w:rPr>
        <w:t> </w:t>
      </w:r>
      <w:r>
        <w:rPr>
          <w:spacing w:val="-3"/>
          <w:sz w:val="28"/>
        </w:rPr>
        <w:t>якість </w:t>
      </w:r>
      <w:r>
        <w:rPr>
          <w:spacing w:val="-4"/>
          <w:sz w:val="28"/>
        </w:rPr>
        <w:t>сировини, технології виробництва, </w:t>
      </w:r>
      <w:r>
        <w:rPr>
          <w:spacing w:val="-5"/>
          <w:sz w:val="28"/>
        </w:rPr>
        <w:t>обладнання, </w:t>
      </w:r>
      <w:r>
        <w:rPr>
          <w:spacing w:val="-4"/>
          <w:sz w:val="28"/>
        </w:rPr>
        <w:t>санітарно-гігієнічні умови </w:t>
      </w:r>
      <w:r>
        <w:rPr>
          <w:spacing w:val="-3"/>
          <w:sz w:val="28"/>
        </w:rPr>
        <w:t>праці </w:t>
      </w:r>
      <w:r>
        <w:rPr>
          <w:spacing w:val="-5"/>
          <w:sz w:val="28"/>
        </w:rPr>
        <w:t>працівників, </w:t>
      </w:r>
      <w:r>
        <w:rPr>
          <w:spacing w:val="-3"/>
          <w:sz w:val="28"/>
        </w:rPr>
        <w:t>якість </w:t>
      </w:r>
      <w:r>
        <w:rPr>
          <w:spacing w:val="-4"/>
          <w:sz w:val="28"/>
        </w:rPr>
        <w:t>зберігання, тари, транспортування, реалізації, </w:t>
      </w:r>
      <w:r>
        <w:rPr>
          <w:sz w:val="28"/>
        </w:rPr>
        <w:t>фактори </w:t>
      </w:r>
      <w:r>
        <w:rPr>
          <w:spacing w:val="-3"/>
          <w:sz w:val="28"/>
        </w:rPr>
        <w:t>сфери </w:t>
      </w:r>
      <w:r>
        <w:rPr>
          <w:spacing w:val="-4"/>
          <w:sz w:val="28"/>
        </w:rPr>
        <w:t>споживання.</w:t>
      </w:r>
      <w:r>
        <w:rPr>
          <w:spacing w:val="62"/>
          <w:sz w:val="28"/>
        </w:rPr>
        <w:t> </w:t>
      </w:r>
      <w:r>
        <w:rPr>
          <w:spacing w:val="-4"/>
          <w:sz w:val="28"/>
        </w:rPr>
        <w:t>Загалом</w:t>
      </w:r>
      <w:r>
        <w:rPr>
          <w:spacing w:val="62"/>
          <w:sz w:val="28"/>
        </w:rPr>
        <w:t> </w:t>
      </w:r>
      <w:r>
        <w:rPr>
          <w:spacing w:val="-4"/>
          <w:sz w:val="28"/>
        </w:rPr>
        <w:t>лабораторні</w:t>
      </w:r>
      <w:r>
        <w:rPr>
          <w:spacing w:val="62"/>
          <w:sz w:val="28"/>
        </w:rPr>
        <w:t> </w:t>
      </w:r>
      <w:r>
        <w:rPr>
          <w:spacing w:val="-4"/>
          <w:sz w:val="28"/>
        </w:rPr>
        <w:t>дослідження</w:t>
      </w:r>
      <w:r>
        <w:rPr>
          <w:spacing w:val="62"/>
          <w:sz w:val="28"/>
        </w:rPr>
        <w:t> </w:t>
      </w:r>
      <w:r>
        <w:rPr>
          <w:sz w:val="28"/>
        </w:rPr>
        <w:t>меду </w:t>
      </w:r>
      <w:r>
        <w:rPr>
          <w:spacing w:val="-4"/>
          <w:sz w:val="28"/>
        </w:rPr>
        <w:t>включають</w:t>
      </w:r>
      <w:r>
        <w:rPr>
          <w:spacing w:val="62"/>
          <w:sz w:val="28"/>
        </w:rPr>
        <w:t> </w:t>
      </w:r>
      <w:r>
        <w:rPr>
          <w:spacing w:val="-4"/>
          <w:sz w:val="28"/>
        </w:rPr>
        <w:t>визначення хімічного </w:t>
      </w:r>
      <w:r>
        <w:rPr>
          <w:sz w:val="28"/>
        </w:rPr>
        <w:t>складу </w:t>
      </w:r>
      <w:r>
        <w:rPr>
          <w:spacing w:val="-3"/>
          <w:sz w:val="28"/>
        </w:rPr>
        <w:t>продукту </w:t>
      </w:r>
      <w:r>
        <w:rPr>
          <w:spacing w:val="-4"/>
          <w:sz w:val="28"/>
        </w:rPr>
        <w:t>(відсотковий вміст</w:t>
      </w:r>
      <w:r>
        <w:rPr>
          <w:spacing w:val="62"/>
          <w:sz w:val="28"/>
        </w:rPr>
        <w:t> </w:t>
      </w:r>
      <w:r>
        <w:rPr>
          <w:spacing w:val="-5"/>
          <w:sz w:val="28"/>
        </w:rPr>
        <w:t>води, </w:t>
      </w:r>
      <w:r>
        <w:rPr>
          <w:spacing w:val="-4"/>
          <w:sz w:val="28"/>
        </w:rPr>
        <w:t>цукрів, вітамінів, білків, амінокислот,</w:t>
      </w:r>
      <w:r>
        <w:rPr>
          <w:spacing w:val="62"/>
          <w:sz w:val="28"/>
        </w:rPr>
        <w:t> </w:t>
      </w:r>
      <w:r>
        <w:rPr>
          <w:spacing w:val="-3"/>
          <w:sz w:val="28"/>
        </w:rPr>
        <w:t>мінеральних </w:t>
      </w:r>
      <w:r>
        <w:rPr>
          <w:spacing w:val="-4"/>
          <w:sz w:val="28"/>
        </w:rPr>
        <w:t>та</w:t>
      </w:r>
      <w:r>
        <w:rPr>
          <w:spacing w:val="62"/>
          <w:sz w:val="28"/>
        </w:rPr>
        <w:t> </w:t>
      </w:r>
      <w:r>
        <w:rPr>
          <w:spacing w:val="-4"/>
          <w:sz w:val="28"/>
        </w:rPr>
        <w:t>інших речовин),</w:t>
      </w:r>
      <w:r>
        <w:rPr>
          <w:spacing w:val="62"/>
          <w:sz w:val="28"/>
        </w:rPr>
        <w:t> </w:t>
      </w:r>
      <w:r>
        <w:rPr>
          <w:spacing w:val="-4"/>
          <w:sz w:val="28"/>
        </w:rPr>
        <w:t>пилкового</w:t>
      </w:r>
      <w:r>
        <w:rPr>
          <w:spacing w:val="62"/>
          <w:sz w:val="28"/>
        </w:rPr>
        <w:t> </w:t>
      </w:r>
      <w:r>
        <w:rPr>
          <w:spacing w:val="-4"/>
          <w:sz w:val="28"/>
        </w:rPr>
        <w:t>складу,</w:t>
      </w:r>
      <w:r>
        <w:rPr>
          <w:spacing w:val="62"/>
          <w:sz w:val="28"/>
        </w:rPr>
        <w:t> </w:t>
      </w:r>
      <w:r>
        <w:rPr>
          <w:spacing w:val="-4"/>
          <w:sz w:val="28"/>
        </w:rPr>
        <w:t>виявлення механічних нерозчинних </w:t>
      </w:r>
      <w:r>
        <w:rPr>
          <w:spacing w:val="-3"/>
          <w:sz w:val="28"/>
        </w:rPr>
        <w:t>домішок, </w:t>
      </w:r>
      <w:r>
        <w:rPr>
          <w:spacing w:val="-5"/>
          <w:sz w:val="28"/>
        </w:rPr>
        <w:t>бродіння, </w:t>
      </w:r>
      <w:r>
        <w:rPr>
          <w:spacing w:val="-4"/>
          <w:sz w:val="28"/>
        </w:rPr>
        <w:t>визначення антибіотиків та випадків фальсифікації</w:t>
      </w:r>
      <w:r>
        <w:rPr>
          <w:spacing w:val="62"/>
          <w:sz w:val="28"/>
        </w:rPr>
        <w:t> </w:t>
      </w:r>
      <w:r>
        <w:rPr>
          <w:spacing w:val="-4"/>
          <w:sz w:val="28"/>
        </w:rPr>
        <w:t>меду.</w:t>
      </w:r>
      <w:r>
        <w:rPr>
          <w:spacing w:val="62"/>
          <w:sz w:val="28"/>
        </w:rPr>
        <w:t> </w:t>
      </w:r>
      <w:r>
        <w:rPr>
          <w:spacing w:val="-4"/>
          <w:sz w:val="28"/>
        </w:rPr>
        <w:t>Передусім</w:t>
      </w:r>
      <w:r>
        <w:rPr>
          <w:spacing w:val="62"/>
          <w:sz w:val="28"/>
        </w:rPr>
        <w:t> </w:t>
      </w:r>
      <w:r>
        <w:rPr>
          <w:spacing w:val="-4"/>
          <w:sz w:val="28"/>
        </w:rPr>
        <w:t>необхідно</w:t>
      </w:r>
      <w:r>
        <w:rPr>
          <w:spacing w:val="62"/>
          <w:sz w:val="28"/>
        </w:rPr>
        <w:t> </w:t>
      </w:r>
      <w:r>
        <w:rPr>
          <w:spacing w:val="-4"/>
          <w:sz w:val="28"/>
        </w:rPr>
        <w:t>проаналізувати</w:t>
      </w:r>
      <w:r>
        <w:rPr>
          <w:spacing w:val="62"/>
          <w:sz w:val="28"/>
        </w:rPr>
        <w:t> </w:t>
      </w:r>
      <w:r>
        <w:rPr>
          <w:spacing w:val="-3"/>
          <w:sz w:val="28"/>
        </w:rPr>
        <w:t>продукт на </w:t>
      </w:r>
      <w:r>
        <w:rPr>
          <w:spacing w:val="-4"/>
          <w:sz w:val="28"/>
        </w:rPr>
        <w:t>вміст </w:t>
      </w:r>
      <w:r>
        <w:rPr>
          <w:spacing w:val="-3"/>
          <w:sz w:val="28"/>
        </w:rPr>
        <w:t>основних цукрів </w:t>
      </w:r>
      <w:r>
        <w:rPr>
          <w:spacing w:val="-4"/>
          <w:sz w:val="28"/>
        </w:rPr>
        <w:t>(глюкози, </w:t>
      </w:r>
      <w:r>
        <w:rPr>
          <w:spacing w:val="-3"/>
          <w:sz w:val="28"/>
        </w:rPr>
        <w:t>фруктози, </w:t>
      </w:r>
      <w:r>
        <w:rPr>
          <w:spacing w:val="-4"/>
          <w:sz w:val="28"/>
        </w:rPr>
        <w:t>сахарози), антибіотиків (стрептоміцину, тетрацикліну, хлорамфеніколу</w:t>
      </w:r>
      <w:r>
        <w:rPr>
          <w:spacing w:val="62"/>
          <w:sz w:val="28"/>
        </w:rPr>
        <w:t> </w:t>
      </w:r>
      <w:r>
        <w:rPr>
          <w:spacing w:val="-3"/>
          <w:sz w:val="28"/>
        </w:rPr>
        <w:t>тощо), </w:t>
      </w:r>
      <w:r>
        <w:rPr>
          <w:spacing w:val="-4"/>
          <w:sz w:val="28"/>
        </w:rPr>
        <w:t>сульфаніламідних</w:t>
      </w:r>
      <w:r>
        <w:rPr>
          <w:spacing w:val="62"/>
          <w:sz w:val="28"/>
        </w:rPr>
        <w:t> </w:t>
      </w:r>
      <w:r>
        <w:rPr>
          <w:spacing w:val="-4"/>
          <w:sz w:val="28"/>
        </w:rPr>
        <w:t>препаратів, </w:t>
      </w:r>
      <w:r>
        <w:rPr>
          <w:spacing w:val="-3"/>
          <w:sz w:val="28"/>
        </w:rPr>
        <w:t>важких </w:t>
      </w:r>
      <w:r>
        <w:rPr>
          <w:spacing w:val="-4"/>
          <w:sz w:val="28"/>
        </w:rPr>
        <w:t>металів, пестицидів тощо. Детальний лабораторний </w:t>
      </w:r>
      <w:r>
        <w:rPr>
          <w:spacing w:val="-3"/>
          <w:sz w:val="28"/>
        </w:rPr>
        <w:t>аналіз </w:t>
      </w:r>
      <w:r>
        <w:rPr>
          <w:spacing w:val="-4"/>
          <w:sz w:val="28"/>
        </w:rPr>
        <w:t>меду, </w:t>
      </w:r>
      <w:r>
        <w:rPr>
          <w:spacing w:val="-3"/>
          <w:sz w:val="28"/>
        </w:rPr>
        <w:t>дасть </w:t>
      </w:r>
      <w:r>
        <w:rPr>
          <w:sz w:val="28"/>
        </w:rPr>
        <w:t>змогу </w:t>
      </w:r>
      <w:r>
        <w:rPr>
          <w:spacing w:val="-4"/>
          <w:sz w:val="28"/>
        </w:rPr>
        <w:t>отримати</w:t>
      </w:r>
      <w:r>
        <w:rPr>
          <w:spacing w:val="62"/>
          <w:sz w:val="28"/>
        </w:rPr>
        <w:t> </w:t>
      </w:r>
      <w:r>
        <w:rPr>
          <w:spacing w:val="-3"/>
          <w:sz w:val="28"/>
        </w:rPr>
        <w:t>повну </w:t>
      </w:r>
      <w:r>
        <w:rPr>
          <w:spacing w:val="-4"/>
          <w:sz w:val="28"/>
        </w:rPr>
        <w:t>інформацію</w:t>
      </w:r>
      <w:r>
        <w:rPr>
          <w:spacing w:val="62"/>
          <w:sz w:val="28"/>
        </w:rPr>
        <w:t> </w:t>
      </w:r>
      <w:r>
        <w:rPr>
          <w:sz w:val="28"/>
        </w:rPr>
        <w:t>про </w:t>
      </w:r>
      <w:r>
        <w:rPr>
          <w:spacing w:val="-3"/>
          <w:sz w:val="28"/>
        </w:rPr>
        <w:t>його </w:t>
      </w:r>
      <w:r>
        <w:rPr>
          <w:spacing w:val="-4"/>
          <w:sz w:val="28"/>
        </w:rPr>
        <w:t>основний</w:t>
      </w:r>
      <w:r>
        <w:rPr>
          <w:spacing w:val="62"/>
          <w:sz w:val="28"/>
        </w:rPr>
        <w:t> </w:t>
      </w:r>
      <w:r>
        <w:rPr>
          <w:spacing w:val="-4"/>
          <w:sz w:val="28"/>
        </w:rPr>
        <w:t>склад</w:t>
      </w:r>
      <w:r>
        <w:rPr>
          <w:spacing w:val="62"/>
          <w:sz w:val="28"/>
        </w:rPr>
        <w:t> </w:t>
      </w:r>
      <w:r>
        <w:rPr>
          <w:spacing w:val="-4"/>
          <w:sz w:val="28"/>
        </w:rPr>
        <w:t>та</w:t>
      </w:r>
      <w:r>
        <w:rPr>
          <w:spacing w:val="62"/>
          <w:sz w:val="28"/>
        </w:rPr>
        <w:t> </w:t>
      </w:r>
      <w:r>
        <w:rPr>
          <w:sz w:val="28"/>
        </w:rPr>
        <w:t>про </w:t>
      </w:r>
      <w:r>
        <w:rPr>
          <w:spacing w:val="-4"/>
          <w:sz w:val="28"/>
        </w:rPr>
        <w:t>відсоткове співвідношення усіх його компонентів. </w:t>
      </w:r>
      <w:r>
        <w:rPr>
          <w:spacing w:val="-3"/>
          <w:sz w:val="28"/>
        </w:rPr>
        <w:t>Базові законодавчі </w:t>
      </w:r>
      <w:r>
        <w:rPr>
          <w:spacing w:val="-4"/>
          <w:sz w:val="28"/>
        </w:rPr>
        <w:t>вимоги </w:t>
      </w:r>
      <w:r>
        <w:rPr>
          <w:sz w:val="28"/>
        </w:rPr>
        <w:t>щодо </w:t>
      </w:r>
      <w:r>
        <w:rPr>
          <w:spacing w:val="-3"/>
          <w:sz w:val="28"/>
        </w:rPr>
        <w:t>якості </w:t>
      </w:r>
      <w:r>
        <w:rPr>
          <w:sz w:val="28"/>
        </w:rPr>
        <w:t>та </w:t>
      </w:r>
      <w:r>
        <w:rPr>
          <w:spacing w:val="-4"/>
          <w:sz w:val="28"/>
        </w:rPr>
        <w:t>безпечності бджолиного меду, </w:t>
      </w:r>
      <w:r>
        <w:rPr>
          <w:sz w:val="28"/>
        </w:rPr>
        <w:t>що </w:t>
      </w:r>
      <w:r>
        <w:rPr>
          <w:spacing w:val="-3"/>
          <w:sz w:val="28"/>
        </w:rPr>
        <w:t>чинні </w:t>
      </w:r>
      <w:r>
        <w:rPr>
          <w:sz w:val="28"/>
        </w:rPr>
        <w:t>в </w:t>
      </w:r>
      <w:r>
        <w:rPr>
          <w:spacing w:val="-4"/>
          <w:sz w:val="28"/>
        </w:rPr>
        <w:t>ЄС, визначені </w:t>
      </w:r>
      <w:r>
        <w:rPr>
          <w:spacing w:val="-3"/>
          <w:sz w:val="28"/>
        </w:rPr>
        <w:t>CODEX STAN </w:t>
      </w:r>
      <w:r>
        <w:rPr>
          <w:sz w:val="28"/>
        </w:rPr>
        <w:t>12- </w:t>
      </w:r>
      <w:r>
        <w:rPr>
          <w:spacing w:val="-3"/>
          <w:sz w:val="28"/>
        </w:rPr>
        <w:t>1981 </w:t>
      </w:r>
      <w:r>
        <w:rPr>
          <w:spacing w:val="-4"/>
          <w:sz w:val="28"/>
        </w:rPr>
        <w:t>Standard for Honey </w:t>
      </w:r>
      <w:r>
        <w:rPr>
          <w:spacing w:val="-3"/>
          <w:sz w:val="28"/>
        </w:rPr>
        <w:t>(далі </w:t>
      </w:r>
      <w:r>
        <w:rPr>
          <w:sz w:val="28"/>
        </w:rPr>
        <w:t>– </w:t>
      </w:r>
      <w:r>
        <w:rPr>
          <w:spacing w:val="-4"/>
          <w:sz w:val="28"/>
        </w:rPr>
        <w:t>Кодекс) та</w:t>
      </w:r>
      <w:r>
        <w:rPr>
          <w:spacing w:val="62"/>
          <w:sz w:val="28"/>
        </w:rPr>
        <w:t> </w:t>
      </w:r>
      <w:r>
        <w:rPr>
          <w:spacing w:val="-4"/>
          <w:sz w:val="28"/>
        </w:rPr>
        <w:t>Council Directive 2001/110/EC </w:t>
      </w:r>
      <w:r>
        <w:rPr>
          <w:spacing w:val="-3"/>
          <w:sz w:val="28"/>
        </w:rPr>
        <w:t>(далі </w:t>
      </w:r>
      <w:r>
        <w:rPr>
          <w:sz w:val="28"/>
        </w:rPr>
        <w:t>– </w:t>
      </w:r>
      <w:r>
        <w:rPr>
          <w:spacing w:val="-4"/>
          <w:sz w:val="28"/>
        </w:rPr>
        <w:t>Директива), </w:t>
      </w:r>
      <w:r>
        <w:rPr>
          <w:sz w:val="28"/>
        </w:rPr>
        <w:t>а в </w:t>
      </w:r>
      <w:r>
        <w:rPr>
          <w:spacing w:val="-4"/>
          <w:sz w:val="28"/>
        </w:rPr>
        <w:t>Україні </w:t>
      </w:r>
      <w:r>
        <w:rPr>
          <w:sz w:val="28"/>
        </w:rPr>
        <w:t>– </w:t>
      </w:r>
      <w:r>
        <w:rPr>
          <w:spacing w:val="-3"/>
          <w:sz w:val="28"/>
        </w:rPr>
        <w:t>ДСТУ 4497:2005 </w:t>
      </w:r>
      <w:r>
        <w:rPr>
          <w:spacing w:val="-5"/>
          <w:sz w:val="28"/>
        </w:rPr>
        <w:t>«Мед </w:t>
      </w:r>
      <w:r>
        <w:rPr>
          <w:spacing w:val="-4"/>
          <w:sz w:val="28"/>
        </w:rPr>
        <w:t>натуральний. Технічні умови». Порівняльний аналіз законодавчої </w:t>
      </w:r>
      <w:r>
        <w:rPr>
          <w:spacing w:val="-3"/>
          <w:sz w:val="28"/>
        </w:rPr>
        <w:t>бази </w:t>
      </w:r>
      <w:r>
        <w:rPr>
          <w:sz w:val="28"/>
        </w:rPr>
        <w:t>щодо </w:t>
      </w:r>
      <w:r>
        <w:rPr>
          <w:spacing w:val="-3"/>
          <w:sz w:val="28"/>
        </w:rPr>
        <w:t>якості </w:t>
      </w:r>
      <w:r>
        <w:rPr>
          <w:sz w:val="28"/>
        </w:rPr>
        <w:t>меду в </w:t>
      </w:r>
      <w:r>
        <w:rPr>
          <w:spacing w:val="-4"/>
          <w:sz w:val="28"/>
        </w:rPr>
        <w:t>Україні та ЄС </w:t>
      </w:r>
      <w:r>
        <w:rPr>
          <w:spacing w:val="-3"/>
          <w:sz w:val="28"/>
        </w:rPr>
        <w:t>показав </w:t>
      </w:r>
      <w:r>
        <w:rPr>
          <w:spacing w:val="-4"/>
          <w:sz w:val="28"/>
        </w:rPr>
        <w:t>наявність розбіжностей </w:t>
      </w:r>
      <w:r>
        <w:rPr>
          <w:sz w:val="28"/>
        </w:rPr>
        <w:t>в </w:t>
      </w:r>
      <w:r>
        <w:rPr>
          <w:spacing w:val="-3"/>
          <w:sz w:val="28"/>
        </w:rPr>
        <w:t>системі </w:t>
      </w:r>
      <w:r>
        <w:rPr>
          <w:spacing w:val="-4"/>
          <w:sz w:val="28"/>
        </w:rPr>
        <w:t>класифікації (табл.</w:t>
      </w:r>
      <w:r>
        <w:rPr>
          <w:spacing w:val="-39"/>
          <w:sz w:val="28"/>
        </w:rPr>
        <w:t> </w:t>
      </w:r>
      <w:r>
        <w:rPr>
          <w:spacing w:val="-4"/>
          <w:sz w:val="28"/>
        </w:rPr>
        <w:t>1).</w:t>
      </w:r>
    </w:p>
    <w:p>
      <w:pPr>
        <w:pStyle w:val="BodyText"/>
        <w:spacing w:before="4"/>
        <w:ind w:right="611" w:firstLine="710"/>
      </w:pPr>
      <w:r>
        <w:rPr>
          <w:spacing w:val="-5"/>
        </w:rPr>
        <w:t>Отже, </w:t>
      </w:r>
      <w:r>
        <w:rPr>
          <w:spacing w:val="-3"/>
        </w:rPr>
        <w:t>Кодекс </w:t>
      </w:r>
      <w:r>
        <w:rPr>
          <w:spacing w:val="-4"/>
        </w:rPr>
        <w:t>та Директива </w:t>
      </w:r>
      <w:r>
        <w:rPr/>
        <w:t>мають </w:t>
      </w:r>
      <w:r>
        <w:rPr>
          <w:spacing w:val="-3"/>
        </w:rPr>
        <w:t>однакові </w:t>
      </w:r>
      <w:r>
        <w:rPr>
          <w:spacing w:val="-4"/>
        </w:rPr>
        <w:t>визначення та класифікацію </w:t>
      </w:r>
      <w:r>
        <w:rPr>
          <w:spacing w:val="-5"/>
        </w:rPr>
        <w:t>меду. </w:t>
      </w:r>
      <w:r>
        <w:rPr>
          <w:spacing w:val="-3"/>
        </w:rPr>
        <w:t>Окрім </w:t>
      </w:r>
      <w:r>
        <w:rPr>
          <w:spacing w:val="-5"/>
        </w:rPr>
        <w:t>того, </w:t>
      </w:r>
      <w:r>
        <w:rPr>
          <w:spacing w:val="-4"/>
        </w:rPr>
        <w:t>Директива визначає </w:t>
      </w:r>
      <w:r>
        <w:rPr>
          <w:spacing w:val="-3"/>
        </w:rPr>
        <w:t>окремо </w:t>
      </w:r>
      <w:r>
        <w:rPr>
          <w:spacing w:val="-4"/>
        </w:rPr>
        <w:t>класифікацію </w:t>
      </w:r>
      <w:r>
        <w:rPr/>
        <w:t>меду </w:t>
      </w:r>
      <w:r>
        <w:rPr>
          <w:spacing w:val="-3"/>
        </w:rPr>
        <w:t>за </w:t>
      </w:r>
      <w:r>
        <w:rPr>
          <w:spacing w:val="-4"/>
        </w:rPr>
        <w:t>призначенням</w:t>
      </w:r>
    </w:p>
    <w:p>
      <w:pPr>
        <w:pStyle w:val="ListParagraph"/>
        <w:numPr>
          <w:ilvl w:val="0"/>
          <w:numId w:val="14"/>
        </w:numPr>
        <w:tabs>
          <w:tab w:pos="482" w:val="left" w:leader="none"/>
        </w:tabs>
        <w:spacing w:line="240" w:lineRule="auto" w:before="0" w:after="0"/>
        <w:ind w:left="193" w:right="606" w:firstLine="0"/>
        <w:jc w:val="both"/>
        <w:rPr>
          <w:sz w:val="28"/>
        </w:rPr>
      </w:pPr>
      <w:r>
        <w:rPr>
          <w:spacing w:val="-4"/>
          <w:sz w:val="28"/>
        </w:rPr>
        <w:t>пекарський </w:t>
      </w:r>
      <w:r>
        <w:rPr>
          <w:spacing w:val="-3"/>
          <w:sz w:val="28"/>
        </w:rPr>
        <w:t>мед, </w:t>
      </w:r>
      <w:r>
        <w:rPr>
          <w:spacing w:val="-4"/>
          <w:sz w:val="28"/>
        </w:rPr>
        <w:t>який призначений </w:t>
      </w:r>
      <w:r>
        <w:rPr>
          <w:spacing w:val="-3"/>
          <w:sz w:val="28"/>
        </w:rPr>
        <w:t>для </w:t>
      </w:r>
      <w:r>
        <w:rPr>
          <w:spacing w:val="-4"/>
          <w:sz w:val="28"/>
        </w:rPr>
        <w:t>подальшої технологічної </w:t>
      </w:r>
      <w:r>
        <w:rPr>
          <w:spacing w:val="-3"/>
          <w:sz w:val="28"/>
        </w:rPr>
        <w:t>переробки </w:t>
      </w:r>
      <w:r>
        <w:rPr>
          <w:spacing w:val="-4"/>
          <w:sz w:val="28"/>
        </w:rPr>
        <w:t>(наприклад, </w:t>
      </w:r>
      <w:r>
        <w:rPr>
          <w:sz w:val="28"/>
        </w:rPr>
        <w:t>у </w:t>
      </w:r>
      <w:r>
        <w:rPr>
          <w:spacing w:val="-4"/>
          <w:sz w:val="28"/>
        </w:rPr>
        <w:t>кондитерській </w:t>
      </w:r>
      <w:r>
        <w:rPr>
          <w:spacing w:val="-3"/>
          <w:sz w:val="28"/>
        </w:rPr>
        <w:t>або </w:t>
      </w:r>
      <w:r>
        <w:rPr>
          <w:spacing w:val="-4"/>
          <w:sz w:val="28"/>
        </w:rPr>
        <w:t>хлібопекарській галузях). </w:t>
      </w:r>
      <w:r>
        <w:rPr>
          <w:sz w:val="28"/>
        </w:rPr>
        <w:t>Як </w:t>
      </w:r>
      <w:r>
        <w:rPr>
          <w:spacing w:val="-5"/>
          <w:sz w:val="28"/>
        </w:rPr>
        <w:t>правило, </w:t>
      </w:r>
      <w:r>
        <w:rPr>
          <w:sz w:val="28"/>
        </w:rPr>
        <w:t>у меду </w:t>
      </w:r>
      <w:r>
        <w:rPr>
          <w:spacing w:val="-4"/>
          <w:sz w:val="28"/>
        </w:rPr>
        <w:t>пекарського показники </w:t>
      </w:r>
      <w:r>
        <w:rPr>
          <w:spacing w:val="-3"/>
          <w:sz w:val="28"/>
        </w:rPr>
        <w:t>якості продукту </w:t>
      </w:r>
      <w:r>
        <w:rPr>
          <w:spacing w:val="-5"/>
          <w:sz w:val="28"/>
        </w:rPr>
        <w:t>нижчі, </w:t>
      </w:r>
      <w:r>
        <w:rPr>
          <w:spacing w:val="-3"/>
          <w:sz w:val="28"/>
        </w:rPr>
        <w:t>ніж </w:t>
      </w:r>
      <w:r>
        <w:rPr>
          <w:sz w:val="28"/>
        </w:rPr>
        <w:t>у меду </w:t>
      </w:r>
      <w:r>
        <w:rPr>
          <w:spacing w:val="-4"/>
          <w:sz w:val="28"/>
        </w:rPr>
        <w:t>натурального. </w:t>
      </w:r>
      <w:r>
        <w:rPr>
          <w:sz w:val="28"/>
        </w:rPr>
        <w:t>А </w:t>
      </w:r>
      <w:r>
        <w:rPr>
          <w:spacing w:val="-4"/>
          <w:sz w:val="28"/>
        </w:rPr>
        <w:t>саме, </w:t>
      </w:r>
      <w:r>
        <w:rPr>
          <w:sz w:val="28"/>
        </w:rPr>
        <w:t>в </w:t>
      </w:r>
      <w:r>
        <w:rPr>
          <w:spacing w:val="-4"/>
          <w:sz w:val="28"/>
        </w:rPr>
        <w:t>Директиві</w:t>
      </w:r>
      <w:r>
        <w:rPr>
          <w:spacing w:val="-17"/>
          <w:sz w:val="28"/>
        </w:rPr>
        <w:t> </w:t>
      </w:r>
      <w:r>
        <w:rPr>
          <w:spacing w:val="-4"/>
          <w:sz w:val="28"/>
        </w:rPr>
        <w:t>прописано,</w:t>
      </w:r>
      <w:r>
        <w:rPr>
          <w:spacing w:val="-9"/>
          <w:sz w:val="28"/>
        </w:rPr>
        <w:t> </w:t>
      </w:r>
      <w:r>
        <w:rPr>
          <w:sz w:val="28"/>
        </w:rPr>
        <w:t>що</w:t>
      </w:r>
      <w:r>
        <w:rPr>
          <w:spacing w:val="-11"/>
          <w:sz w:val="28"/>
        </w:rPr>
        <w:t> </w:t>
      </w:r>
      <w:r>
        <w:rPr>
          <w:spacing w:val="-4"/>
          <w:sz w:val="28"/>
        </w:rPr>
        <w:t>пекарський</w:t>
      </w:r>
      <w:r>
        <w:rPr>
          <w:spacing w:val="-10"/>
          <w:sz w:val="28"/>
        </w:rPr>
        <w:t> </w:t>
      </w:r>
      <w:r>
        <w:rPr>
          <w:spacing w:val="-3"/>
          <w:sz w:val="28"/>
        </w:rPr>
        <w:t>мед</w:t>
      </w:r>
      <w:r>
        <w:rPr>
          <w:spacing w:val="-9"/>
          <w:sz w:val="28"/>
        </w:rPr>
        <w:t> </w:t>
      </w:r>
      <w:r>
        <w:rPr>
          <w:spacing w:val="-5"/>
          <w:sz w:val="28"/>
        </w:rPr>
        <w:t>(baker's</w:t>
      </w:r>
      <w:r>
        <w:rPr>
          <w:spacing w:val="-4"/>
          <w:sz w:val="28"/>
        </w:rPr>
        <w:t> </w:t>
      </w:r>
      <w:r>
        <w:rPr>
          <w:spacing w:val="-3"/>
          <w:sz w:val="28"/>
        </w:rPr>
        <w:t>honey)</w:t>
      </w:r>
      <w:r>
        <w:rPr>
          <w:spacing w:val="-12"/>
          <w:sz w:val="28"/>
        </w:rPr>
        <w:t> </w:t>
      </w:r>
      <w:r>
        <w:rPr>
          <w:sz w:val="28"/>
        </w:rPr>
        <w:t>–</w:t>
      </w:r>
      <w:r>
        <w:rPr>
          <w:spacing w:val="-11"/>
          <w:sz w:val="28"/>
        </w:rPr>
        <w:t> </w:t>
      </w:r>
      <w:r>
        <w:rPr>
          <w:spacing w:val="-3"/>
          <w:sz w:val="28"/>
        </w:rPr>
        <w:t>мед,</w:t>
      </w:r>
      <w:r>
        <w:rPr>
          <w:spacing w:val="-8"/>
          <w:sz w:val="28"/>
        </w:rPr>
        <w:t> </w:t>
      </w:r>
      <w:r>
        <w:rPr>
          <w:spacing w:val="-4"/>
          <w:sz w:val="28"/>
        </w:rPr>
        <w:t>який</w:t>
      </w:r>
      <w:r>
        <w:rPr>
          <w:spacing w:val="-11"/>
          <w:sz w:val="28"/>
        </w:rPr>
        <w:t> </w:t>
      </w:r>
      <w:r>
        <w:rPr>
          <w:spacing w:val="-3"/>
          <w:sz w:val="28"/>
        </w:rPr>
        <w:t>підходить</w:t>
      </w:r>
      <w:r>
        <w:rPr>
          <w:spacing w:val="-13"/>
          <w:sz w:val="28"/>
        </w:rPr>
        <w:t> </w:t>
      </w:r>
      <w:r>
        <w:rPr>
          <w:spacing w:val="-3"/>
          <w:sz w:val="28"/>
        </w:rPr>
        <w:t>для </w:t>
      </w:r>
      <w:r>
        <w:rPr>
          <w:spacing w:val="-4"/>
          <w:sz w:val="28"/>
        </w:rPr>
        <w:t>промислового</w:t>
      </w:r>
      <w:r>
        <w:rPr>
          <w:spacing w:val="-12"/>
          <w:sz w:val="28"/>
        </w:rPr>
        <w:t> </w:t>
      </w:r>
      <w:r>
        <w:rPr>
          <w:spacing w:val="-4"/>
          <w:sz w:val="28"/>
        </w:rPr>
        <w:t>використання</w:t>
      </w:r>
      <w:r>
        <w:rPr>
          <w:spacing w:val="-11"/>
          <w:sz w:val="28"/>
        </w:rPr>
        <w:t> </w:t>
      </w:r>
      <w:r>
        <w:rPr>
          <w:spacing w:val="-3"/>
          <w:sz w:val="28"/>
        </w:rPr>
        <w:t>або</w:t>
      </w:r>
      <w:r>
        <w:rPr>
          <w:spacing w:val="-12"/>
          <w:sz w:val="28"/>
        </w:rPr>
        <w:t> </w:t>
      </w:r>
      <w:r>
        <w:rPr>
          <w:sz w:val="28"/>
        </w:rPr>
        <w:t>як</w:t>
      </w:r>
      <w:r>
        <w:rPr>
          <w:spacing w:val="-8"/>
          <w:sz w:val="28"/>
        </w:rPr>
        <w:t> </w:t>
      </w:r>
      <w:r>
        <w:rPr>
          <w:spacing w:val="-4"/>
          <w:sz w:val="28"/>
        </w:rPr>
        <w:t>інгредієнт</w:t>
      </w:r>
      <w:r>
        <w:rPr>
          <w:spacing w:val="-13"/>
          <w:sz w:val="28"/>
        </w:rPr>
        <w:t> </w:t>
      </w:r>
      <w:r>
        <w:rPr>
          <w:spacing w:val="-3"/>
          <w:sz w:val="28"/>
        </w:rPr>
        <w:t>для</w:t>
      </w:r>
      <w:r>
        <w:rPr>
          <w:spacing w:val="-11"/>
          <w:sz w:val="28"/>
        </w:rPr>
        <w:t> </w:t>
      </w:r>
      <w:r>
        <w:rPr>
          <w:spacing w:val="-4"/>
          <w:sz w:val="28"/>
        </w:rPr>
        <w:t>інших</w:t>
      </w:r>
      <w:r>
        <w:rPr>
          <w:spacing w:val="-16"/>
          <w:sz w:val="28"/>
        </w:rPr>
        <w:t> </w:t>
      </w:r>
      <w:r>
        <w:rPr>
          <w:spacing w:val="-4"/>
          <w:sz w:val="28"/>
        </w:rPr>
        <w:t>продуктів</w:t>
      </w:r>
      <w:r>
        <w:rPr>
          <w:spacing w:val="-9"/>
          <w:sz w:val="28"/>
        </w:rPr>
        <w:t> </w:t>
      </w:r>
      <w:r>
        <w:rPr>
          <w:spacing w:val="-4"/>
          <w:sz w:val="28"/>
        </w:rPr>
        <w:t>харчування,</w:t>
      </w:r>
      <w:r>
        <w:rPr>
          <w:spacing w:val="-10"/>
          <w:sz w:val="28"/>
        </w:rPr>
        <w:t> </w:t>
      </w:r>
      <w:r>
        <w:rPr>
          <w:sz w:val="28"/>
        </w:rPr>
        <w:t>які </w:t>
      </w:r>
      <w:r>
        <w:rPr>
          <w:spacing w:val="-4"/>
          <w:sz w:val="28"/>
        </w:rPr>
        <w:t>потім обробляються, </w:t>
      </w:r>
      <w:r>
        <w:rPr>
          <w:sz w:val="28"/>
        </w:rPr>
        <w:t>і може: </w:t>
      </w:r>
      <w:r>
        <w:rPr>
          <w:spacing w:val="-3"/>
          <w:sz w:val="28"/>
        </w:rPr>
        <w:t>мати </w:t>
      </w:r>
      <w:r>
        <w:rPr>
          <w:spacing w:val="-4"/>
          <w:sz w:val="28"/>
        </w:rPr>
        <w:t>чужорідний </w:t>
      </w:r>
      <w:r>
        <w:rPr>
          <w:sz w:val="28"/>
        </w:rPr>
        <w:t>смак </w:t>
      </w:r>
      <w:r>
        <w:rPr>
          <w:spacing w:val="-3"/>
          <w:sz w:val="28"/>
        </w:rPr>
        <w:t>або </w:t>
      </w:r>
      <w:r>
        <w:rPr>
          <w:spacing w:val="-5"/>
          <w:sz w:val="28"/>
        </w:rPr>
        <w:t>запах, </w:t>
      </w:r>
      <w:r>
        <w:rPr>
          <w:spacing w:val="-3"/>
          <w:sz w:val="28"/>
        </w:rPr>
        <w:t>або почати</w:t>
      </w:r>
      <w:r>
        <w:rPr>
          <w:spacing w:val="-49"/>
          <w:sz w:val="28"/>
        </w:rPr>
        <w:t> </w:t>
      </w:r>
      <w:r>
        <w:rPr>
          <w:spacing w:val="-3"/>
          <w:sz w:val="28"/>
        </w:rPr>
        <w:t>бродити або </w:t>
      </w:r>
      <w:r>
        <w:rPr>
          <w:spacing w:val="-4"/>
          <w:sz w:val="28"/>
        </w:rPr>
        <w:t>бути забродженим, </w:t>
      </w:r>
      <w:r>
        <w:rPr>
          <w:spacing w:val="-3"/>
          <w:sz w:val="28"/>
        </w:rPr>
        <w:t>або бути</w:t>
      </w:r>
      <w:r>
        <w:rPr>
          <w:spacing w:val="-25"/>
          <w:sz w:val="28"/>
        </w:rPr>
        <w:t> </w:t>
      </w:r>
      <w:r>
        <w:rPr>
          <w:spacing w:val="-4"/>
          <w:sz w:val="28"/>
        </w:rPr>
        <w:t>перегрітим.</w:t>
      </w:r>
    </w:p>
    <w:p>
      <w:pPr>
        <w:pStyle w:val="BodyText"/>
        <w:ind w:right="608" w:firstLine="710"/>
      </w:pPr>
      <w:r>
        <w:rPr>
          <w:spacing w:val="-4"/>
        </w:rPr>
        <w:t>Відповідно</w:t>
      </w:r>
      <w:r>
        <w:rPr>
          <w:spacing w:val="62"/>
        </w:rPr>
        <w:t> </w:t>
      </w:r>
      <w:r>
        <w:rPr/>
        <w:t>до </w:t>
      </w:r>
      <w:r>
        <w:rPr>
          <w:spacing w:val="-3"/>
        </w:rPr>
        <w:t>ЗУ </w:t>
      </w:r>
      <w:r>
        <w:rPr>
          <w:spacing w:val="-4"/>
        </w:rPr>
        <w:t>«Про</w:t>
      </w:r>
      <w:r>
        <w:rPr>
          <w:spacing w:val="62"/>
        </w:rPr>
        <w:t> </w:t>
      </w:r>
      <w:r>
        <w:rPr>
          <w:spacing w:val="-4"/>
        </w:rPr>
        <w:t>безпечність та</w:t>
      </w:r>
      <w:r>
        <w:rPr>
          <w:spacing w:val="62"/>
        </w:rPr>
        <w:t> </w:t>
      </w:r>
      <w:r>
        <w:rPr>
          <w:spacing w:val="-4"/>
        </w:rPr>
        <w:t>якість </w:t>
      </w:r>
      <w:r>
        <w:rPr>
          <w:spacing w:val="-3"/>
        </w:rPr>
        <w:t>харчових продуктів» </w:t>
      </w:r>
      <w:r>
        <w:rPr>
          <w:spacing w:val="-5"/>
        </w:rPr>
        <w:t>вiд </w:t>
      </w:r>
      <w:r>
        <w:rPr>
          <w:spacing w:val="-4"/>
        </w:rPr>
        <w:t>23.12.1997, </w:t>
      </w:r>
      <w:r>
        <w:rPr/>
        <w:t>№ </w:t>
      </w:r>
      <w:r>
        <w:rPr>
          <w:spacing w:val="-4"/>
        </w:rPr>
        <w:t>771/97-ВР, під якістю харчового продукту </w:t>
      </w:r>
      <w:r>
        <w:rPr>
          <w:spacing w:val="-3"/>
        </w:rPr>
        <w:t>слід </w:t>
      </w:r>
      <w:r>
        <w:rPr>
          <w:spacing w:val="-4"/>
        </w:rPr>
        <w:t>розуміти </w:t>
      </w:r>
      <w:r>
        <w:rPr>
          <w:spacing w:val="-3"/>
        </w:rPr>
        <w:t>ступінь </w:t>
      </w:r>
      <w:r>
        <w:rPr>
          <w:spacing w:val="-4"/>
        </w:rPr>
        <w:t>досконалості властивостей</w:t>
      </w:r>
      <w:r>
        <w:rPr>
          <w:spacing w:val="62"/>
        </w:rPr>
        <w:t> </w:t>
      </w:r>
      <w:r>
        <w:rPr/>
        <w:t>і </w:t>
      </w:r>
      <w:r>
        <w:rPr>
          <w:spacing w:val="-3"/>
        </w:rPr>
        <w:t>характерних </w:t>
      </w:r>
      <w:r>
        <w:rPr/>
        <w:t>рис </w:t>
      </w:r>
      <w:r>
        <w:rPr>
          <w:spacing w:val="-4"/>
        </w:rPr>
        <w:t>харчового продукту, </w:t>
      </w:r>
      <w:r>
        <w:rPr/>
        <w:t>які </w:t>
      </w:r>
      <w:r>
        <w:rPr>
          <w:spacing w:val="-3"/>
        </w:rPr>
        <w:t>здатні </w:t>
      </w:r>
      <w:r>
        <w:rPr>
          <w:spacing w:val="-4"/>
        </w:rPr>
        <w:t>задовольнити потреби та </w:t>
      </w:r>
      <w:r>
        <w:rPr>
          <w:spacing w:val="-3"/>
        </w:rPr>
        <w:t>діючі </w:t>
      </w:r>
      <w:r>
        <w:rPr>
          <w:spacing w:val="-4"/>
        </w:rPr>
        <w:t>вимоги, </w:t>
      </w:r>
      <w:r>
        <w:rPr/>
        <w:t>а </w:t>
      </w:r>
      <w:r>
        <w:rPr>
          <w:spacing w:val="-4"/>
        </w:rPr>
        <w:t>також побажання </w:t>
      </w:r>
      <w:r>
        <w:rPr>
          <w:spacing w:val="-3"/>
        </w:rPr>
        <w:t>тих, </w:t>
      </w:r>
      <w:r>
        <w:rPr>
          <w:spacing w:val="-4"/>
        </w:rPr>
        <w:t>хто </w:t>
      </w:r>
      <w:r>
        <w:rPr>
          <w:spacing w:val="-3"/>
        </w:rPr>
        <w:t>споживає або</w:t>
      </w:r>
    </w:p>
    <w:p>
      <w:pPr>
        <w:spacing w:after="0"/>
        <w:sectPr>
          <w:pgSz w:w="11910" w:h="16840"/>
          <w:pgMar w:header="713" w:footer="778" w:top="1140" w:bottom="960" w:left="940" w:right="520"/>
        </w:sectPr>
      </w:pPr>
    </w:p>
    <w:p>
      <w:pPr>
        <w:pStyle w:val="BodyText"/>
        <w:spacing w:before="92"/>
        <w:ind w:right="605"/>
      </w:pPr>
      <w:r>
        <w:rPr>
          <w:spacing w:val="-4"/>
        </w:rPr>
        <w:t>використовує</w:t>
      </w:r>
      <w:r>
        <w:rPr>
          <w:spacing w:val="-21"/>
        </w:rPr>
        <w:t> </w:t>
      </w:r>
      <w:r>
        <w:rPr>
          <w:spacing w:val="-4"/>
        </w:rPr>
        <w:t>цей</w:t>
      </w:r>
      <w:r>
        <w:rPr>
          <w:spacing w:val="-17"/>
        </w:rPr>
        <w:t> </w:t>
      </w:r>
      <w:r>
        <w:rPr>
          <w:spacing w:val="-4"/>
        </w:rPr>
        <w:t>харчовий</w:t>
      </w:r>
      <w:r>
        <w:rPr>
          <w:spacing w:val="-21"/>
        </w:rPr>
        <w:t> </w:t>
      </w:r>
      <w:r>
        <w:rPr>
          <w:spacing w:val="-4"/>
        </w:rPr>
        <w:t>продукт.</w:t>
      </w:r>
      <w:r>
        <w:rPr>
          <w:spacing w:val="-15"/>
        </w:rPr>
        <w:t> </w:t>
      </w:r>
      <w:r>
        <w:rPr>
          <w:spacing w:val="-6"/>
        </w:rPr>
        <w:t>Під</w:t>
      </w:r>
      <w:r>
        <w:rPr>
          <w:spacing w:val="-18"/>
        </w:rPr>
        <w:t> </w:t>
      </w:r>
      <w:r>
        <w:rPr>
          <w:spacing w:val="-4"/>
        </w:rPr>
        <w:t>якістю</w:t>
      </w:r>
      <w:r>
        <w:rPr>
          <w:spacing w:val="-22"/>
        </w:rPr>
        <w:t> </w:t>
      </w:r>
      <w:r>
        <w:rPr>
          <w:spacing w:val="-3"/>
        </w:rPr>
        <w:t>продукції</w:t>
      </w:r>
      <w:r>
        <w:rPr>
          <w:spacing w:val="-26"/>
        </w:rPr>
        <w:t> </w:t>
      </w:r>
      <w:r>
        <w:rPr>
          <w:spacing w:val="-4"/>
        </w:rPr>
        <w:t>бджільництва</w:t>
      </w:r>
      <w:r>
        <w:rPr>
          <w:spacing w:val="-20"/>
        </w:rPr>
        <w:t> </w:t>
      </w:r>
      <w:r>
        <w:rPr>
          <w:spacing w:val="-3"/>
        </w:rPr>
        <w:t>розуміють </w:t>
      </w:r>
      <w:r>
        <w:rPr>
          <w:spacing w:val="-4"/>
        </w:rPr>
        <w:t>кількісний </w:t>
      </w:r>
      <w:r>
        <w:rPr>
          <w:spacing w:val="-5"/>
        </w:rPr>
        <w:t>вираз </w:t>
      </w:r>
      <w:r>
        <w:rPr>
          <w:spacing w:val="-4"/>
        </w:rPr>
        <w:t>певних </w:t>
      </w:r>
      <w:r>
        <w:rPr>
          <w:spacing w:val="-3"/>
        </w:rPr>
        <w:t>однорідних її </w:t>
      </w:r>
      <w:r>
        <w:rPr>
          <w:spacing w:val="-5"/>
        </w:rPr>
        <w:t>властивостей, </w:t>
      </w:r>
      <w:r>
        <w:rPr/>
        <w:t>що </w:t>
      </w:r>
      <w:r>
        <w:rPr>
          <w:spacing w:val="-4"/>
        </w:rPr>
        <w:t>характеризують </w:t>
      </w:r>
      <w:r>
        <w:rPr/>
        <w:t>міру </w:t>
      </w:r>
      <w:r>
        <w:rPr>
          <w:spacing w:val="-4"/>
        </w:rPr>
        <w:t>спроможності </w:t>
      </w:r>
      <w:r>
        <w:rPr>
          <w:spacing w:val="-3"/>
        </w:rPr>
        <w:t>даної </w:t>
      </w:r>
      <w:r>
        <w:rPr>
          <w:spacing w:val="-4"/>
        </w:rPr>
        <w:t>продукції задовольняти потреби </w:t>
      </w:r>
      <w:r>
        <w:rPr>
          <w:spacing w:val="-3"/>
        </w:rPr>
        <w:t>споживачів </w:t>
      </w:r>
      <w:r>
        <w:rPr>
          <w:spacing w:val="-4"/>
        </w:rPr>
        <w:t>згідно </w:t>
      </w:r>
      <w:r>
        <w:rPr/>
        <w:t>з </w:t>
      </w:r>
      <w:r>
        <w:rPr>
          <w:spacing w:val="-4"/>
        </w:rPr>
        <w:t>умовами використання та цільовим призначенням. При </w:t>
      </w:r>
      <w:r>
        <w:rPr>
          <w:spacing w:val="-3"/>
        </w:rPr>
        <w:t>цьому, </w:t>
      </w:r>
      <w:r>
        <w:rPr>
          <w:spacing w:val="-4"/>
        </w:rPr>
        <w:t>слід враховувати </w:t>
      </w:r>
      <w:r>
        <w:rPr>
          <w:spacing w:val="-3"/>
        </w:rPr>
        <w:t>обов'язкові </w:t>
      </w:r>
      <w:r>
        <w:rPr>
          <w:spacing w:val="-4"/>
        </w:rPr>
        <w:t>параметри </w:t>
      </w:r>
      <w:r>
        <w:rPr>
          <w:spacing w:val="-3"/>
        </w:rPr>
        <w:t>безпечності </w:t>
      </w:r>
      <w:r>
        <w:rPr/>
        <w:t>– </w:t>
      </w:r>
      <w:r>
        <w:rPr>
          <w:spacing w:val="-4"/>
        </w:rPr>
        <w:t>науково </w:t>
      </w:r>
      <w:r>
        <w:rPr>
          <w:spacing w:val="-3"/>
        </w:rPr>
        <w:t>обґрунтовані </w:t>
      </w:r>
      <w:r>
        <w:rPr>
          <w:spacing w:val="-4"/>
        </w:rPr>
        <w:t>та затверджені </w:t>
      </w:r>
      <w:r>
        <w:rPr/>
        <w:t>у </w:t>
      </w:r>
      <w:r>
        <w:rPr>
          <w:spacing w:val="-4"/>
        </w:rPr>
        <w:t>встановленому законодавством </w:t>
      </w:r>
      <w:r>
        <w:rPr>
          <w:spacing w:val="-3"/>
        </w:rPr>
        <w:t>порядку </w:t>
      </w:r>
      <w:r>
        <w:rPr>
          <w:spacing w:val="-4"/>
        </w:rPr>
        <w:t>параметри (санітарні нормативи), включаючи максимальні </w:t>
      </w:r>
      <w:r>
        <w:rPr/>
        <w:t>межі </w:t>
      </w:r>
      <w:r>
        <w:rPr>
          <w:spacing w:val="-4"/>
        </w:rPr>
        <w:t>залишків, максимальні </w:t>
      </w:r>
      <w:r>
        <w:rPr>
          <w:spacing w:val="-5"/>
        </w:rPr>
        <w:t>рівні, </w:t>
      </w:r>
      <w:r>
        <w:rPr>
          <w:spacing w:val="-3"/>
        </w:rPr>
        <w:t>допустимі добові </w:t>
      </w:r>
      <w:r>
        <w:rPr/>
        <w:t>дози і </w:t>
      </w:r>
      <w:r>
        <w:rPr>
          <w:spacing w:val="-3"/>
        </w:rPr>
        <w:t>кількості </w:t>
      </w:r>
      <w:r>
        <w:rPr>
          <w:spacing w:val="-4"/>
        </w:rPr>
        <w:t>включень,</w:t>
      </w:r>
      <w:r>
        <w:rPr>
          <w:spacing w:val="62"/>
        </w:rPr>
        <w:t> </w:t>
      </w:r>
      <w:r>
        <w:rPr>
          <w:spacing w:val="-4"/>
        </w:rPr>
        <w:t>недотримання</w:t>
      </w:r>
      <w:r>
        <w:rPr>
          <w:spacing w:val="62"/>
        </w:rPr>
        <w:t> </w:t>
      </w:r>
      <w:r>
        <w:rPr>
          <w:spacing w:val="-3"/>
        </w:rPr>
        <w:t>яких </w:t>
      </w:r>
      <w:r>
        <w:rPr/>
        <w:t>у </w:t>
      </w:r>
      <w:r>
        <w:rPr>
          <w:spacing w:val="-3"/>
        </w:rPr>
        <w:t>харчових продуктах може </w:t>
      </w:r>
      <w:r>
        <w:rPr>
          <w:spacing w:val="-4"/>
        </w:rPr>
        <w:t>призвести  </w:t>
      </w:r>
      <w:r>
        <w:rPr/>
        <w:t>до </w:t>
      </w:r>
      <w:r>
        <w:rPr>
          <w:spacing w:val="-4"/>
        </w:rPr>
        <w:t>шкідливого </w:t>
      </w:r>
      <w:r>
        <w:rPr>
          <w:spacing w:val="-3"/>
        </w:rPr>
        <w:t>впливу на </w:t>
      </w:r>
      <w:r>
        <w:rPr>
          <w:spacing w:val="-4"/>
        </w:rPr>
        <w:t>здоров’я людини</w:t>
      </w:r>
      <w:r>
        <w:rPr>
          <w:spacing w:val="-21"/>
        </w:rPr>
        <w:t> </w:t>
      </w:r>
      <w:r>
        <w:rPr>
          <w:spacing w:val="-4"/>
        </w:rPr>
        <w:t>[5].</w:t>
      </w:r>
    </w:p>
    <w:p>
      <w:pPr>
        <w:pStyle w:val="BodyText"/>
        <w:spacing w:before="2" w:after="7"/>
        <w:ind w:right="612" w:firstLine="710"/>
      </w:pPr>
      <w:r>
        <w:rPr/>
        <w:t>Таблиця 1. Порівняльний аналіз класифікації меду згідно з нормативною документацією в Україні та ЄС</w:t>
      </w:r>
    </w:p>
    <w:tbl>
      <w:tblPr>
        <w:tblW w:w="0" w:type="auto"/>
        <w:jc w:val="left"/>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0"/>
        <w:gridCol w:w="3275"/>
        <w:gridCol w:w="2977"/>
        <w:gridCol w:w="1700"/>
      </w:tblGrid>
      <w:tr>
        <w:trPr>
          <w:trHeight w:val="551" w:hRule="atLeast"/>
        </w:trPr>
        <w:tc>
          <w:tcPr>
            <w:tcW w:w="1700" w:type="dxa"/>
          </w:tcPr>
          <w:p>
            <w:pPr>
              <w:pStyle w:val="TableParagraph"/>
              <w:spacing w:line="268" w:lineRule="exact"/>
              <w:ind w:left="26" w:right="96"/>
              <w:jc w:val="center"/>
              <w:rPr>
                <w:sz w:val="24"/>
              </w:rPr>
            </w:pPr>
            <w:r>
              <w:rPr>
                <w:sz w:val="24"/>
              </w:rPr>
              <w:t>Ознака</w:t>
            </w:r>
          </w:p>
          <w:p>
            <w:pPr>
              <w:pStyle w:val="TableParagraph"/>
              <w:spacing w:line="261" w:lineRule="exact" w:before="2"/>
              <w:ind w:left="19" w:right="96"/>
              <w:jc w:val="center"/>
              <w:rPr>
                <w:sz w:val="24"/>
              </w:rPr>
            </w:pPr>
            <w:r>
              <w:rPr>
                <w:sz w:val="24"/>
              </w:rPr>
              <w:t>класифікації</w:t>
            </w:r>
          </w:p>
        </w:tc>
        <w:tc>
          <w:tcPr>
            <w:tcW w:w="3275" w:type="dxa"/>
          </w:tcPr>
          <w:p>
            <w:pPr>
              <w:pStyle w:val="TableParagraph"/>
              <w:spacing w:before="131"/>
              <w:ind w:left="412"/>
              <w:rPr>
                <w:sz w:val="24"/>
              </w:rPr>
            </w:pPr>
            <w:r>
              <w:rPr>
                <w:sz w:val="24"/>
              </w:rPr>
              <w:t>CODEX STAN 12-1981</w:t>
            </w:r>
          </w:p>
        </w:tc>
        <w:tc>
          <w:tcPr>
            <w:tcW w:w="2977" w:type="dxa"/>
          </w:tcPr>
          <w:p>
            <w:pPr>
              <w:pStyle w:val="TableParagraph"/>
              <w:spacing w:line="268" w:lineRule="exact"/>
              <w:ind w:left="609" w:right="678"/>
              <w:jc w:val="center"/>
              <w:rPr>
                <w:sz w:val="24"/>
              </w:rPr>
            </w:pPr>
            <w:r>
              <w:rPr>
                <w:sz w:val="24"/>
              </w:rPr>
              <w:t>Директива Ради</w:t>
            </w:r>
          </w:p>
          <w:p>
            <w:pPr>
              <w:pStyle w:val="TableParagraph"/>
              <w:spacing w:line="261" w:lineRule="exact" w:before="2"/>
              <w:ind w:left="608" w:right="678"/>
              <w:jc w:val="center"/>
              <w:rPr>
                <w:sz w:val="24"/>
              </w:rPr>
            </w:pPr>
            <w:r>
              <w:rPr>
                <w:sz w:val="24"/>
              </w:rPr>
              <w:t>2001/110/ЄC</w:t>
            </w:r>
          </w:p>
        </w:tc>
        <w:tc>
          <w:tcPr>
            <w:tcW w:w="1700" w:type="dxa"/>
          </w:tcPr>
          <w:p>
            <w:pPr>
              <w:pStyle w:val="TableParagraph"/>
              <w:spacing w:line="268" w:lineRule="exact"/>
              <w:ind w:left="28" w:right="96"/>
              <w:jc w:val="center"/>
              <w:rPr>
                <w:sz w:val="24"/>
              </w:rPr>
            </w:pPr>
            <w:r>
              <w:rPr>
                <w:sz w:val="24"/>
              </w:rPr>
              <w:t>ДСТУ</w:t>
            </w:r>
          </w:p>
          <w:p>
            <w:pPr>
              <w:pStyle w:val="TableParagraph"/>
              <w:spacing w:line="261" w:lineRule="exact" w:before="2"/>
              <w:ind w:left="1" w:right="96"/>
              <w:jc w:val="center"/>
              <w:rPr>
                <w:sz w:val="24"/>
              </w:rPr>
            </w:pPr>
            <w:r>
              <w:rPr>
                <w:sz w:val="24"/>
              </w:rPr>
              <w:t>4497:2005</w:t>
            </w:r>
          </w:p>
        </w:tc>
      </w:tr>
      <w:tr>
        <w:trPr>
          <w:trHeight w:val="2486" w:hRule="atLeast"/>
        </w:trPr>
        <w:tc>
          <w:tcPr>
            <w:tcW w:w="1700" w:type="dxa"/>
          </w:tcPr>
          <w:p>
            <w:pPr>
              <w:pStyle w:val="TableParagraph"/>
              <w:rPr>
                <w:sz w:val="26"/>
              </w:rPr>
            </w:pPr>
          </w:p>
          <w:p>
            <w:pPr>
              <w:pStyle w:val="TableParagraph"/>
              <w:rPr>
                <w:sz w:val="26"/>
              </w:rPr>
            </w:pPr>
          </w:p>
          <w:p>
            <w:pPr>
              <w:pStyle w:val="TableParagraph"/>
              <w:spacing w:before="2"/>
              <w:rPr>
                <w:sz w:val="31"/>
              </w:rPr>
            </w:pPr>
          </w:p>
          <w:p>
            <w:pPr>
              <w:pStyle w:val="TableParagraph"/>
              <w:spacing w:line="242" w:lineRule="auto"/>
              <w:ind w:left="172" w:right="244" w:firstLine="24"/>
              <w:rPr>
                <w:sz w:val="24"/>
              </w:rPr>
            </w:pPr>
            <w:r>
              <w:rPr>
                <w:sz w:val="24"/>
              </w:rPr>
              <w:t>Залежно від походження</w:t>
            </w:r>
          </w:p>
        </w:tc>
        <w:tc>
          <w:tcPr>
            <w:tcW w:w="3275" w:type="dxa"/>
          </w:tcPr>
          <w:p>
            <w:pPr>
              <w:pStyle w:val="TableParagraph"/>
              <w:spacing w:before="131"/>
              <w:ind w:left="28" w:right="113" w:firstLine="19"/>
              <w:jc w:val="both"/>
              <w:rPr>
                <w:sz w:val="24"/>
              </w:rPr>
            </w:pPr>
            <w:r>
              <w:rPr>
                <w:sz w:val="24"/>
              </w:rPr>
              <w:t>Квітковий мед або мед з нектару – це мед, який походить </w:t>
            </w:r>
            <w:r>
              <w:rPr>
                <w:spacing w:val="-3"/>
                <w:sz w:val="24"/>
              </w:rPr>
              <w:t>від </w:t>
            </w:r>
            <w:r>
              <w:rPr>
                <w:sz w:val="24"/>
              </w:rPr>
              <w:t>нектарів рослин. Падевий мед – мед, отриманий головним чином з екскрецій комах (Hemiptera), з живих частин рослин або секреції живих частин</w:t>
            </w:r>
            <w:r>
              <w:rPr>
                <w:spacing w:val="-8"/>
                <w:sz w:val="24"/>
              </w:rPr>
              <w:t> </w:t>
            </w:r>
            <w:r>
              <w:rPr>
                <w:sz w:val="24"/>
              </w:rPr>
              <w:t>рослин</w:t>
            </w:r>
          </w:p>
        </w:tc>
        <w:tc>
          <w:tcPr>
            <w:tcW w:w="2977" w:type="dxa"/>
          </w:tcPr>
          <w:p>
            <w:pPr>
              <w:pStyle w:val="TableParagraph"/>
              <w:ind w:left="23" w:right="111" w:firstLine="19"/>
              <w:jc w:val="both"/>
              <w:rPr>
                <w:sz w:val="24"/>
              </w:rPr>
            </w:pPr>
            <w:r>
              <w:rPr>
                <w:sz w:val="24"/>
              </w:rPr>
              <w:t>Квітковий мед або мед з нектару – мед, отриманий з нектару рослин.</w:t>
            </w:r>
          </w:p>
          <w:p>
            <w:pPr>
              <w:pStyle w:val="TableParagraph"/>
              <w:tabs>
                <w:tab w:pos="1870" w:val="left" w:leader="none"/>
              </w:tabs>
              <w:ind w:left="23" w:right="112" w:firstLine="19"/>
              <w:jc w:val="both"/>
              <w:rPr>
                <w:sz w:val="24"/>
              </w:rPr>
            </w:pPr>
            <w:r>
              <w:rPr>
                <w:sz w:val="24"/>
              </w:rPr>
              <w:t>Падевий мед – мед, отриманий</w:t>
              <w:tab/>
            </w:r>
            <w:r>
              <w:rPr>
                <w:spacing w:val="-3"/>
                <w:sz w:val="24"/>
              </w:rPr>
              <w:t>головним </w:t>
            </w:r>
            <w:r>
              <w:rPr>
                <w:sz w:val="24"/>
              </w:rPr>
              <w:t>чином з екскрецій комах (Hemiptera), з живих</w:t>
            </w:r>
            <w:r>
              <w:rPr>
                <w:spacing w:val="-40"/>
                <w:sz w:val="24"/>
              </w:rPr>
              <w:t> </w:t>
            </w:r>
            <w:r>
              <w:rPr>
                <w:sz w:val="24"/>
              </w:rPr>
              <w:t>частин рослин або секреції</w:t>
            </w:r>
            <w:r>
              <w:rPr>
                <w:spacing w:val="-30"/>
                <w:sz w:val="24"/>
              </w:rPr>
              <w:t> </w:t>
            </w:r>
            <w:r>
              <w:rPr>
                <w:sz w:val="24"/>
              </w:rPr>
              <w:t>живих</w:t>
            </w:r>
          </w:p>
          <w:p>
            <w:pPr>
              <w:pStyle w:val="TableParagraph"/>
              <w:spacing w:line="264" w:lineRule="exact"/>
              <w:ind w:left="23"/>
              <w:jc w:val="both"/>
              <w:rPr>
                <w:sz w:val="24"/>
              </w:rPr>
            </w:pPr>
            <w:r>
              <w:rPr>
                <w:sz w:val="24"/>
              </w:rPr>
              <w:t>частин рослин</w:t>
            </w:r>
          </w:p>
        </w:tc>
        <w:tc>
          <w:tcPr>
            <w:tcW w:w="1700" w:type="dxa"/>
          </w:tcPr>
          <w:p>
            <w:pPr>
              <w:pStyle w:val="TableParagraph"/>
              <w:spacing w:before="5"/>
              <w:rPr>
                <w:sz w:val="23"/>
              </w:rPr>
            </w:pPr>
          </w:p>
          <w:p>
            <w:pPr>
              <w:pStyle w:val="TableParagraph"/>
              <w:ind w:left="47" w:right="135" w:firstLine="10"/>
              <w:jc w:val="center"/>
              <w:rPr>
                <w:sz w:val="24"/>
              </w:rPr>
            </w:pPr>
            <w:r>
              <w:rPr>
                <w:sz w:val="24"/>
              </w:rPr>
              <w:t>Квітковий (монофлорний або    поліфлорний) та квітковий з домішками паді</w:t>
            </w:r>
          </w:p>
        </w:tc>
      </w:tr>
      <w:tr>
        <w:trPr>
          <w:trHeight w:val="3034" w:hRule="atLeast"/>
        </w:trPr>
        <w:tc>
          <w:tcPr>
            <w:tcW w:w="1700" w:type="dxa"/>
          </w:tcPr>
          <w:p>
            <w:pPr>
              <w:pStyle w:val="TableParagraph"/>
              <w:rPr>
                <w:sz w:val="26"/>
              </w:rPr>
            </w:pPr>
          </w:p>
          <w:p>
            <w:pPr>
              <w:pStyle w:val="TableParagraph"/>
              <w:rPr>
                <w:sz w:val="26"/>
              </w:rPr>
            </w:pPr>
          </w:p>
          <w:p>
            <w:pPr>
              <w:pStyle w:val="TableParagraph"/>
              <w:rPr>
                <w:sz w:val="26"/>
              </w:rPr>
            </w:pPr>
          </w:p>
          <w:p>
            <w:pPr>
              <w:pStyle w:val="TableParagraph"/>
              <w:spacing w:before="199"/>
              <w:ind w:left="138" w:right="234" w:firstLine="25"/>
              <w:jc w:val="center"/>
              <w:rPr>
                <w:sz w:val="24"/>
              </w:rPr>
            </w:pPr>
            <w:r>
              <w:rPr>
                <w:sz w:val="24"/>
              </w:rPr>
              <w:t>Залежно від способу виробництва</w:t>
            </w:r>
          </w:p>
        </w:tc>
        <w:tc>
          <w:tcPr>
            <w:tcW w:w="3275" w:type="dxa"/>
          </w:tcPr>
          <w:p>
            <w:pPr>
              <w:pStyle w:val="TableParagraph"/>
              <w:ind w:left="28" w:right="112" w:firstLine="19"/>
              <w:jc w:val="both"/>
              <w:rPr>
                <w:sz w:val="24"/>
              </w:rPr>
            </w:pPr>
            <w:r>
              <w:rPr>
                <w:sz w:val="24"/>
              </w:rPr>
              <w:t>Екстрагований мед (extracted honey); Пресований мед (pressed honey); Злитий мед (drained honey);</w:t>
            </w:r>
          </w:p>
          <w:p>
            <w:pPr>
              <w:pStyle w:val="TableParagraph"/>
              <w:spacing w:line="237" w:lineRule="auto"/>
              <w:ind w:left="28" w:right="117" w:firstLine="19"/>
              <w:jc w:val="both"/>
              <w:rPr>
                <w:sz w:val="24"/>
              </w:rPr>
            </w:pPr>
            <w:r>
              <w:rPr>
                <w:sz w:val="24"/>
              </w:rPr>
              <w:t>Стільниковий мед (comb honey);</w:t>
            </w:r>
          </w:p>
          <w:p>
            <w:pPr>
              <w:pStyle w:val="TableParagraph"/>
              <w:ind w:left="28" w:right="121" w:firstLine="19"/>
              <w:jc w:val="both"/>
              <w:rPr>
                <w:sz w:val="24"/>
              </w:rPr>
            </w:pPr>
            <w:r>
              <w:rPr>
                <w:sz w:val="24"/>
              </w:rPr>
              <w:t>Мед </w:t>
            </w:r>
            <w:r>
              <w:rPr>
                <w:spacing w:val="2"/>
                <w:sz w:val="24"/>
              </w:rPr>
              <w:t>зі </w:t>
            </w:r>
            <w:r>
              <w:rPr>
                <w:sz w:val="24"/>
              </w:rPr>
              <w:t>шматками стільників (cut comb </w:t>
            </w:r>
            <w:r>
              <w:rPr>
                <w:spacing w:val="-3"/>
                <w:sz w:val="24"/>
              </w:rPr>
              <w:t>in </w:t>
            </w:r>
            <w:r>
              <w:rPr>
                <w:sz w:val="24"/>
              </w:rPr>
              <w:t>honey or </w:t>
            </w:r>
            <w:r>
              <w:rPr>
                <w:spacing w:val="-3"/>
                <w:sz w:val="24"/>
              </w:rPr>
              <w:t>chunk </w:t>
            </w:r>
            <w:r>
              <w:rPr>
                <w:sz w:val="24"/>
              </w:rPr>
              <w:t>honey);</w:t>
            </w:r>
          </w:p>
          <w:p>
            <w:pPr>
              <w:pStyle w:val="TableParagraph"/>
              <w:tabs>
                <w:tab w:pos="1740" w:val="left" w:leader="none"/>
                <w:tab w:pos="2378" w:val="left" w:leader="none"/>
              </w:tabs>
              <w:spacing w:line="274" w:lineRule="exact"/>
              <w:ind w:left="47"/>
              <w:rPr>
                <w:sz w:val="24"/>
              </w:rPr>
            </w:pPr>
            <w:r>
              <w:rPr>
                <w:sz w:val="24"/>
              </w:rPr>
              <w:t>Фільтрований</w:t>
              <w:tab/>
              <w:t>мед</w:t>
              <w:tab/>
              <w:t>(filtered</w:t>
            </w:r>
          </w:p>
          <w:p>
            <w:pPr>
              <w:pStyle w:val="TableParagraph"/>
              <w:spacing w:line="261" w:lineRule="exact"/>
              <w:ind w:left="28"/>
              <w:rPr>
                <w:sz w:val="24"/>
              </w:rPr>
            </w:pPr>
            <w:r>
              <w:rPr>
                <w:sz w:val="24"/>
              </w:rPr>
              <w:t>honey)</w:t>
            </w:r>
          </w:p>
        </w:tc>
        <w:tc>
          <w:tcPr>
            <w:tcW w:w="2977" w:type="dxa"/>
          </w:tcPr>
          <w:p>
            <w:pPr>
              <w:pStyle w:val="TableParagraph"/>
              <w:spacing w:line="237" w:lineRule="auto"/>
              <w:ind w:left="23" w:right="113" w:firstLine="19"/>
              <w:jc w:val="both"/>
              <w:rPr>
                <w:sz w:val="24"/>
              </w:rPr>
            </w:pPr>
            <w:r>
              <w:rPr>
                <w:sz w:val="24"/>
              </w:rPr>
              <w:t>Стільниковий </w:t>
            </w:r>
            <w:r>
              <w:rPr>
                <w:spacing w:val="-4"/>
                <w:sz w:val="24"/>
              </w:rPr>
              <w:t>мед</w:t>
            </w:r>
            <w:r>
              <w:rPr>
                <w:spacing w:val="52"/>
                <w:sz w:val="24"/>
              </w:rPr>
              <w:t> </w:t>
            </w:r>
            <w:r>
              <w:rPr>
                <w:sz w:val="24"/>
              </w:rPr>
              <w:t>(comb honey);</w:t>
            </w:r>
          </w:p>
          <w:p>
            <w:pPr>
              <w:pStyle w:val="TableParagraph"/>
              <w:spacing w:line="237" w:lineRule="auto"/>
              <w:ind w:left="23" w:right="121" w:firstLine="19"/>
              <w:jc w:val="both"/>
              <w:rPr>
                <w:sz w:val="24"/>
              </w:rPr>
            </w:pPr>
            <w:r>
              <w:rPr>
                <w:sz w:val="24"/>
              </w:rPr>
              <w:t>Мед зі шматками стільників (chunk</w:t>
            </w:r>
          </w:p>
          <w:p>
            <w:pPr>
              <w:pStyle w:val="TableParagraph"/>
              <w:tabs>
                <w:tab w:pos="2120" w:val="left" w:leader="none"/>
                <w:tab w:pos="2470" w:val="left" w:leader="none"/>
              </w:tabs>
              <w:spacing w:before="3"/>
              <w:ind w:left="23" w:right="113" w:firstLine="19"/>
              <w:jc w:val="both"/>
              <w:rPr>
                <w:sz w:val="24"/>
              </w:rPr>
            </w:pPr>
            <w:r>
              <w:rPr>
                <w:sz w:val="24"/>
              </w:rPr>
              <w:t>honey or cut comb </w:t>
            </w:r>
            <w:r>
              <w:rPr>
                <w:spacing w:val="-3"/>
                <w:sz w:val="24"/>
              </w:rPr>
              <w:t>in</w:t>
            </w:r>
            <w:r>
              <w:rPr>
                <w:spacing w:val="-34"/>
                <w:sz w:val="24"/>
              </w:rPr>
              <w:t> </w:t>
            </w:r>
            <w:r>
              <w:rPr>
                <w:sz w:val="24"/>
              </w:rPr>
              <w:t>honey); Злитий мед (drained honey); Екстрагований</w:t>
              <w:tab/>
              <w:tab/>
            </w:r>
            <w:r>
              <w:rPr>
                <w:spacing w:val="-6"/>
                <w:sz w:val="24"/>
              </w:rPr>
              <w:t>мед </w:t>
            </w:r>
            <w:r>
              <w:rPr>
                <w:sz w:val="24"/>
              </w:rPr>
              <w:t>(extracted</w:t>
              <w:tab/>
            </w:r>
            <w:r>
              <w:rPr>
                <w:spacing w:val="-3"/>
                <w:sz w:val="24"/>
              </w:rPr>
              <w:t>honey); </w:t>
            </w:r>
            <w:r>
              <w:rPr>
                <w:sz w:val="24"/>
              </w:rPr>
              <w:t>Пресований мед (pressed honey); Фільтрований</w:t>
            </w:r>
            <w:r>
              <w:rPr>
                <w:spacing w:val="30"/>
                <w:sz w:val="24"/>
              </w:rPr>
              <w:t> </w:t>
            </w:r>
            <w:r>
              <w:rPr>
                <w:sz w:val="24"/>
              </w:rPr>
              <w:t>мед</w:t>
            </w:r>
          </w:p>
          <w:p>
            <w:pPr>
              <w:pStyle w:val="TableParagraph"/>
              <w:spacing w:line="261" w:lineRule="exact" w:before="1"/>
              <w:ind w:left="23"/>
              <w:jc w:val="both"/>
              <w:rPr>
                <w:sz w:val="24"/>
              </w:rPr>
            </w:pPr>
            <w:r>
              <w:rPr>
                <w:sz w:val="24"/>
              </w:rPr>
              <w:t>(filtered honey)</w:t>
            </w:r>
          </w:p>
        </w:tc>
        <w:tc>
          <w:tcPr>
            <w:tcW w:w="1700" w:type="dxa"/>
          </w:tcPr>
          <w:p>
            <w:pPr>
              <w:pStyle w:val="TableParagraph"/>
              <w:rPr>
                <w:sz w:val="26"/>
              </w:rPr>
            </w:pPr>
          </w:p>
          <w:p>
            <w:pPr>
              <w:pStyle w:val="TableParagraph"/>
              <w:rPr>
                <w:sz w:val="26"/>
              </w:rPr>
            </w:pPr>
          </w:p>
          <w:p>
            <w:pPr>
              <w:pStyle w:val="TableParagraph"/>
              <w:spacing w:before="2"/>
              <w:rPr>
                <w:sz w:val="31"/>
              </w:rPr>
            </w:pPr>
          </w:p>
          <w:p>
            <w:pPr>
              <w:pStyle w:val="TableParagraph"/>
              <w:ind w:left="76" w:right="154"/>
              <w:jc w:val="center"/>
              <w:rPr>
                <w:sz w:val="24"/>
              </w:rPr>
            </w:pPr>
            <w:r>
              <w:rPr>
                <w:sz w:val="24"/>
              </w:rPr>
              <w:t>Центрифужни й;        Пресований; Стільниковий</w:t>
            </w:r>
          </w:p>
        </w:tc>
      </w:tr>
      <w:tr>
        <w:trPr>
          <w:trHeight w:val="551" w:hRule="atLeast"/>
        </w:trPr>
        <w:tc>
          <w:tcPr>
            <w:tcW w:w="1700" w:type="dxa"/>
          </w:tcPr>
          <w:p>
            <w:pPr>
              <w:pStyle w:val="TableParagraph"/>
              <w:spacing w:line="268" w:lineRule="exact"/>
              <w:ind w:left="76" w:right="33"/>
              <w:jc w:val="center"/>
              <w:rPr>
                <w:sz w:val="24"/>
              </w:rPr>
            </w:pPr>
            <w:r>
              <w:rPr>
                <w:sz w:val="24"/>
              </w:rPr>
              <w:t>За</w:t>
            </w:r>
          </w:p>
          <w:p>
            <w:pPr>
              <w:pStyle w:val="TableParagraph"/>
              <w:spacing w:line="261" w:lineRule="exact" w:before="2"/>
              <w:ind w:left="76" w:right="52"/>
              <w:jc w:val="center"/>
              <w:rPr>
                <w:sz w:val="24"/>
              </w:rPr>
            </w:pPr>
            <w:r>
              <w:rPr>
                <w:sz w:val="24"/>
              </w:rPr>
              <w:t>призначенням</w:t>
            </w:r>
          </w:p>
        </w:tc>
        <w:tc>
          <w:tcPr>
            <w:tcW w:w="3275" w:type="dxa"/>
          </w:tcPr>
          <w:p>
            <w:pPr>
              <w:pStyle w:val="TableParagraph"/>
              <w:rPr>
                <w:sz w:val="26"/>
              </w:rPr>
            </w:pPr>
          </w:p>
        </w:tc>
        <w:tc>
          <w:tcPr>
            <w:tcW w:w="2977" w:type="dxa"/>
          </w:tcPr>
          <w:p>
            <w:pPr>
              <w:pStyle w:val="TableParagraph"/>
              <w:spacing w:line="268" w:lineRule="exact"/>
              <w:ind w:left="618"/>
              <w:rPr>
                <w:sz w:val="24"/>
              </w:rPr>
            </w:pPr>
            <w:r>
              <w:rPr>
                <w:sz w:val="24"/>
              </w:rPr>
              <w:t>Пекарський мед</w:t>
            </w:r>
          </w:p>
          <w:p>
            <w:pPr>
              <w:pStyle w:val="TableParagraph"/>
              <w:spacing w:line="261" w:lineRule="exact" w:before="2"/>
              <w:ind w:left="709"/>
              <w:rPr>
                <w:sz w:val="24"/>
              </w:rPr>
            </w:pPr>
            <w:r>
              <w:rPr>
                <w:sz w:val="24"/>
              </w:rPr>
              <w:t>(baker's honey)</w:t>
            </w:r>
          </w:p>
        </w:tc>
        <w:tc>
          <w:tcPr>
            <w:tcW w:w="1700" w:type="dxa"/>
          </w:tcPr>
          <w:p>
            <w:pPr>
              <w:pStyle w:val="TableParagraph"/>
              <w:rPr>
                <w:sz w:val="26"/>
              </w:rPr>
            </w:pPr>
          </w:p>
        </w:tc>
      </w:tr>
    </w:tbl>
    <w:p>
      <w:pPr>
        <w:pStyle w:val="BodyText"/>
        <w:spacing w:before="4"/>
        <w:ind w:left="0"/>
        <w:jc w:val="left"/>
        <w:rPr>
          <w:sz w:val="27"/>
        </w:rPr>
      </w:pPr>
    </w:p>
    <w:p>
      <w:pPr>
        <w:pStyle w:val="BodyText"/>
        <w:ind w:right="609" w:firstLine="710"/>
      </w:pPr>
      <w:r>
        <w:rPr>
          <w:spacing w:val="-4"/>
        </w:rPr>
        <w:t>Відповідно </w:t>
      </w:r>
      <w:r>
        <w:rPr/>
        <w:t>до </w:t>
      </w:r>
      <w:r>
        <w:rPr>
          <w:spacing w:val="-5"/>
        </w:rPr>
        <w:t>стандартів </w:t>
      </w:r>
      <w:r>
        <w:rPr>
          <w:spacing w:val="-4"/>
        </w:rPr>
        <w:t>ЄС, контроль </w:t>
      </w:r>
      <w:r>
        <w:rPr>
          <w:spacing w:val="-3"/>
        </w:rPr>
        <w:t>якості </w:t>
      </w:r>
      <w:r>
        <w:rPr>
          <w:spacing w:val="-4"/>
        </w:rPr>
        <w:t>та безпечності меду, </w:t>
      </w:r>
      <w:r>
        <w:rPr>
          <w:spacing w:val="-5"/>
        </w:rPr>
        <w:t>окрім </w:t>
      </w:r>
      <w:r>
        <w:rPr>
          <w:spacing w:val="-4"/>
        </w:rPr>
        <w:t>органолептичних</w:t>
      </w:r>
      <w:r>
        <w:rPr>
          <w:spacing w:val="62"/>
        </w:rPr>
        <w:t> </w:t>
      </w:r>
      <w:r>
        <w:rPr/>
        <w:t>і </w:t>
      </w:r>
      <w:r>
        <w:rPr>
          <w:spacing w:val="-4"/>
        </w:rPr>
        <w:t>фізико-хімічних показників,</w:t>
      </w:r>
      <w:r>
        <w:rPr>
          <w:spacing w:val="62"/>
        </w:rPr>
        <w:t> </w:t>
      </w:r>
      <w:r>
        <w:rPr>
          <w:spacing w:val="-4"/>
        </w:rPr>
        <w:t>передбачає</w:t>
      </w:r>
      <w:r>
        <w:rPr>
          <w:spacing w:val="62"/>
        </w:rPr>
        <w:t> </w:t>
      </w:r>
      <w:r>
        <w:rPr/>
        <w:t>також </w:t>
      </w:r>
      <w:r>
        <w:rPr>
          <w:spacing w:val="-4"/>
        </w:rPr>
        <w:t>визначення гранично допустимих</w:t>
      </w:r>
      <w:r>
        <w:rPr>
          <w:spacing w:val="62"/>
        </w:rPr>
        <w:t> </w:t>
      </w:r>
      <w:r>
        <w:rPr>
          <w:spacing w:val="-4"/>
        </w:rPr>
        <w:t>залишків</w:t>
      </w:r>
      <w:r>
        <w:rPr>
          <w:spacing w:val="62"/>
        </w:rPr>
        <w:t> </w:t>
      </w:r>
      <w:r>
        <w:rPr>
          <w:spacing w:val="-4"/>
        </w:rPr>
        <w:t>антибіотиків, сульфаніламідних</w:t>
      </w:r>
      <w:r>
        <w:rPr>
          <w:spacing w:val="62"/>
        </w:rPr>
        <w:t> </w:t>
      </w:r>
      <w:r>
        <w:rPr>
          <w:spacing w:val="-4"/>
        </w:rPr>
        <w:t>препаратів, </w:t>
      </w:r>
      <w:r>
        <w:rPr>
          <w:spacing w:val="-5"/>
        </w:rPr>
        <w:t>пестицидів,</w:t>
      </w:r>
      <w:r>
        <w:rPr>
          <w:spacing w:val="-17"/>
        </w:rPr>
        <w:t> </w:t>
      </w:r>
      <w:r>
        <w:rPr>
          <w:spacing w:val="-3"/>
        </w:rPr>
        <w:t>важких</w:t>
      </w:r>
      <w:r>
        <w:rPr>
          <w:spacing w:val="-24"/>
        </w:rPr>
        <w:t> </w:t>
      </w:r>
      <w:r>
        <w:rPr>
          <w:spacing w:val="-4"/>
        </w:rPr>
        <w:t>металів,</w:t>
      </w:r>
      <w:r>
        <w:rPr>
          <w:spacing w:val="-16"/>
        </w:rPr>
        <w:t> </w:t>
      </w:r>
      <w:r>
        <w:rPr>
          <w:spacing w:val="-4"/>
        </w:rPr>
        <w:t>радіонуклідів.</w:t>
      </w:r>
      <w:r>
        <w:rPr>
          <w:spacing w:val="-13"/>
        </w:rPr>
        <w:t> </w:t>
      </w:r>
      <w:r>
        <w:rPr/>
        <w:t>У</w:t>
      </w:r>
      <w:r>
        <w:rPr>
          <w:spacing w:val="-19"/>
        </w:rPr>
        <w:t> </w:t>
      </w:r>
      <w:r>
        <w:rPr>
          <w:spacing w:val="-4"/>
        </w:rPr>
        <w:t>Директиві</w:t>
      </w:r>
      <w:r>
        <w:rPr>
          <w:spacing w:val="-19"/>
        </w:rPr>
        <w:t> </w:t>
      </w:r>
      <w:r>
        <w:rPr>
          <w:spacing w:val="-4"/>
        </w:rPr>
        <w:t>Ради</w:t>
      </w:r>
      <w:r>
        <w:rPr>
          <w:spacing w:val="-19"/>
        </w:rPr>
        <w:t> </w:t>
      </w:r>
      <w:r>
        <w:rPr>
          <w:spacing w:val="-4"/>
        </w:rPr>
        <w:t>96/23</w:t>
      </w:r>
      <w:r>
        <w:rPr>
          <w:spacing w:val="-15"/>
        </w:rPr>
        <w:t> </w:t>
      </w:r>
      <w:r>
        <w:rPr>
          <w:spacing w:val="-4"/>
        </w:rPr>
        <w:t>ЄС</w:t>
      </w:r>
      <w:r>
        <w:rPr>
          <w:spacing w:val="-17"/>
        </w:rPr>
        <w:t> </w:t>
      </w:r>
      <w:r>
        <w:rPr>
          <w:spacing w:val="-5"/>
        </w:rPr>
        <w:t>від</w:t>
      </w:r>
      <w:r>
        <w:rPr>
          <w:spacing w:val="-16"/>
        </w:rPr>
        <w:t> </w:t>
      </w:r>
      <w:r>
        <w:rPr/>
        <w:t>29</w:t>
      </w:r>
      <w:r>
        <w:rPr>
          <w:spacing w:val="-20"/>
        </w:rPr>
        <w:t> </w:t>
      </w:r>
      <w:r>
        <w:rPr>
          <w:spacing w:val="-4"/>
        </w:rPr>
        <w:t>квітня 1996 </w:t>
      </w:r>
      <w:r>
        <w:rPr/>
        <w:t>р «On </w:t>
      </w:r>
      <w:r>
        <w:rPr>
          <w:spacing w:val="-5"/>
        </w:rPr>
        <w:t>measures </w:t>
      </w:r>
      <w:r>
        <w:rPr>
          <w:spacing w:val="-3"/>
        </w:rPr>
        <w:t>to </w:t>
      </w:r>
      <w:r>
        <w:rPr>
          <w:spacing w:val="-4"/>
        </w:rPr>
        <w:t>monitor certain substances and residues there </w:t>
      </w:r>
      <w:r>
        <w:rPr/>
        <w:t>of </w:t>
      </w:r>
      <w:r>
        <w:rPr>
          <w:spacing w:val="-3"/>
        </w:rPr>
        <w:t>in </w:t>
      </w:r>
      <w:r>
        <w:rPr>
          <w:spacing w:val="-5"/>
        </w:rPr>
        <w:t>live </w:t>
      </w:r>
      <w:r>
        <w:rPr/>
        <w:t>animals </w:t>
      </w:r>
      <w:r>
        <w:rPr>
          <w:spacing w:val="-3"/>
        </w:rPr>
        <w:t>and</w:t>
      </w:r>
      <w:r>
        <w:rPr>
          <w:spacing w:val="-20"/>
        </w:rPr>
        <w:t> </w:t>
      </w:r>
      <w:r>
        <w:rPr>
          <w:spacing w:val="-3"/>
        </w:rPr>
        <w:t>animal</w:t>
      </w:r>
      <w:r>
        <w:rPr>
          <w:spacing w:val="-20"/>
        </w:rPr>
        <w:t> </w:t>
      </w:r>
      <w:r>
        <w:rPr>
          <w:spacing w:val="-4"/>
        </w:rPr>
        <w:t>products»,</w:t>
      </w:r>
      <w:r>
        <w:rPr>
          <w:spacing w:val="-16"/>
        </w:rPr>
        <w:t> </w:t>
      </w:r>
      <w:r>
        <w:rPr>
          <w:spacing w:val="-4"/>
        </w:rPr>
        <w:t>опублікованій</w:t>
      </w:r>
      <w:r>
        <w:rPr>
          <w:spacing w:val="-15"/>
        </w:rPr>
        <w:t> </w:t>
      </w:r>
      <w:r>
        <w:rPr/>
        <w:t>в</w:t>
      </w:r>
      <w:r>
        <w:rPr>
          <w:spacing w:val="-22"/>
        </w:rPr>
        <w:t> </w:t>
      </w:r>
      <w:r>
        <w:rPr>
          <w:spacing w:val="-3"/>
        </w:rPr>
        <w:t>Offical</w:t>
      </w:r>
      <w:r>
        <w:rPr>
          <w:spacing w:val="-24"/>
        </w:rPr>
        <w:t> </w:t>
      </w:r>
      <w:r>
        <w:rPr>
          <w:spacing w:val="-3"/>
        </w:rPr>
        <w:t>Journal</w:t>
      </w:r>
      <w:r>
        <w:rPr>
          <w:spacing w:val="-20"/>
        </w:rPr>
        <w:t> </w:t>
      </w:r>
      <w:r>
        <w:rPr/>
        <w:t>of</w:t>
      </w:r>
      <w:r>
        <w:rPr>
          <w:spacing w:val="-20"/>
        </w:rPr>
        <w:t> </w:t>
      </w:r>
      <w:r>
        <w:rPr>
          <w:spacing w:val="-4"/>
        </w:rPr>
        <w:t>the</w:t>
      </w:r>
      <w:r>
        <w:rPr>
          <w:spacing w:val="-14"/>
        </w:rPr>
        <w:t> </w:t>
      </w:r>
      <w:r>
        <w:rPr>
          <w:spacing w:val="-4"/>
        </w:rPr>
        <w:t>European</w:t>
      </w:r>
      <w:r>
        <w:rPr>
          <w:spacing w:val="-23"/>
        </w:rPr>
        <w:t> </w:t>
      </w:r>
      <w:r>
        <w:rPr>
          <w:spacing w:val="-4"/>
        </w:rPr>
        <w:t>Communities</w:t>
      </w:r>
      <w:r>
        <w:rPr>
          <w:spacing w:val="-13"/>
        </w:rPr>
        <w:t> </w:t>
      </w:r>
      <w:r>
        <w:rPr>
          <w:spacing w:val="-5"/>
        </w:rPr>
        <w:t>від</w:t>
      </w:r>
    </w:p>
    <w:p>
      <w:pPr>
        <w:pStyle w:val="ListParagraph"/>
        <w:numPr>
          <w:ilvl w:val="2"/>
          <w:numId w:val="15"/>
        </w:numPr>
        <w:tabs>
          <w:tab w:pos="1063" w:val="left" w:leader="none"/>
        </w:tabs>
        <w:spacing w:line="322" w:lineRule="exact" w:before="3" w:after="0"/>
        <w:ind w:left="1062" w:right="0" w:hanging="870"/>
        <w:jc w:val="both"/>
        <w:rPr>
          <w:sz w:val="28"/>
        </w:rPr>
      </w:pPr>
      <w:r>
        <w:rPr>
          <w:sz w:val="28"/>
        </w:rPr>
        <w:t>р</w:t>
      </w:r>
      <w:r>
        <w:rPr>
          <w:spacing w:val="-15"/>
          <w:sz w:val="28"/>
        </w:rPr>
        <w:t> </w:t>
      </w:r>
      <w:r>
        <w:rPr>
          <w:sz w:val="28"/>
        </w:rPr>
        <w:t>.,</w:t>
      </w:r>
      <w:r>
        <w:rPr>
          <w:spacing w:val="-7"/>
          <w:sz w:val="28"/>
        </w:rPr>
        <w:t> </w:t>
      </w:r>
      <w:r>
        <w:rPr>
          <w:spacing w:val="-4"/>
          <w:sz w:val="28"/>
        </w:rPr>
        <w:t>вимоги</w:t>
      </w:r>
      <w:r>
        <w:rPr>
          <w:spacing w:val="-14"/>
          <w:sz w:val="28"/>
        </w:rPr>
        <w:t> </w:t>
      </w:r>
      <w:r>
        <w:rPr>
          <w:sz w:val="28"/>
        </w:rPr>
        <w:t>якої</w:t>
      </w:r>
      <w:r>
        <w:rPr>
          <w:spacing w:val="-19"/>
          <w:sz w:val="28"/>
        </w:rPr>
        <w:t> </w:t>
      </w:r>
      <w:r>
        <w:rPr>
          <w:spacing w:val="-4"/>
          <w:sz w:val="28"/>
        </w:rPr>
        <w:t>поширюються</w:t>
      </w:r>
      <w:r>
        <w:rPr>
          <w:spacing w:val="-8"/>
          <w:sz w:val="28"/>
        </w:rPr>
        <w:t> </w:t>
      </w:r>
      <w:r>
        <w:rPr>
          <w:sz w:val="28"/>
        </w:rPr>
        <w:t>і</w:t>
      </w:r>
      <w:r>
        <w:rPr>
          <w:spacing w:val="-14"/>
          <w:sz w:val="28"/>
        </w:rPr>
        <w:t> </w:t>
      </w:r>
      <w:r>
        <w:rPr>
          <w:spacing w:val="-3"/>
          <w:sz w:val="28"/>
        </w:rPr>
        <w:t>на</w:t>
      </w:r>
      <w:r>
        <w:rPr>
          <w:spacing w:val="-8"/>
          <w:sz w:val="28"/>
        </w:rPr>
        <w:t> </w:t>
      </w:r>
      <w:r>
        <w:rPr>
          <w:spacing w:val="-3"/>
          <w:sz w:val="28"/>
        </w:rPr>
        <w:t>мед,</w:t>
      </w:r>
      <w:r>
        <w:rPr>
          <w:spacing w:val="-12"/>
          <w:sz w:val="28"/>
        </w:rPr>
        <w:t> </w:t>
      </w:r>
      <w:r>
        <w:rPr>
          <w:spacing w:val="-5"/>
          <w:sz w:val="28"/>
        </w:rPr>
        <w:t>передбачається</w:t>
      </w:r>
      <w:r>
        <w:rPr>
          <w:spacing w:val="-9"/>
          <w:sz w:val="28"/>
        </w:rPr>
        <w:t> </w:t>
      </w:r>
      <w:r>
        <w:rPr>
          <w:spacing w:val="-3"/>
          <w:sz w:val="28"/>
        </w:rPr>
        <w:t>таке:</w:t>
      </w:r>
      <w:r>
        <w:rPr>
          <w:spacing w:val="-19"/>
          <w:sz w:val="28"/>
        </w:rPr>
        <w:t> </w:t>
      </w:r>
      <w:r>
        <w:rPr>
          <w:spacing w:val="-4"/>
          <w:sz w:val="28"/>
        </w:rPr>
        <w:t>глава</w:t>
      </w:r>
      <w:r>
        <w:rPr>
          <w:spacing w:val="-8"/>
          <w:sz w:val="28"/>
        </w:rPr>
        <w:t> </w:t>
      </w:r>
      <w:r>
        <w:rPr>
          <w:spacing w:val="-4"/>
          <w:sz w:val="28"/>
        </w:rPr>
        <w:t>III,</w:t>
      </w:r>
      <w:r>
        <w:rPr>
          <w:spacing w:val="-12"/>
          <w:sz w:val="28"/>
        </w:rPr>
        <w:t> </w:t>
      </w:r>
      <w:r>
        <w:rPr>
          <w:spacing w:val="-4"/>
          <w:sz w:val="28"/>
        </w:rPr>
        <w:t>ст.</w:t>
      </w:r>
      <w:r>
        <w:rPr>
          <w:spacing w:val="-12"/>
          <w:sz w:val="28"/>
        </w:rPr>
        <w:t> </w:t>
      </w:r>
      <w:r>
        <w:rPr>
          <w:sz w:val="28"/>
        </w:rPr>
        <w:t>10</w:t>
      </w:r>
    </w:p>
    <w:p>
      <w:pPr>
        <w:pStyle w:val="ListParagraph"/>
        <w:numPr>
          <w:ilvl w:val="0"/>
          <w:numId w:val="14"/>
        </w:numPr>
        <w:tabs>
          <w:tab w:pos="391" w:val="left" w:leader="none"/>
        </w:tabs>
        <w:spacing w:line="240" w:lineRule="auto" w:before="0" w:after="0"/>
        <w:ind w:left="193" w:right="617" w:firstLine="0"/>
        <w:jc w:val="both"/>
        <w:rPr>
          <w:sz w:val="28"/>
        </w:rPr>
      </w:pPr>
      <w:r>
        <w:rPr>
          <w:spacing w:val="-4"/>
          <w:sz w:val="28"/>
        </w:rPr>
        <w:t>ветеринарні</w:t>
      </w:r>
      <w:r>
        <w:rPr>
          <w:spacing w:val="-16"/>
          <w:sz w:val="28"/>
        </w:rPr>
        <w:t> </w:t>
      </w:r>
      <w:r>
        <w:rPr>
          <w:spacing w:val="-4"/>
          <w:sz w:val="28"/>
        </w:rPr>
        <w:t>фахівці</w:t>
      </w:r>
      <w:r>
        <w:rPr>
          <w:spacing w:val="-16"/>
          <w:sz w:val="28"/>
        </w:rPr>
        <w:t> </w:t>
      </w:r>
      <w:r>
        <w:rPr>
          <w:spacing w:val="-4"/>
          <w:sz w:val="28"/>
        </w:rPr>
        <w:t>надають</w:t>
      </w:r>
      <w:r>
        <w:rPr>
          <w:spacing w:val="-12"/>
          <w:sz w:val="28"/>
        </w:rPr>
        <w:t> </w:t>
      </w:r>
      <w:r>
        <w:rPr>
          <w:spacing w:val="-4"/>
          <w:sz w:val="28"/>
        </w:rPr>
        <w:t>інформацію</w:t>
      </w:r>
      <w:r>
        <w:rPr>
          <w:spacing w:val="-17"/>
          <w:sz w:val="28"/>
        </w:rPr>
        <w:t> </w:t>
      </w:r>
      <w:r>
        <w:rPr>
          <w:spacing w:val="-4"/>
          <w:sz w:val="28"/>
        </w:rPr>
        <w:t>стосовно</w:t>
      </w:r>
      <w:r>
        <w:rPr>
          <w:spacing w:val="-11"/>
          <w:sz w:val="28"/>
        </w:rPr>
        <w:t> </w:t>
      </w:r>
      <w:r>
        <w:rPr>
          <w:spacing w:val="-5"/>
          <w:sz w:val="28"/>
        </w:rPr>
        <w:t>обстеження</w:t>
      </w:r>
      <w:r>
        <w:rPr>
          <w:spacing w:val="-9"/>
          <w:sz w:val="28"/>
        </w:rPr>
        <w:t> </w:t>
      </w:r>
      <w:r>
        <w:rPr>
          <w:spacing w:val="-4"/>
          <w:sz w:val="28"/>
        </w:rPr>
        <w:t>пасік,</w:t>
      </w:r>
      <w:r>
        <w:rPr>
          <w:spacing w:val="-13"/>
          <w:sz w:val="28"/>
        </w:rPr>
        <w:t> </w:t>
      </w:r>
      <w:r>
        <w:rPr>
          <w:spacing w:val="-4"/>
          <w:sz w:val="28"/>
        </w:rPr>
        <w:t>включаючи умови вирощування </w:t>
      </w:r>
      <w:r>
        <w:rPr>
          <w:sz w:val="28"/>
        </w:rPr>
        <w:t>і </w:t>
      </w:r>
      <w:r>
        <w:rPr>
          <w:spacing w:val="-4"/>
          <w:sz w:val="28"/>
        </w:rPr>
        <w:t>лікування</w:t>
      </w:r>
      <w:r>
        <w:rPr>
          <w:spacing w:val="-24"/>
          <w:sz w:val="28"/>
        </w:rPr>
        <w:t> </w:t>
      </w:r>
      <w:r>
        <w:rPr>
          <w:spacing w:val="-3"/>
          <w:sz w:val="28"/>
        </w:rPr>
        <w:t>бджіл.</w:t>
      </w:r>
    </w:p>
    <w:p>
      <w:pPr>
        <w:spacing w:after="0" w:line="240" w:lineRule="auto"/>
        <w:jc w:val="both"/>
        <w:rPr>
          <w:sz w:val="28"/>
        </w:rPr>
        <w:sectPr>
          <w:pgSz w:w="11910" w:h="16840"/>
          <w:pgMar w:header="713" w:footer="778" w:top="1140" w:bottom="960" w:left="940" w:right="520"/>
        </w:sectPr>
      </w:pPr>
    </w:p>
    <w:p>
      <w:pPr>
        <w:pStyle w:val="BodyText"/>
        <w:spacing w:before="92" w:after="3"/>
        <w:ind w:left="903"/>
        <w:jc w:val="left"/>
      </w:pPr>
      <w:r>
        <w:rPr/>
        <w:t>Таблиця 2. Фізико-хімічні показники меду за міжнародними вимогами</w:t>
      </w:r>
    </w:p>
    <w:tbl>
      <w:tblPr>
        <w:tblW w:w="0" w:type="auto"/>
        <w:jc w:val="left"/>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7"/>
        <w:gridCol w:w="7649"/>
      </w:tblGrid>
      <w:tr>
        <w:trPr>
          <w:trHeight w:val="278" w:hRule="atLeast"/>
        </w:trPr>
        <w:tc>
          <w:tcPr>
            <w:tcW w:w="2137" w:type="dxa"/>
          </w:tcPr>
          <w:p>
            <w:pPr>
              <w:pStyle w:val="TableParagraph"/>
              <w:spacing w:line="258" w:lineRule="exact"/>
              <w:ind w:left="180" w:right="173"/>
              <w:jc w:val="center"/>
              <w:rPr>
                <w:sz w:val="24"/>
              </w:rPr>
            </w:pPr>
            <w:r>
              <w:rPr>
                <w:sz w:val="24"/>
              </w:rPr>
              <w:t>Назва показника</w:t>
            </w:r>
          </w:p>
        </w:tc>
        <w:tc>
          <w:tcPr>
            <w:tcW w:w="7649" w:type="dxa"/>
          </w:tcPr>
          <w:p>
            <w:pPr>
              <w:pStyle w:val="TableParagraph"/>
              <w:spacing w:line="258" w:lineRule="exact"/>
              <w:ind w:left="2290" w:right="2280"/>
              <w:jc w:val="center"/>
              <w:rPr>
                <w:sz w:val="24"/>
              </w:rPr>
            </w:pPr>
            <w:r>
              <w:rPr>
                <w:sz w:val="24"/>
              </w:rPr>
              <w:t>Значення показника для меду</w:t>
            </w:r>
          </w:p>
        </w:tc>
      </w:tr>
      <w:tr>
        <w:trPr>
          <w:trHeight w:val="825" w:hRule="atLeast"/>
        </w:trPr>
        <w:tc>
          <w:tcPr>
            <w:tcW w:w="2137" w:type="dxa"/>
          </w:tcPr>
          <w:p>
            <w:pPr>
              <w:pStyle w:val="TableParagraph"/>
              <w:spacing w:line="237" w:lineRule="auto" w:before="137"/>
              <w:ind w:left="638" w:right="101" w:hanging="514"/>
              <w:rPr>
                <w:sz w:val="24"/>
              </w:rPr>
            </w:pPr>
            <w:r>
              <w:rPr>
                <w:sz w:val="24"/>
              </w:rPr>
              <w:t>Вміст фруктози та глюкози</w:t>
            </w:r>
          </w:p>
        </w:tc>
        <w:tc>
          <w:tcPr>
            <w:tcW w:w="7649" w:type="dxa"/>
          </w:tcPr>
          <w:p>
            <w:pPr>
              <w:pStyle w:val="TableParagraph"/>
              <w:spacing w:line="271" w:lineRule="exact"/>
              <w:ind w:left="9"/>
              <w:rPr>
                <w:sz w:val="24"/>
              </w:rPr>
            </w:pPr>
            <w:r>
              <w:rPr>
                <w:sz w:val="24"/>
              </w:rPr>
              <w:t>Мед квітковий, не менше ніж 60г/100г</w:t>
            </w:r>
          </w:p>
          <w:p>
            <w:pPr>
              <w:pStyle w:val="TableParagraph"/>
              <w:spacing w:line="278" w:lineRule="exact"/>
              <w:ind w:left="9"/>
              <w:rPr>
                <w:sz w:val="24"/>
              </w:rPr>
            </w:pPr>
            <w:r>
              <w:rPr>
                <w:sz w:val="24"/>
              </w:rPr>
              <w:t>Падевий мед, </w:t>
            </w:r>
            <w:r>
              <w:rPr>
                <w:spacing w:val="-3"/>
                <w:sz w:val="24"/>
              </w:rPr>
              <w:t>суміш </w:t>
            </w:r>
            <w:r>
              <w:rPr>
                <w:sz w:val="24"/>
              </w:rPr>
              <w:t>падевого меду з квітковим медом не менше </w:t>
            </w:r>
            <w:r>
              <w:rPr>
                <w:spacing w:val="-4"/>
                <w:sz w:val="24"/>
              </w:rPr>
              <w:t>ніж </w:t>
            </w:r>
            <w:r>
              <w:rPr>
                <w:sz w:val="24"/>
              </w:rPr>
              <w:t>45 г/100г</w:t>
            </w:r>
          </w:p>
        </w:tc>
      </w:tr>
      <w:tr>
        <w:trPr>
          <w:trHeight w:val="550" w:hRule="atLeast"/>
        </w:trPr>
        <w:tc>
          <w:tcPr>
            <w:tcW w:w="2137" w:type="dxa"/>
          </w:tcPr>
          <w:p>
            <w:pPr>
              <w:pStyle w:val="TableParagraph"/>
              <w:spacing w:before="134"/>
              <w:ind w:left="182" w:right="171"/>
              <w:jc w:val="center"/>
              <w:rPr>
                <w:sz w:val="24"/>
              </w:rPr>
            </w:pPr>
            <w:r>
              <w:rPr>
                <w:sz w:val="24"/>
              </w:rPr>
              <w:t>Вміст вологи</w:t>
            </w:r>
          </w:p>
        </w:tc>
        <w:tc>
          <w:tcPr>
            <w:tcW w:w="7649" w:type="dxa"/>
          </w:tcPr>
          <w:p>
            <w:pPr>
              <w:pStyle w:val="TableParagraph"/>
              <w:spacing w:line="271" w:lineRule="exact"/>
              <w:ind w:left="9"/>
              <w:rPr>
                <w:sz w:val="24"/>
              </w:rPr>
            </w:pPr>
            <w:r>
              <w:rPr>
                <w:sz w:val="24"/>
              </w:rPr>
              <w:t>Загалом – не більше 20%</w:t>
            </w:r>
          </w:p>
          <w:p>
            <w:pPr>
              <w:pStyle w:val="TableParagraph"/>
              <w:spacing w:line="257" w:lineRule="exact" w:before="2"/>
              <w:ind w:left="9"/>
              <w:rPr>
                <w:sz w:val="24"/>
              </w:rPr>
            </w:pPr>
            <w:r>
              <w:rPr>
                <w:sz w:val="24"/>
              </w:rPr>
              <w:t>вересковий (</w:t>
            </w:r>
            <w:r>
              <w:rPr>
                <w:i/>
                <w:sz w:val="24"/>
              </w:rPr>
              <w:t>Calluna</w:t>
            </w:r>
            <w:r>
              <w:rPr>
                <w:sz w:val="24"/>
              </w:rPr>
              <w:t>) та пекарський мед загалом – не більше ніж 23%</w:t>
            </w:r>
          </w:p>
        </w:tc>
      </w:tr>
      <w:tr>
        <w:trPr>
          <w:trHeight w:val="1108" w:hRule="atLeast"/>
        </w:trPr>
        <w:tc>
          <w:tcPr>
            <w:tcW w:w="2137" w:type="dxa"/>
          </w:tcPr>
          <w:p>
            <w:pPr>
              <w:pStyle w:val="TableParagraph"/>
              <w:spacing w:before="10"/>
              <w:rPr>
                <w:sz w:val="35"/>
              </w:rPr>
            </w:pPr>
          </w:p>
          <w:p>
            <w:pPr>
              <w:pStyle w:val="TableParagraph"/>
              <w:spacing w:before="1"/>
              <w:ind w:left="182" w:right="171"/>
              <w:jc w:val="center"/>
              <w:rPr>
                <w:sz w:val="24"/>
              </w:rPr>
            </w:pPr>
            <w:r>
              <w:rPr>
                <w:sz w:val="24"/>
              </w:rPr>
              <w:t>Вміст сахарози</w:t>
            </w:r>
          </w:p>
        </w:tc>
        <w:tc>
          <w:tcPr>
            <w:tcW w:w="7649" w:type="dxa"/>
          </w:tcPr>
          <w:p>
            <w:pPr>
              <w:pStyle w:val="TableParagraph"/>
              <w:spacing w:line="275" w:lineRule="exact"/>
              <w:ind w:left="9"/>
              <w:rPr>
                <w:sz w:val="24"/>
              </w:rPr>
            </w:pPr>
            <w:r>
              <w:rPr>
                <w:sz w:val="24"/>
              </w:rPr>
              <w:t>Загалом – не більше 5г/100г</w:t>
            </w:r>
          </w:p>
          <w:p>
            <w:pPr>
              <w:pStyle w:val="TableParagraph"/>
              <w:spacing w:line="275" w:lineRule="exact"/>
              <w:ind w:left="9"/>
              <w:rPr>
                <w:sz w:val="24"/>
              </w:rPr>
            </w:pPr>
            <w:r>
              <w:rPr>
                <w:sz w:val="24"/>
              </w:rPr>
              <w:t>Мед з лаванди – не більше ніж 15 г/100г</w:t>
            </w:r>
          </w:p>
          <w:p>
            <w:pPr>
              <w:pStyle w:val="TableParagraph"/>
              <w:spacing w:line="274" w:lineRule="exact" w:before="8"/>
              <w:ind w:left="9"/>
              <w:rPr>
                <w:sz w:val="24"/>
              </w:rPr>
            </w:pPr>
            <w:r>
              <w:rPr>
                <w:sz w:val="24"/>
              </w:rPr>
              <w:t>Мед з акації білої, люцерни, евкаліпту, цитрусових та інших екзотичних квітів – не більше </w:t>
            </w:r>
            <w:r>
              <w:rPr>
                <w:spacing w:val="-4"/>
                <w:sz w:val="24"/>
              </w:rPr>
              <w:t>ніж</w:t>
            </w:r>
            <w:r>
              <w:rPr>
                <w:spacing w:val="11"/>
                <w:sz w:val="24"/>
              </w:rPr>
              <w:t> </w:t>
            </w:r>
            <w:r>
              <w:rPr>
                <w:sz w:val="24"/>
              </w:rPr>
              <w:t>10г/100г</w:t>
            </w:r>
          </w:p>
        </w:tc>
      </w:tr>
      <w:tr>
        <w:trPr>
          <w:trHeight w:val="551" w:hRule="atLeast"/>
        </w:trPr>
        <w:tc>
          <w:tcPr>
            <w:tcW w:w="2137" w:type="dxa"/>
          </w:tcPr>
          <w:p>
            <w:pPr>
              <w:pStyle w:val="TableParagraph"/>
              <w:spacing w:line="274" w:lineRule="exact" w:before="1"/>
              <w:ind w:left="4" w:right="248"/>
              <w:rPr>
                <w:sz w:val="24"/>
              </w:rPr>
            </w:pPr>
            <w:r>
              <w:rPr>
                <w:sz w:val="24"/>
              </w:rPr>
              <w:t>Водонерозчинний сухий залишок</w:t>
            </w:r>
          </w:p>
        </w:tc>
        <w:tc>
          <w:tcPr>
            <w:tcW w:w="7649" w:type="dxa"/>
          </w:tcPr>
          <w:p>
            <w:pPr>
              <w:pStyle w:val="TableParagraph"/>
              <w:spacing w:line="274" w:lineRule="exact" w:before="1"/>
              <w:ind w:left="9" w:right="3229"/>
              <w:rPr>
                <w:sz w:val="24"/>
              </w:rPr>
            </w:pPr>
            <w:r>
              <w:rPr>
                <w:sz w:val="24"/>
              </w:rPr>
              <w:t>Загалом – не більше ніж 0,1г/100г Пресований мед – не більше ніж 0,5 г/100г</w:t>
            </w:r>
          </w:p>
        </w:tc>
      </w:tr>
      <w:tr>
        <w:trPr>
          <w:trHeight w:val="825" w:hRule="atLeast"/>
        </w:trPr>
        <w:tc>
          <w:tcPr>
            <w:tcW w:w="2137" w:type="dxa"/>
          </w:tcPr>
          <w:p>
            <w:pPr>
              <w:pStyle w:val="TableParagraph"/>
              <w:spacing w:line="242" w:lineRule="auto" w:before="130"/>
              <w:ind w:left="278" w:right="253" w:firstLine="144"/>
              <w:rPr>
                <w:sz w:val="24"/>
              </w:rPr>
            </w:pPr>
            <w:r>
              <w:rPr>
                <w:sz w:val="24"/>
              </w:rPr>
              <w:t>Електропро- відність, мС/см</w:t>
            </w:r>
          </w:p>
        </w:tc>
        <w:tc>
          <w:tcPr>
            <w:tcW w:w="7649" w:type="dxa"/>
          </w:tcPr>
          <w:p>
            <w:pPr>
              <w:pStyle w:val="TableParagraph"/>
              <w:spacing w:line="271" w:lineRule="exact"/>
              <w:ind w:left="9"/>
              <w:rPr>
                <w:sz w:val="24"/>
              </w:rPr>
            </w:pPr>
            <w:r>
              <w:rPr>
                <w:sz w:val="24"/>
              </w:rPr>
              <w:t>Не більше ніж 0,8 мС/см</w:t>
            </w:r>
          </w:p>
          <w:p>
            <w:pPr>
              <w:pStyle w:val="TableParagraph"/>
              <w:spacing w:line="278" w:lineRule="exact"/>
              <w:ind w:left="9"/>
              <w:rPr>
                <w:sz w:val="24"/>
              </w:rPr>
            </w:pPr>
            <w:r>
              <w:rPr>
                <w:sz w:val="24"/>
              </w:rPr>
              <w:t>Падевий та каштановий мед і суміш такого меду 0,8 мС/см (за винятком меду з вереса, евкаліпту, липи, чайного</w:t>
            </w:r>
            <w:r>
              <w:rPr>
                <w:spacing w:val="1"/>
                <w:sz w:val="24"/>
              </w:rPr>
              <w:t> </w:t>
            </w:r>
            <w:r>
              <w:rPr>
                <w:sz w:val="24"/>
              </w:rPr>
              <w:t>дерева)</w:t>
            </w:r>
          </w:p>
        </w:tc>
      </w:tr>
      <w:tr>
        <w:trPr>
          <w:trHeight w:val="551" w:hRule="atLeast"/>
        </w:trPr>
        <w:tc>
          <w:tcPr>
            <w:tcW w:w="2137" w:type="dxa"/>
          </w:tcPr>
          <w:p>
            <w:pPr>
              <w:pStyle w:val="TableParagraph"/>
              <w:spacing w:before="133"/>
              <w:ind w:left="173" w:right="173"/>
              <w:jc w:val="center"/>
              <w:rPr>
                <w:sz w:val="24"/>
              </w:rPr>
            </w:pPr>
            <w:r>
              <w:rPr>
                <w:sz w:val="24"/>
              </w:rPr>
              <w:t>Вільні кислоти</w:t>
            </w:r>
          </w:p>
        </w:tc>
        <w:tc>
          <w:tcPr>
            <w:tcW w:w="7649" w:type="dxa"/>
          </w:tcPr>
          <w:p>
            <w:pPr>
              <w:pStyle w:val="TableParagraph"/>
              <w:spacing w:line="270" w:lineRule="exact"/>
              <w:ind w:left="9"/>
              <w:rPr>
                <w:sz w:val="24"/>
              </w:rPr>
            </w:pPr>
            <w:r>
              <w:rPr>
                <w:sz w:val="24"/>
              </w:rPr>
              <w:t>Загалом – не більше ніж 50 міліеквівалентів кислоти на 1000 грамів</w:t>
            </w:r>
          </w:p>
          <w:p>
            <w:pPr>
              <w:pStyle w:val="TableParagraph"/>
              <w:spacing w:line="257" w:lineRule="exact" w:before="3"/>
              <w:ind w:left="9"/>
              <w:rPr>
                <w:sz w:val="24"/>
              </w:rPr>
            </w:pPr>
            <w:r>
              <w:rPr>
                <w:sz w:val="24"/>
              </w:rPr>
              <w:t>Пекарський</w:t>
            </w:r>
            <w:r>
              <w:rPr>
                <w:spacing w:val="-11"/>
                <w:sz w:val="24"/>
              </w:rPr>
              <w:t> </w:t>
            </w:r>
            <w:r>
              <w:rPr>
                <w:sz w:val="24"/>
              </w:rPr>
              <w:t>мед</w:t>
            </w:r>
            <w:r>
              <w:rPr>
                <w:spacing w:val="-11"/>
                <w:sz w:val="24"/>
              </w:rPr>
              <w:t> </w:t>
            </w:r>
            <w:r>
              <w:rPr>
                <w:sz w:val="24"/>
              </w:rPr>
              <w:t>-</w:t>
            </w:r>
            <w:r>
              <w:rPr>
                <w:spacing w:val="-10"/>
                <w:sz w:val="24"/>
              </w:rPr>
              <w:t> </w:t>
            </w:r>
            <w:r>
              <w:rPr>
                <w:sz w:val="24"/>
              </w:rPr>
              <w:t>не</w:t>
            </w:r>
            <w:r>
              <w:rPr>
                <w:spacing w:val="-16"/>
                <w:sz w:val="24"/>
              </w:rPr>
              <w:t> </w:t>
            </w:r>
            <w:r>
              <w:rPr>
                <w:sz w:val="24"/>
              </w:rPr>
              <w:t>більше</w:t>
            </w:r>
            <w:r>
              <w:rPr>
                <w:spacing w:val="-12"/>
                <w:sz w:val="24"/>
              </w:rPr>
              <w:t> </w:t>
            </w:r>
            <w:r>
              <w:rPr>
                <w:spacing w:val="-4"/>
                <w:sz w:val="24"/>
              </w:rPr>
              <w:t>ніж</w:t>
            </w:r>
            <w:r>
              <w:rPr>
                <w:spacing w:val="-9"/>
                <w:sz w:val="24"/>
              </w:rPr>
              <w:t> </w:t>
            </w:r>
            <w:r>
              <w:rPr>
                <w:sz w:val="24"/>
              </w:rPr>
              <w:t>80</w:t>
            </w:r>
            <w:r>
              <w:rPr>
                <w:spacing w:val="-12"/>
                <w:sz w:val="24"/>
              </w:rPr>
              <w:t> </w:t>
            </w:r>
            <w:r>
              <w:rPr>
                <w:sz w:val="24"/>
              </w:rPr>
              <w:t>міліеквівалентів</w:t>
            </w:r>
            <w:r>
              <w:rPr>
                <w:spacing w:val="-9"/>
                <w:sz w:val="24"/>
              </w:rPr>
              <w:t> </w:t>
            </w:r>
            <w:r>
              <w:rPr>
                <w:sz w:val="24"/>
              </w:rPr>
              <w:t>кислоти</w:t>
            </w:r>
            <w:r>
              <w:rPr>
                <w:spacing w:val="-9"/>
                <w:sz w:val="24"/>
              </w:rPr>
              <w:t> </w:t>
            </w:r>
            <w:r>
              <w:rPr>
                <w:sz w:val="24"/>
              </w:rPr>
              <w:t>на</w:t>
            </w:r>
            <w:r>
              <w:rPr>
                <w:spacing w:val="-16"/>
                <w:sz w:val="24"/>
              </w:rPr>
              <w:t> </w:t>
            </w:r>
            <w:r>
              <w:rPr>
                <w:sz w:val="24"/>
              </w:rPr>
              <w:t>1000</w:t>
            </w:r>
            <w:r>
              <w:rPr>
                <w:spacing w:val="-15"/>
                <w:sz w:val="24"/>
              </w:rPr>
              <w:t> </w:t>
            </w:r>
            <w:r>
              <w:rPr>
                <w:sz w:val="24"/>
              </w:rPr>
              <w:t>грамів</w:t>
            </w:r>
          </w:p>
        </w:tc>
      </w:tr>
      <w:tr>
        <w:trPr>
          <w:trHeight w:val="1103" w:hRule="atLeast"/>
        </w:trPr>
        <w:tc>
          <w:tcPr>
            <w:tcW w:w="2137" w:type="dxa"/>
          </w:tcPr>
          <w:p>
            <w:pPr>
              <w:pStyle w:val="TableParagraph"/>
              <w:spacing w:before="135"/>
              <w:ind w:left="182" w:right="173"/>
              <w:jc w:val="center"/>
              <w:rPr>
                <w:sz w:val="24"/>
              </w:rPr>
            </w:pPr>
            <w:r>
              <w:rPr>
                <w:sz w:val="24"/>
              </w:rPr>
              <w:t>Діастаза після переробки та змішування меду</w:t>
            </w:r>
          </w:p>
        </w:tc>
        <w:tc>
          <w:tcPr>
            <w:tcW w:w="7649" w:type="dxa"/>
          </w:tcPr>
          <w:p>
            <w:pPr>
              <w:pStyle w:val="TableParagraph"/>
              <w:ind w:left="9" w:right="-15"/>
              <w:jc w:val="both"/>
              <w:rPr>
                <w:sz w:val="24"/>
              </w:rPr>
            </w:pPr>
            <w:r>
              <w:rPr>
                <w:sz w:val="24"/>
              </w:rPr>
              <w:t>Загалом, за винятком пекарського меду, – не менше ніж 8 одиниць Schade Не менше ніж 3 одиниці </w:t>
            </w:r>
            <w:r>
              <w:rPr>
                <w:i/>
                <w:sz w:val="24"/>
              </w:rPr>
              <w:t>Schade – </w:t>
            </w:r>
            <w:r>
              <w:rPr>
                <w:sz w:val="24"/>
              </w:rPr>
              <w:t>для меду з низьким природнім вмістом діастаз, наприклад, цитрусовий мед та вмістом гідроксиметилфурфуролу</w:t>
            </w:r>
          </w:p>
          <w:p>
            <w:pPr>
              <w:pStyle w:val="TableParagraph"/>
              <w:spacing w:line="257" w:lineRule="exact"/>
              <w:ind w:left="9"/>
              <w:jc w:val="both"/>
              <w:rPr>
                <w:sz w:val="24"/>
              </w:rPr>
            </w:pPr>
            <w:r>
              <w:rPr>
                <w:sz w:val="24"/>
              </w:rPr>
              <w:t>(ГМФ) не більше 15 мг/кг</w:t>
            </w:r>
          </w:p>
        </w:tc>
      </w:tr>
      <w:tr>
        <w:trPr>
          <w:trHeight w:val="1103" w:hRule="atLeast"/>
        </w:trPr>
        <w:tc>
          <w:tcPr>
            <w:tcW w:w="2137" w:type="dxa"/>
          </w:tcPr>
          <w:p>
            <w:pPr>
              <w:pStyle w:val="TableParagraph"/>
              <w:spacing w:before="9"/>
              <w:rPr>
                <w:sz w:val="23"/>
              </w:rPr>
            </w:pPr>
          </w:p>
          <w:p>
            <w:pPr>
              <w:pStyle w:val="TableParagraph"/>
              <w:ind w:left="172" w:right="142" w:firstLine="86"/>
              <w:rPr>
                <w:sz w:val="24"/>
              </w:rPr>
            </w:pPr>
            <w:r>
              <w:rPr>
                <w:sz w:val="24"/>
              </w:rPr>
              <w:t>Гідроксиметил- фурфурол (ГМФ)</w:t>
            </w:r>
          </w:p>
        </w:tc>
        <w:tc>
          <w:tcPr>
            <w:tcW w:w="7649" w:type="dxa"/>
          </w:tcPr>
          <w:p>
            <w:pPr>
              <w:pStyle w:val="TableParagraph"/>
              <w:spacing w:line="272" w:lineRule="exact"/>
              <w:ind w:left="9"/>
              <w:rPr>
                <w:sz w:val="24"/>
              </w:rPr>
            </w:pPr>
            <w:r>
              <w:rPr>
                <w:sz w:val="24"/>
              </w:rPr>
              <w:t>Не більше ніж 15 мг/кг,</w:t>
            </w:r>
          </w:p>
          <w:p>
            <w:pPr>
              <w:pStyle w:val="TableParagraph"/>
              <w:spacing w:line="275" w:lineRule="exact" w:before="2"/>
              <w:ind w:left="9"/>
              <w:rPr>
                <w:sz w:val="24"/>
              </w:rPr>
            </w:pPr>
            <w:r>
              <w:rPr>
                <w:sz w:val="24"/>
              </w:rPr>
              <w:t>Для меду пекарського – не більше ніж 40 мг/кг</w:t>
            </w:r>
          </w:p>
          <w:p>
            <w:pPr>
              <w:pStyle w:val="TableParagraph"/>
              <w:spacing w:line="278" w:lineRule="exact" w:before="1"/>
              <w:ind w:left="9"/>
              <w:rPr>
                <w:sz w:val="24"/>
              </w:rPr>
            </w:pPr>
            <w:r>
              <w:rPr>
                <w:sz w:val="24"/>
              </w:rPr>
              <w:t>Мед із заявленим походженням з регіонів з тропічним кліматом та суміші такого меду – не більше ніж 80 мг/кг</w:t>
            </w:r>
          </w:p>
        </w:tc>
      </w:tr>
    </w:tbl>
    <w:p>
      <w:pPr>
        <w:spacing w:line="240" w:lineRule="auto" w:before="0"/>
        <w:ind w:left="193" w:right="608" w:firstLine="710"/>
        <w:jc w:val="both"/>
        <w:rPr>
          <w:sz w:val="24"/>
        </w:rPr>
      </w:pPr>
      <w:r>
        <w:rPr>
          <w:i/>
          <w:sz w:val="24"/>
        </w:rPr>
        <w:t>Джерело: </w:t>
      </w:r>
      <w:r>
        <w:rPr>
          <w:sz w:val="24"/>
        </w:rPr>
        <w:t>узагальнено відповідно </w:t>
      </w:r>
      <w:r>
        <w:rPr>
          <w:spacing w:val="-4"/>
          <w:sz w:val="24"/>
        </w:rPr>
        <w:t>до</w:t>
      </w:r>
      <w:r>
        <w:rPr>
          <w:spacing w:val="52"/>
          <w:sz w:val="24"/>
        </w:rPr>
        <w:t> </w:t>
      </w:r>
      <w:r>
        <w:rPr>
          <w:sz w:val="24"/>
        </w:rPr>
        <w:t>нормативно-правової бази ДСТУ 4497:2005 визначено</w:t>
      </w:r>
      <w:r>
        <w:rPr>
          <w:spacing w:val="-6"/>
          <w:sz w:val="24"/>
        </w:rPr>
        <w:t> </w:t>
      </w:r>
      <w:r>
        <w:rPr>
          <w:sz w:val="24"/>
        </w:rPr>
        <w:t>основні</w:t>
      </w:r>
      <w:r>
        <w:rPr>
          <w:spacing w:val="-14"/>
          <w:sz w:val="24"/>
        </w:rPr>
        <w:t> </w:t>
      </w:r>
      <w:r>
        <w:rPr>
          <w:sz w:val="24"/>
        </w:rPr>
        <w:t>вимоги</w:t>
      </w:r>
      <w:r>
        <w:rPr>
          <w:spacing w:val="-5"/>
          <w:sz w:val="24"/>
        </w:rPr>
        <w:t> </w:t>
      </w:r>
      <w:r>
        <w:rPr>
          <w:sz w:val="24"/>
        </w:rPr>
        <w:t>безпеки</w:t>
      </w:r>
      <w:r>
        <w:rPr>
          <w:spacing w:val="-10"/>
          <w:sz w:val="24"/>
        </w:rPr>
        <w:t> </w:t>
      </w:r>
      <w:r>
        <w:rPr>
          <w:sz w:val="24"/>
        </w:rPr>
        <w:t>під</w:t>
      </w:r>
      <w:r>
        <w:rPr>
          <w:spacing w:val="-7"/>
          <w:sz w:val="24"/>
        </w:rPr>
        <w:t> </w:t>
      </w:r>
      <w:r>
        <w:rPr>
          <w:sz w:val="24"/>
        </w:rPr>
        <w:t>час</w:t>
      </w:r>
      <w:r>
        <w:rPr>
          <w:spacing w:val="-7"/>
          <w:sz w:val="24"/>
        </w:rPr>
        <w:t> </w:t>
      </w:r>
      <w:r>
        <w:rPr>
          <w:sz w:val="24"/>
        </w:rPr>
        <w:t>виробництва</w:t>
      </w:r>
      <w:r>
        <w:rPr>
          <w:spacing w:val="1"/>
          <w:sz w:val="24"/>
        </w:rPr>
        <w:t> </w:t>
      </w:r>
      <w:r>
        <w:rPr>
          <w:spacing w:val="-4"/>
          <w:sz w:val="24"/>
        </w:rPr>
        <w:t>меду</w:t>
      </w:r>
      <w:r>
        <w:rPr>
          <w:spacing w:val="-19"/>
          <w:sz w:val="24"/>
        </w:rPr>
        <w:t> </w:t>
      </w:r>
      <w:r>
        <w:rPr>
          <w:sz w:val="24"/>
        </w:rPr>
        <w:t>натурального</w:t>
      </w:r>
      <w:r>
        <w:rPr>
          <w:spacing w:val="-6"/>
          <w:sz w:val="24"/>
        </w:rPr>
        <w:t> </w:t>
      </w:r>
      <w:r>
        <w:rPr>
          <w:sz w:val="24"/>
        </w:rPr>
        <w:t>та</w:t>
      </w:r>
      <w:r>
        <w:rPr>
          <w:spacing w:val="-5"/>
          <w:sz w:val="24"/>
        </w:rPr>
        <w:t> </w:t>
      </w:r>
      <w:r>
        <w:rPr>
          <w:sz w:val="24"/>
        </w:rPr>
        <w:t>його</w:t>
      </w:r>
      <w:r>
        <w:rPr>
          <w:spacing w:val="-1"/>
          <w:sz w:val="24"/>
        </w:rPr>
        <w:t> </w:t>
      </w:r>
      <w:r>
        <w:rPr>
          <w:sz w:val="24"/>
        </w:rPr>
        <w:t>фасування, а </w:t>
      </w:r>
      <w:r>
        <w:rPr>
          <w:spacing w:val="-4"/>
          <w:sz w:val="24"/>
        </w:rPr>
        <w:t>також </w:t>
      </w:r>
      <w:r>
        <w:rPr>
          <w:sz w:val="24"/>
        </w:rPr>
        <w:t>встановлені допустимі рівні токсичних елементів, пестицидів, антибіотиків в</w:t>
      </w:r>
      <w:r>
        <w:rPr>
          <w:spacing w:val="-9"/>
          <w:sz w:val="24"/>
        </w:rPr>
        <w:t> </w:t>
      </w:r>
      <w:r>
        <w:rPr>
          <w:spacing w:val="-5"/>
          <w:sz w:val="24"/>
        </w:rPr>
        <w:t>меду.</w:t>
      </w:r>
    </w:p>
    <w:p>
      <w:pPr>
        <w:pStyle w:val="BodyText"/>
        <w:spacing w:before="3" w:after="7"/>
        <w:ind w:right="615" w:firstLine="710"/>
      </w:pPr>
      <w:r>
        <w:rPr/>
        <w:t>Таблиця 3. Показники безпеки меду відповідно до національного стандарту</w:t>
      </w:r>
    </w:p>
    <w:tbl>
      <w:tblPr>
        <w:tblW w:w="0" w:type="auto"/>
        <w:jc w:val="left"/>
        <w:tblInd w:w="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74"/>
        <w:gridCol w:w="2695"/>
        <w:gridCol w:w="2685"/>
      </w:tblGrid>
      <w:tr>
        <w:trPr>
          <w:trHeight w:val="278" w:hRule="atLeast"/>
        </w:trPr>
        <w:tc>
          <w:tcPr>
            <w:tcW w:w="4274" w:type="dxa"/>
          </w:tcPr>
          <w:p>
            <w:pPr>
              <w:pStyle w:val="TableParagraph"/>
              <w:spacing w:line="258" w:lineRule="exact"/>
              <w:ind w:left="1286"/>
              <w:rPr>
                <w:sz w:val="24"/>
              </w:rPr>
            </w:pPr>
            <w:r>
              <w:rPr>
                <w:sz w:val="24"/>
              </w:rPr>
              <w:t>Назва показника</w:t>
            </w:r>
          </w:p>
        </w:tc>
        <w:tc>
          <w:tcPr>
            <w:tcW w:w="2695" w:type="dxa"/>
          </w:tcPr>
          <w:p>
            <w:pPr>
              <w:pStyle w:val="TableParagraph"/>
              <w:spacing w:line="258" w:lineRule="exact"/>
              <w:ind w:left="522"/>
              <w:rPr>
                <w:sz w:val="24"/>
              </w:rPr>
            </w:pPr>
            <w:r>
              <w:rPr>
                <w:sz w:val="24"/>
              </w:rPr>
              <w:t>Допустимі рівні</w:t>
            </w:r>
          </w:p>
        </w:tc>
        <w:tc>
          <w:tcPr>
            <w:tcW w:w="2685" w:type="dxa"/>
          </w:tcPr>
          <w:p>
            <w:pPr>
              <w:pStyle w:val="TableParagraph"/>
              <w:spacing w:line="258" w:lineRule="exact"/>
              <w:ind w:left="3"/>
              <w:rPr>
                <w:sz w:val="24"/>
              </w:rPr>
            </w:pPr>
            <w:r>
              <w:rPr>
                <w:sz w:val="24"/>
              </w:rPr>
              <w:t>Метод контролювання</w:t>
            </w:r>
          </w:p>
        </w:tc>
      </w:tr>
      <w:tr>
        <w:trPr>
          <w:trHeight w:val="273" w:hRule="atLeast"/>
        </w:trPr>
        <w:tc>
          <w:tcPr>
            <w:tcW w:w="9654" w:type="dxa"/>
            <w:gridSpan w:val="3"/>
          </w:tcPr>
          <w:p>
            <w:pPr>
              <w:pStyle w:val="TableParagraph"/>
              <w:spacing w:line="253" w:lineRule="exact"/>
              <w:ind w:left="2347" w:right="2342"/>
              <w:jc w:val="center"/>
              <w:rPr>
                <w:sz w:val="24"/>
              </w:rPr>
            </w:pPr>
            <w:r>
              <w:rPr>
                <w:sz w:val="24"/>
              </w:rPr>
              <w:t>Токсичні елементи, мг/кг не більше:</w:t>
            </w:r>
          </w:p>
        </w:tc>
      </w:tr>
      <w:tr>
        <w:trPr>
          <w:trHeight w:val="278" w:hRule="atLeast"/>
        </w:trPr>
        <w:tc>
          <w:tcPr>
            <w:tcW w:w="4274" w:type="dxa"/>
          </w:tcPr>
          <w:p>
            <w:pPr>
              <w:pStyle w:val="TableParagraph"/>
              <w:spacing w:line="258" w:lineRule="exact"/>
              <w:ind w:left="4"/>
              <w:rPr>
                <w:sz w:val="24"/>
              </w:rPr>
            </w:pPr>
            <w:r>
              <w:rPr>
                <w:sz w:val="24"/>
              </w:rPr>
              <w:t>свинець</w:t>
            </w:r>
          </w:p>
        </w:tc>
        <w:tc>
          <w:tcPr>
            <w:tcW w:w="2695" w:type="dxa"/>
          </w:tcPr>
          <w:p>
            <w:pPr>
              <w:pStyle w:val="TableParagraph"/>
              <w:spacing w:line="258" w:lineRule="exact"/>
              <w:ind w:left="1459" w:right="885"/>
              <w:jc w:val="center"/>
              <w:rPr>
                <w:sz w:val="24"/>
              </w:rPr>
            </w:pPr>
            <w:r>
              <w:rPr>
                <w:sz w:val="24"/>
              </w:rPr>
              <w:t>1,0</w:t>
            </w:r>
          </w:p>
        </w:tc>
        <w:tc>
          <w:tcPr>
            <w:tcW w:w="2685" w:type="dxa"/>
          </w:tcPr>
          <w:p>
            <w:pPr>
              <w:pStyle w:val="TableParagraph"/>
              <w:spacing w:line="258" w:lineRule="exact"/>
              <w:ind w:left="3"/>
              <w:rPr>
                <w:sz w:val="24"/>
              </w:rPr>
            </w:pPr>
            <w:r>
              <w:rPr>
                <w:sz w:val="24"/>
              </w:rPr>
              <w:t>Згідно з ГОСТ 26932</w:t>
            </w:r>
          </w:p>
        </w:tc>
      </w:tr>
      <w:tr>
        <w:trPr>
          <w:trHeight w:val="273" w:hRule="atLeast"/>
        </w:trPr>
        <w:tc>
          <w:tcPr>
            <w:tcW w:w="4274" w:type="dxa"/>
          </w:tcPr>
          <w:p>
            <w:pPr>
              <w:pStyle w:val="TableParagraph"/>
              <w:spacing w:line="253" w:lineRule="exact"/>
              <w:ind w:left="4"/>
              <w:rPr>
                <w:sz w:val="24"/>
              </w:rPr>
            </w:pPr>
            <w:r>
              <w:rPr>
                <w:sz w:val="24"/>
              </w:rPr>
              <w:t>кадмій</w:t>
            </w:r>
          </w:p>
        </w:tc>
        <w:tc>
          <w:tcPr>
            <w:tcW w:w="2695" w:type="dxa"/>
          </w:tcPr>
          <w:p>
            <w:pPr>
              <w:pStyle w:val="TableParagraph"/>
              <w:spacing w:line="253" w:lineRule="exact"/>
              <w:ind w:left="1416"/>
              <w:rPr>
                <w:sz w:val="24"/>
              </w:rPr>
            </w:pPr>
            <w:r>
              <w:rPr>
                <w:sz w:val="24"/>
              </w:rPr>
              <w:t>0,05</w:t>
            </w:r>
          </w:p>
        </w:tc>
        <w:tc>
          <w:tcPr>
            <w:tcW w:w="2685" w:type="dxa"/>
          </w:tcPr>
          <w:p>
            <w:pPr>
              <w:pStyle w:val="TableParagraph"/>
              <w:spacing w:line="253" w:lineRule="exact"/>
              <w:ind w:left="3"/>
              <w:rPr>
                <w:sz w:val="24"/>
              </w:rPr>
            </w:pPr>
            <w:r>
              <w:rPr>
                <w:sz w:val="24"/>
              </w:rPr>
              <w:t>*ГОСТ 26933</w:t>
            </w:r>
          </w:p>
        </w:tc>
      </w:tr>
      <w:tr>
        <w:trPr>
          <w:trHeight w:val="278" w:hRule="atLeast"/>
        </w:trPr>
        <w:tc>
          <w:tcPr>
            <w:tcW w:w="4274" w:type="dxa"/>
          </w:tcPr>
          <w:p>
            <w:pPr>
              <w:pStyle w:val="TableParagraph"/>
              <w:spacing w:line="258" w:lineRule="exact"/>
              <w:ind w:left="4"/>
              <w:rPr>
                <w:sz w:val="24"/>
              </w:rPr>
            </w:pPr>
            <w:r>
              <w:rPr>
                <w:sz w:val="24"/>
              </w:rPr>
              <w:t>миш’як</w:t>
            </w:r>
          </w:p>
        </w:tc>
        <w:tc>
          <w:tcPr>
            <w:tcW w:w="2695" w:type="dxa"/>
          </w:tcPr>
          <w:p>
            <w:pPr>
              <w:pStyle w:val="TableParagraph"/>
              <w:spacing w:line="258" w:lineRule="exact"/>
              <w:ind w:left="1459" w:right="885"/>
              <w:jc w:val="center"/>
              <w:rPr>
                <w:sz w:val="24"/>
              </w:rPr>
            </w:pPr>
            <w:r>
              <w:rPr>
                <w:sz w:val="24"/>
              </w:rPr>
              <w:t>0,5</w:t>
            </w:r>
          </w:p>
        </w:tc>
        <w:tc>
          <w:tcPr>
            <w:tcW w:w="2685" w:type="dxa"/>
          </w:tcPr>
          <w:p>
            <w:pPr>
              <w:pStyle w:val="TableParagraph"/>
              <w:spacing w:line="258" w:lineRule="exact"/>
              <w:ind w:left="3"/>
              <w:rPr>
                <w:sz w:val="24"/>
              </w:rPr>
            </w:pPr>
            <w:r>
              <w:rPr>
                <w:sz w:val="24"/>
              </w:rPr>
              <w:t>*ГОСТ 26930</w:t>
            </w:r>
          </w:p>
        </w:tc>
      </w:tr>
      <w:tr>
        <w:trPr>
          <w:trHeight w:val="278" w:hRule="atLeast"/>
        </w:trPr>
        <w:tc>
          <w:tcPr>
            <w:tcW w:w="9654" w:type="dxa"/>
            <w:gridSpan w:val="3"/>
          </w:tcPr>
          <w:p>
            <w:pPr>
              <w:pStyle w:val="TableParagraph"/>
              <w:spacing w:line="259" w:lineRule="exact"/>
              <w:ind w:left="2347" w:right="2347"/>
              <w:jc w:val="center"/>
              <w:rPr>
                <w:sz w:val="24"/>
              </w:rPr>
            </w:pPr>
            <w:r>
              <w:rPr>
                <w:sz w:val="24"/>
              </w:rPr>
              <w:t>Пестициди (на суху речовину), мг/кг не більше:</w:t>
            </w:r>
          </w:p>
        </w:tc>
      </w:tr>
      <w:tr>
        <w:trPr>
          <w:trHeight w:val="273" w:hRule="atLeast"/>
        </w:trPr>
        <w:tc>
          <w:tcPr>
            <w:tcW w:w="4274" w:type="dxa"/>
          </w:tcPr>
          <w:p>
            <w:pPr>
              <w:pStyle w:val="TableParagraph"/>
              <w:spacing w:line="253" w:lineRule="exact"/>
              <w:ind w:left="4"/>
              <w:rPr>
                <w:sz w:val="24"/>
              </w:rPr>
            </w:pPr>
            <w:r>
              <w:rPr>
                <w:sz w:val="24"/>
              </w:rPr>
              <w:t>ДДТ (сума ізомерів)</w:t>
            </w:r>
          </w:p>
        </w:tc>
        <w:tc>
          <w:tcPr>
            <w:tcW w:w="2695" w:type="dxa"/>
          </w:tcPr>
          <w:p>
            <w:pPr>
              <w:pStyle w:val="TableParagraph"/>
              <w:spacing w:line="253" w:lineRule="exact"/>
              <w:ind w:left="1358"/>
              <w:rPr>
                <w:sz w:val="24"/>
              </w:rPr>
            </w:pPr>
            <w:r>
              <w:rPr>
                <w:sz w:val="24"/>
              </w:rPr>
              <w:t>0,005</w:t>
            </w:r>
          </w:p>
        </w:tc>
        <w:tc>
          <w:tcPr>
            <w:tcW w:w="2685" w:type="dxa"/>
          </w:tcPr>
          <w:p>
            <w:pPr>
              <w:pStyle w:val="TableParagraph"/>
              <w:spacing w:line="253" w:lineRule="exact"/>
              <w:ind w:left="3"/>
              <w:rPr>
                <w:sz w:val="24"/>
              </w:rPr>
            </w:pPr>
            <w:r>
              <w:rPr>
                <w:sz w:val="24"/>
              </w:rPr>
              <w:t>Згідно з МУ №4120</w:t>
            </w:r>
          </w:p>
        </w:tc>
      </w:tr>
      <w:tr>
        <w:trPr>
          <w:trHeight w:val="278" w:hRule="atLeast"/>
        </w:trPr>
        <w:tc>
          <w:tcPr>
            <w:tcW w:w="4274" w:type="dxa"/>
          </w:tcPr>
          <w:p>
            <w:pPr>
              <w:pStyle w:val="TableParagraph"/>
              <w:spacing w:line="258" w:lineRule="exact"/>
              <w:ind w:left="4"/>
              <w:rPr>
                <w:sz w:val="24"/>
              </w:rPr>
            </w:pPr>
            <w:r>
              <w:rPr>
                <w:sz w:val="24"/>
              </w:rPr>
              <w:t>Гексахлоран (сума ізомерів)</w:t>
            </w:r>
          </w:p>
        </w:tc>
        <w:tc>
          <w:tcPr>
            <w:tcW w:w="2695" w:type="dxa"/>
          </w:tcPr>
          <w:p>
            <w:pPr>
              <w:pStyle w:val="TableParagraph"/>
              <w:spacing w:line="258" w:lineRule="exact"/>
              <w:ind w:left="1358"/>
              <w:rPr>
                <w:sz w:val="24"/>
              </w:rPr>
            </w:pPr>
            <w:r>
              <w:rPr>
                <w:sz w:val="24"/>
              </w:rPr>
              <w:t>0,005</w:t>
            </w:r>
          </w:p>
        </w:tc>
        <w:tc>
          <w:tcPr>
            <w:tcW w:w="2685" w:type="dxa"/>
          </w:tcPr>
          <w:p>
            <w:pPr>
              <w:pStyle w:val="TableParagraph"/>
              <w:rPr>
                <w:sz w:val="20"/>
              </w:rPr>
            </w:pPr>
          </w:p>
        </w:tc>
      </w:tr>
      <w:tr>
        <w:trPr>
          <w:trHeight w:val="273" w:hRule="atLeast"/>
        </w:trPr>
        <w:tc>
          <w:tcPr>
            <w:tcW w:w="9654" w:type="dxa"/>
            <w:gridSpan w:val="3"/>
          </w:tcPr>
          <w:p>
            <w:pPr>
              <w:pStyle w:val="TableParagraph"/>
              <w:spacing w:line="253" w:lineRule="exact"/>
              <w:ind w:left="2347" w:right="2343"/>
              <w:jc w:val="center"/>
              <w:rPr>
                <w:sz w:val="24"/>
              </w:rPr>
            </w:pPr>
            <w:r>
              <w:rPr>
                <w:sz w:val="24"/>
              </w:rPr>
              <w:t>Антибіотики* (на суху речовину), не більше:</w:t>
            </w:r>
          </w:p>
        </w:tc>
      </w:tr>
      <w:tr>
        <w:trPr>
          <w:trHeight w:val="278" w:hRule="atLeast"/>
        </w:trPr>
        <w:tc>
          <w:tcPr>
            <w:tcW w:w="4274" w:type="dxa"/>
          </w:tcPr>
          <w:p>
            <w:pPr>
              <w:pStyle w:val="TableParagraph"/>
              <w:spacing w:line="258" w:lineRule="exact"/>
              <w:ind w:left="4"/>
              <w:rPr>
                <w:sz w:val="24"/>
              </w:rPr>
            </w:pPr>
            <w:r>
              <w:rPr>
                <w:sz w:val="24"/>
              </w:rPr>
              <w:t>Тетрациклін, од./г</w:t>
            </w:r>
          </w:p>
        </w:tc>
        <w:tc>
          <w:tcPr>
            <w:tcW w:w="2695" w:type="dxa"/>
          </w:tcPr>
          <w:p>
            <w:pPr>
              <w:pStyle w:val="TableParagraph"/>
              <w:spacing w:line="258" w:lineRule="exact"/>
              <w:ind w:right="365"/>
              <w:jc w:val="right"/>
              <w:rPr>
                <w:sz w:val="24"/>
              </w:rPr>
            </w:pPr>
            <w:r>
              <w:rPr>
                <w:sz w:val="24"/>
              </w:rPr>
              <w:t>Не дозволено</w:t>
            </w:r>
          </w:p>
        </w:tc>
        <w:tc>
          <w:tcPr>
            <w:tcW w:w="2685" w:type="dxa"/>
          </w:tcPr>
          <w:p>
            <w:pPr>
              <w:pStyle w:val="TableParagraph"/>
              <w:spacing w:line="258" w:lineRule="exact"/>
              <w:ind w:left="3"/>
              <w:rPr>
                <w:sz w:val="24"/>
              </w:rPr>
            </w:pPr>
            <w:r>
              <w:rPr>
                <w:sz w:val="24"/>
              </w:rPr>
              <w:t>Згідно з МВ №15-14/318</w:t>
            </w:r>
          </w:p>
        </w:tc>
      </w:tr>
      <w:tr>
        <w:trPr>
          <w:trHeight w:val="273" w:hRule="atLeast"/>
        </w:trPr>
        <w:tc>
          <w:tcPr>
            <w:tcW w:w="4274" w:type="dxa"/>
          </w:tcPr>
          <w:p>
            <w:pPr>
              <w:pStyle w:val="TableParagraph"/>
              <w:spacing w:line="253" w:lineRule="exact"/>
              <w:ind w:left="4"/>
              <w:rPr>
                <w:sz w:val="24"/>
              </w:rPr>
            </w:pPr>
            <w:r>
              <w:rPr>
                <w:sz w:val="24"/>
              </w:rPr>
              <w:t>Стрептоміцин, од./г</w:t>
            </w:r>
          </w:p>
        </w:tc>
        <w:tc>
          <w:tcPr>
            <w:tcW w:w="2695" w:type="dxa"/>
          </w:tcPr>
          <w:p>
            <w:pPr>
              <w:pStyle w:val="TableParagraph"/>
              <w:spacing w:line="253" w:lineRule="exact"/>
              <w:ind w:right="365"/>
              <w:jc w:val="right"/>
              <w:rPr>
                <w:sz w:val="24"/>
              </w:rPr>
            </w:pPr>
            <w:r>
              <w:rPr>
                <w:sz w:val="24"/>
              </w:rPr>
              <w:t>Не дозволено</w:t>
            </w:r>
          </w:p>
        </w:tc>
        <w:tc>
          <w:tcPr>
            <w:tcW w:w="2685" w:type="dxa"/>
          </w:tcPr>
          <w:p>
            <w:pPr>
              <w:pStyle w:val="TableParagraph"/>
              <w:spacing w:line="253" w:lineRule="exact"/>
              <w:ind w:left="3"/>
              <w:rPr>
                <w:sz w:val="24"/>
              </w:rPr>
            </w:pPr>
            <w:r>
              <w:rPr>
                <w:sz w:val="24"/>
              </w:rPr>
              <w:t>*МВ15-14/344</w:t>
            </w:r>
          </w:p>
        </w:tc>
      </w:tr>
      <w:tr>
        <w:trPr>
          <w:trHeight w:val="278" w:hRule="atLeast"/>
        </w:trPr>
        <w:tc>
          <w:tcPr>
            <w:tcW w:w="4274" w:type="dxa"/>
          </w:tcPr>
          <w:p>
            <w:pPr>
              <w:pStyle w:val="TableParagraph"/>
              <w:spacing w:line="258" w:lineRule="exact"/>
              <w:ind w:left="4"/>
              <w:rPr>
                <w:sz w:val="24"/>
              </w:rPr>
            </w:pPr>
            <w:r>
              <w:rPr>
                <w:sz w:val="24"/>
              </w:rPr>
              <w:t>Левоміцитин (хлорамфенікол), мкг/кг</w:t>
            </w:r>
          </w:p>
        </w:tc>
        <w:tc>
          <w:tcPr>
            <w:tcW w:w="2695" w:type="dxa"/>
          </w:tcPr>
          <w:p>
            <w:pPr>
              <w:pStyle w:val="TableParagraph"/>
              <w:spacing w:line="258" w:lineRule="exact"/>
              <w:ind w:left="1459" w:right="885"/>
              <w:jc w:val="center"/>
              <w:rPr>
                <w:sz w:val="24"/>
              </w:rPr>
            </w:pPr>
            <w:r>
              <w:rPr>
                <w:sz w:val="24"/>
              </w:rPr>
              <w:t>0,3</w:t>
            </w:r>
          </w:p>
        </w:tc>
        <w:tc>
          <w:tcPr>
            <w:tcW w:w="2685" w:type="dxa"/>
          </w:tcPr>
          <w:p>
            <w:pPr>
              <w:pStyle w:val="TableParagraph"/>
              <w:spacing w:line="258" w:lineRule="exact"/>
              <w:ind w:left="3"/>
              <w:rPr>
                <w:sz w:val="24"/>
              </w:rPr>
            </w:pPr>
            <w:r>
              <w:rPr>
                <w:sz w:val="24"/>
              </w:rPr>
              <w:t>*МВ15-14/320</w:t>
            </w:r>
          </w:p>
        </w:tc>
      </w:tr>
      <w:tr>
        <w:trPr>
          <w:trHeight w:val="278" w:hRule="atLeast"/>
        </w:trPr>
        <w:tc>
          <w:tcPr>
            <w:tcW w:w="4274" w:type="dxa"/>
          </w:tcPr>
          <w:p>
            <w:pPr>
              <w:pStyle w:val="TableParagraph"/>
              <w:spacing w:line="258" w:lineRule="exact"/>
              <w:ind w:left="4"/>
              <w:rPr>
                <w:sz w:val="24"/>
              </w:rPr>
            </w:pPr>
            <w:r>
              <w:rPr>
                <w:sz w:val="24"/>
              </w:rPr>
              <w:t>Нітрофуран (АОЗ), мкг/кг</w:t>
            </w:r>
          </w:p>
        </w:tc>
        <w:tc>
          <w:tcPr>
            <w:tcW w:w="2695" w:type="dxa"/>
          </w:tcPr>
          <w:p>
            <w:pPr>
              <w:pStyle w:val="TableParagraph"/>
              <w:spacing w:line="258" w:lineRule="exact"/>
              <w:ind w:left="1459" w:right="885"/>
              <w:jc w:val="center"/>
              <w:rPr>
                <w:sz w:val="24"/>
              </w:rPr>
            </w:pPr>
            <w:r>
              <w:rPr>
                <w:sz w:val="24"/>
              </w:rPr>
              <w:t>0,6</w:t>
            </w:r>
          </w:p>
        </w:tc>
        <w:tc>
          <w:tcPr>
            <w:tcW w:w="2685" w:type="dxa"/>
          </w:tcPr>
          <w:p>
            <w:pPr>
              <w:pStyle w:val="TableParagraph"/>
              <w:spacing w:line="258" w:lineRule="exact"/>
              <w:ind w:left="3"/>
              <w:rPr>
                <w:sz w:val="24"/>
              </w:rPr>
            </w:pPr>
            <w:r>
              <w:rPr>
                <w:sz w:val="24"/>
              </w:rPr>
              <w:t>*МВ№34</w:t>
            </w:r>
          </w:p>
        </w:tc>
      </w:tr>
      <w:tr>
        <w:trPr>
          <w:trHeight w:val="273" w:hRule="atLeast"/>
        </w:trPr>
        <w:tc>
          <w:tcPr>
            <w:tcW w:w="4274" w:type="dxa"/>
          </w:tcPr>
          <w:p>
            <w:pPr>
              <w:pStyle w:val="TableParagraph"/>
              <w:spacing w:line="253" w:lineRule="exact"/>
              <w:ind w:left="4"/>
              <w:rPr>
                <w:sz w:val="24"/>
              </w:rPr>
            </w:pPr>
            <w:r>
              <w:rPr>
                <w:sz w:val="24"/>
              </w:rPr>
              <w:t>Нітрофуран (АМОЗ), мкг/кг</w:t>
            </w:r>
          </w:p>
        </w:tc>
        <w:tc>
          <w:tcPr>
            <w:tcW w:w="2695" w:type="dxa"/>
          </w:tcPr>
          <w:p>
            <w:pPr>
              <w:pStyle w:val="TableParagraph"/>
              <w:spacing w:line="253" w:lineRule="exact"/>
              <w:ind w:left="1459" w:right="885"/>
              <w:jc w:val="center"/>
              <w:rPr>
                <w:sz w:val="24"/>
              </w:rPr>
            </w:pPr>
            <w:r>
              <w:rPr>
                <w:sz w:val="24"/>
              </w:rPr>
              <w:t>0,6</w:t>
            </w:r>
          </w:p>
        </w:tc>
        <w:tc>
          <w:tcPr>
            <w:tcW w:w="2685" w:type="dxa"/>
          </w:tcPr>
          <w:p>
            <w:pPr>
              <w:pStyle w:val="TableParagraph"/>
              <w:spacing w:line="253" w:lineRule="exact"/>
              <w:ind w:left="3"/>
              <w:rPr>
                <w:sz w:val="24"/>
              </w:rPr>
            </w:pPr>
            <w:r>
              <w:rPr>
                <w:sz w:val="24"/>
              </w:rPr>
              <w:t>*МВ№34</w:t>
            </w:r>
          </w:p>
        </w:tc>
      </w:tr>
      <w:tr>
        <w:trPr>
          <w:trHeight w:val="278" w:hRule="atLeast"/>
        </w:trPr>
        <w:tc>
          <w:tcPr>
            <w:tcW w:w="9654" w:type="dxa"/>
            <w:gridSpan w:val="3"/>
          </w:tcPr>
          <w:p>
            <w:pPr>
              <w:pStyle w:val="TableParagraph"/>
              <w:spacing w:line="258" w:lineRule="exact"/>
              <w:ind w:left="2347" w:right="2338"/>
              <w:jc w:val="center"/>
              <w:rPr>
                <w:sz w:val="24"/>
              </w:rPr>
            </w:pPr>
            <w:r>
              <w:rPr>
                <w:sz w:val="24"/>
              </w:rPr>
              <w:t>*Відповідно до 9.9</w:t>
            </w:r>
          </w:p>
        </w:tc>
      </w:tr>
    </w:tbl>
    <w:p>
      <w:pPr>
        <w:spacing w:before="0"/>
        <w:ind w:left="754" w:right="0" w:firstLine="0"/>
        <w:jc w:val="left"/>
        <w:rPr>
          <w:i/>
          <w:sz w:val="24"/>
        </w:rPr>
      </w:pPr>
      <w:r>
        <w:rPr>
          <w:i/>
          <w:sz w:val="24"/>
        </w:rPr>
        <w:t>Джерело: узагальнено відповідно до нормативно-правової бази</w:t>
      </w:r>
    </w:p>
    <w:p>
      <w:pPr>
        <w:pStyle w:val="BodyText"/>
        <w:spacing w:before="10"/>
        <w:ind w:left="0"/>
        <w:jc w:val="left"/>
        <w:rPr>
          <w:i/>
          <w:sz w:val="27"/>
        </w:rPr>
      </w:pPr>
    </w:p>
    <w:p>
      <w:pPr>
        <w:pStyle w:val="BodyText"/>
        <w:ind w:right="621" w:firstLine="710"/>
      </w:pPr>
      <w:r>
        <w:rPr/>
        <w:t>Основні показники безпеки меду, відповідно до національного стандарту, представлені у таблиці 3. Слід відмітити, що в Україні дуже часто лікування</w:t>
      </w:r>
    </w:p>
    <w:p>
      <w:pPr>
        <w:spacing w:after="0"/>
        <w:sectPr>
          <w:pgSz w:w="11910" w:h="16840"/>
          <w:pgMar w:header="713" w:footer="778" w:top="1140" w:bottom="960" w:left="940" w:right="520"/>
        </w:sectPr>
      </w:pPr>
    </w:p>
    <w:p>
      <w:pPr>
        <w:pStyle w:val="BodyText"/>
        <w:spacing w:before="92"/>
        <w:ind w:right="615"/>
      </w:pPr>
      <w:r>
        <w:rPr/>
        <w:t>бджолосімей нерідко здійснюється непрофесійно, з порушенням ветеринарних технологій. Допускаються передозування ветеринарних препаратів, залишкова кількість</w:t>
      </w:r>
      <w:r>
        <w:rPr>
          <w:spacing w:val="-11"/>
        </w:rPr>
        <w:t> </w:t>
      </w:r>
      <w:r>
        <w:rPr/>
        <w:t>яких</w:t>
      </w:r>
      <w:r>
        <w:rPr>
          <w:spacing w:val="-13"/>
        </w:rPr>
        <w:t> </w:t>
      </w:r>
      <w:r>
        <w:rPr/>
        <w:t>може</w:t>
      </w:r>
      <w:r>
        <w:rPr>
          <w:spacing w:val="-8"/>
        </w:rPr>
        <w:t> </w:t>
      </w:r>
      <w:r>
        <w:rPr/>
        <w:t>потрапити</w:t>
      </w:r>
      <w:r>
        <w:rPr>
          <w:spacing w:val="-4"/>
        </w:rPr>
        <w:t> </w:t>
      </w:r>
      <w:r>
        <w:rPr/>
        <w:t>у</w:t>
      </w:r>
      <w:r>
        <w:rPr>
          <w:spacing w:val="-13"/>
        </w:rPr>
        <w:t> </w:t>
      </w:r>
      <w:r>
        <w:rPr/>
        <w:t>продукти</w:t>
      </w:r>
      <w:r>
        <w:rPr>
          <w:spacing w:val="-8"/>
        </w:rPr>
        <w:t> </w:t>
      </w:r>
      <w:r>
        <w:rPr/>
        <w:t>бджільництва,</w:t>
      </w:r>
      <w:r>
        <w:rPr>
          <w:spacing w:val="-6"/>
        </w:rPr>
        <w:t> </w:t>
      </w:r>
      <w:r>
        <w:rPr/>
        <w:t>суттєво</w:t>
      </w:r>
      <w:r>
        <w:rPr>
          <w:spacing w:val="-8"/>
        </w:rPr>
        <w:t> </w:t>
      </w:r>
      <w:r>
        <w:rPr/>
        <w:t>знизити</w:t>
      </w:r>
      <w:r>
        <w:rPr>
          <w:spacing w:val="-8"/>
        </w:rPr>
        <w:t> </w:t>
      </w:r>
      <w:r>
        <w:rPr/>
        <w:t>якість або зробити їх зовсім непридатними до</w:t>
      </w:r>
      <w:r>
        <w:rPr>
          <w:spacing w:val="-2"/>
        </w:rPr>
        <w:t> </w:t>
      </w:r>
      <w:r>
        <w:rPr/>
        <w:t>споживання.</w:t>
      </w:r>
    </w:p>
    <w:p>
      <w:pPr>
        <w:pStyle w:val="BodyText"/>
        <w:ind w:right="611" w:firstLine="710"/>
      </w:pPr>
      <w:r>
        <w:rPr>
          <w:b/>
        </w:rPr>
        <w:t>Висновки.</w:t>
      </w:r>
      <w:r>
        <w:rPr>
          <w:b/>
          <w:spacing w:val="-10"/>
        </w:rPr>
        <w:t> </w:t>
      </w:r>
      <w:r>
        <w:rPr/>
        <w:t>Однією</w:t>
      </w:r>
      <w:r>
        <w:rPr>
          <w:spacing w:val="-16"/>
        </w:rPr>
        <w:t> </w:t>
      </w:r>
      <w:r>
        <w:rPr/>
        <w:t>з</w:t>
      </w:r>
      <w:r>
        <w:rPr>
          <w:spacing w:val="-14"/>
        </w:rPr>
        <w:t> </w:t>
      </w:r>
      <w:r>
        <w:rPr/>
        <w:t>основних</w:t>
      </w:r>
      <w:r>
        <w:rPr>
          <w:spacing w:val="-19"/>
        </w:rPr>
        <w:t> </w:t>
      </w:r>
      <w:r>
        <w:rPr/>
        <w:t>перешкод</w:t>
      </w:r>
      <w:r>
        <w:rPr>
          <w:spacing w:val="-7"/>
        </w:rPr>
        <w:t> </w:t>
      </w:r>
      <w:r>
        <w:rPr/>
        <w:t>на</w:t>
      </w:r>
      <w:r>
        <w:rPr>
          <w:spacing w:val="-13"/>
        </w:rPr>
        <w:t> </w:t>
      </w:r>
      <w:r>
        <w:rPr/>
        <w:t>шляху</w:t>
      </w:r>
      <w:r>
        <w:rPr>
          <w:spacing w:val="-19"/>
        </w:rPr>
        <w:t> </w:t>
      </w:r>
      <w:r>
        <w:rPr/>
        <w:t>до</w:t>
      </w:r>
      <w:r>
        <w:rPr>
          <w:spacing w:val="-14"/>
        </w:rPr>
        <w:t> </w:t>
      </w:r>
      <w:r>
        <w:rPr/>
        <w:t>збільшення</w:t>
      </w:r>
      <w:r>
        <w:rPr>
          <w:spacing w:val="-13"/>
        </w:rPr>
        <w:t> </w:t>
      </w:r>
      <w:r>
        <w:rPr/>
        <w:t>експорту меду в Європу та інших країн світу з України є розрізненість українських виробників меду і медової продукції, що часто заважає контролю її якості. Забезпечення якості та безпеки продукції бджільництва необхідно здійснювати на всіх рівнях – від виробника, постачальника-заготівельника до роздрібного продавця. Відповідно до стандартів ЄС, контроль якості та безпечності меду, окрім органолептичних та фізико-хімічних показників, передбачає також визначення гранично допустимих залишків антибіотиків, сульфаніламідних препаратів, пестицидів, важких металів, радіонуклідів, пилку ГМО. </w:t>
      </w:r>
      <w:r>
        <w:rPr>
          <w:spacing w:val="-3"/>
        </w:rPr>
        <w:t>На </w:t>
      </w:r>
      <w:r>
        <w:rPr/>
        <w:t>підставі міжнародних та національних вимог до якості продукції бджільництва видно невідповідність</w:t>
      </w:r>
      <w:r>
        <w:rPr>
          <w:spacing w:val="-11"/>
        </w:rPr>
        <w:t> </w:t>
      </w:r>
      <w:r>
        <w:rPr/>
        <w:t>у</w:t>
      </w:r>
      <w:r>
        <w:rPr>
          <w:spacing w:val="-17"/>
        </w:rPr>
        <w:t> </w:t>
      </w:r>
      <w:r>
        <w:rPr/>
        <w:t>таких</w:t>
      </w:r>
      <w:r>
        <w:rPr>
          <w:spacing w:val="-13"/>
        </w:rPr>
        <w:t> </w:t>
      </w:r>
      <w:r>
        <w:rPr/>
        <w:t>принципово</w:t>
      </w:r>
      <w:r>
        <w:rPr>
          <w:spacing w:val="-12"/>
        </w:rPr>
        <w:t> </w:t>
      </w:r>
      <w:r>
        <w:rPr/>
        <w:t>важливих</w:t>
      </w:r>
      <w:r>
        <w:rPr>
          <w:spacing w:val="-17"/>
        </w:rPr>
        <w:t> </w:t>
      </w:r>
      <w:r>
        <w:rPr/>
        <w:t>показниках,</w:t>
      </w:r>
      <w:r>
        <w:rPr>
          <w:spacing w:val="-11"/>
        </w:rPr>
        <w:t> </w:t>
      </w:r>
      <w:r>
        <w:rPr/>
        <w:t>як</w:t>
      </w:r>
      <w:r>
        <w:rPr>
          <w:spacing w:val="-13"/>
        </w:rPr>
        <w:t> </w:t>
      </w:r>
      <w:r>
        <w:rPr/>
        <w:t>класифікації</w:t>
      </w:r>
      <w:r>
        <w:rPr>
          <w:spacing w:val="-19"/>
        </w:rPr>
        <w:t> </w:t>
      </w:r>
      <w:r>
        <w:rPr/>
        <w:t>меду, вмісту</w:t>
      </w:r>
      <w:r>
        <w:rPr>
          <w:spacing w:val="-9"/>
        </w:rPr>
        <w:t> </w:t>
      </w:r>
      <w:r>
        <w:rPr/>
        <w:t>відновлювальних</w:t>
      </w:r>
      <w:r>
        <w:rPr>
          <w:spacing w:val="-13"/>
        </w:rPr>
        <w:t> </w:t>
      </w:r>
      <w:r>
        <w:rPr/>
        <w:t>цукрів,</w:t>
      </w:r>
      <w:r>
        <w:rPr>
          <w:spacing w:val="-6"/>
        </w:rPr>
        <w:t> </w:t>
      </w:r>
      <w:r>
        <w:rPr/>
        <w:t>вмісту</w:t>
      </w:r>
      <w:r>
        <w:rPr>
          <w:spacing w:val="-13"/>
        </w:rPr>
        <w:t> </w:t>
      </w:r>
      <w:r>
        <w:rPr/>
        <w:t>сахарози,</w:t>
      </w:r>
      <w:r>
        <w:rPr>
          <w:spacing w:val="-6"/>
        </w:rPr>
        <w:t> </w:t>
      </w:r>
      <w:r>
        <w:rPr/>
        <w:t>показнику</w:t>
      </w:r>
      <w:r>
        <w:rPr>
          <w:spacing w:val="-13"/>
        </w:rPr>
        <w:t> </w:t>
      </w:r>
      <w:r>
        <w:rPr/>
        <w:t>електропровідності, вмісту гідроксиметилфурфуролу (ГМФ), гранично допустимої концентрації антибіотиків у меду. Треба вміти відрізнити якісний та корисний мед </w:t>
      </w:r>
      <w:r>
        <w:rPr>
          <w:spacing w:val="-3"/>
        </w:rPr>
        <w:t>від </w:t>
      </w:r>
      <w:r>
        <w:rPr/>
        <w:t>дешевого фальсифікату, важливо зробити експертизу меду. За допомогою спеціальних лабораторних досліджень можна визначити безпечність і якість меду та його відповідність Держстандарту</w:t>
      </w:r>
      <w:r>
        <w:rPr>
          <w:spacing w:val="-4"/>
        </w:rPr>
        <w:t> </w:t>
      </w:r>
      <w:r>
        <w:rPr/>
        <w:t>України.</w:t>
      </w:r>
    </w:p>
    <w:p>
      <w:pPr>
        <w:pStyle w:val="BodyText"/>
        <w:spacing w:before="8"/>
        <w:ind w:left="0"/>
        <w:jc w:val="left"/>
      </w:pPr>
    </w:p>
    <w:p>
      <w:pPr>
        <w:pStyle w:val="Heading1"/>
        <w:spacing w:line="319" w:lineRule="exact"/>
        <w:ind w:left="187"/>
      </w:pPr>
      <w:r>
        <w:rPr/>
        <w:t>ЛІТЕРАТУРА</w:t>
      </w:r>
    </w:p>
    <w:p>
      <w:pPr>
        <w:pStyle w:val="ListParagraph"/>
        <w:numPr>
          <w:ilvl w:val="3"/>
          <w:numId w:val="15"/>
        </w:numPr>
        <w:tabs>
          <w:tab w:pos="1298" w:val="left" w:leader="none"/>
        </w:tabs>
        <w:spacing w:line="240" w:lineRule="auto" w:before="0" w:after="0"/>
        <w:ind w:left="193" w:right="611" w:firstLine="710"/>
        <w:jc w:val="both"/>
        <w:rPr>
          <w:sz w:val="28"/>
        </w:rPr>
      </w:pPr>
      <w:r>
        <w:rPr>
          <w:sz w:val="28"/>
        </w:rPr>
        <w:t>Арнаута О. В. Особливості нормативного забезпечення якості та безпечності бджолиного меду в Україна і ЄС на етапах його виробництва та реалізації / О. В. Арнаута, В. </w:t>
      </w:r>
      <w:r>
        <w:rPr>
          <w:spacing w:val="-3"/>
          <w:sz w:val="28"/>
        </w:rPr>
        <w:t>А. </w:t>
      </w:r>
      <w:r>
        <w:rPr>
          <w:sz w:val="28"/>
        </w:rPr>
        <w:t>Томчук, </w:t>
      </w:r>
      <w:r>
        <w:rPr>
          <w:spacing w:val="-3"/>
          <w:sz w:val="28"/>
        </w:rPr>
        <w:t>О. </w:t>
      </w:r>
      <w:r>
        <w:rPr>
          <w:sz w:val="28"/>
        </w:rPr>
        <w:t>В. Бернатович // Науковий вісник ЛНАУ: ветеринарні науки. – 2013. –№53. – С.</w:t>
      </w:r>
      <w:r>
        <w:rPr>
          <w:spacing w:val="-22"/>
          <w:sz w:val="28"/>
        </w:rPr>
        <w:t> </w:t>
      </w:r>
      <w:r>
        <w:rPr>
          <w:sz w:val="28"/>
        </w:rPr>
        <w:t>5–7.</w:t>
      </w:r>
    </w:p>
    <w:p>
      <w:pPr>
        <w:pStyle w:val="ListParagraph"/>
        <w:numPr>
          <w:ilvl w:val="3"/>
          <w:numId w:val="15"/>
        </w:numPr>
        <w:tabs>
          <w:tab w:pos="1207" w:val="left" w:leader="none"/>
          <w:tab w:pos="1482" w:val="left" w:leader="none"/>
          <w:tab w:pos="3218" w:val="left" w:leader="none"/>
          <w:tab w:pos="3793" w:val="left" w:leader="none"/>
          <w:tab w:pos="5208" w:val="left" w:leader="none"/>
          <w:tab w:pos="5596" w:val="left" w:leader="none"/>
          <w:tab w:pos="8507" w:val="left" w:leader="none"/>
          <w:tab w:pos="9690" w:val="left" w:leader="none"/>
        </w:tabs>
        <w:spacing w:line="240" w:lineRule="auto" w:before="0" w:after="0"/>
        <w:ind w:left="193" w:right="611" w:firstLine="710"/>
        <w:jc w:val="left"/>
        <w:rPr>
          <w:sz w:val="28"/>
        </w:rPr>
      </w:pPr>
      <w:r>
        <w:rPr>
          <w:sz w:val="28"/>
        </w:rPr>
        <w:t>Директива Ради 2001/110 ЄС від 20 грудня 2001. Official Journal of the European</w:t>
        <w:tab/>
        <w:t>Communities</w:t>
        <w:tab/>
        <w:t>від</w:t>
        <w:tab/>
        <w:t>12.1.2002,</w:t>
        <w:tab/>
        <w:t>L</w:t>
        <w:tab/>
        <w:t>10/47-52[Електронний</w:t>
        <w:tab/>
        <w:t>ресурс].</w:t>
        <w:tab/>
      </w:r>
      <w:r>
        <w:rPr>
          <w:spacing w:val="-17"/>
          <w:sz w:val="28"/>
        </w:rPr>
        <w:t>– </w:t>
      </w:r>
      <w:r>
        <w:rPr>
          <w:sz w:val="28"/>
        </w:rPr>
        <w:t>Режимдоступу:</w:t>
      </w:r>
      <w:hyperlink r:id="rId47">
        <w:r>
          <w:rPr>
            <w:sz w:val="28"/>
          </w:rPr>
          <w:t>http://www.swap-rural.org.ua/files/ua/food_safety/</w:t>
        </w:r>
      </w:hyperlink>
      <w:r>
        <w:rPr>
          <w:sz w:val="28"/>
        </w:rPr>
        <w:t> council_directive_2001_110.pdf</w:t>
      </w:r>
    </w:p>
    <w:p>
      <w:pPr>
        <w:pStyle w:val="ListParagraph"/>
        <w:numPr>
          <w:ilvl w:val="3"/>
          <w:numId w:val="15"/>
        </w:numPr>
        <w:tabs>
          <w:tab w:pos="1178" w:val="left" w:leader="none"/>
        </w:tabs>
        <w:spacing w:line="240" w:lineRule="auto" w:before="0" w:after="0"/>
        <w:ind w:left="193" w:right="611" w:firstLine="710"/>
        <w:jc w:val="both"/>
        <w:rPr>
          <w:sz w:val="28"/>
        </w:rPr>
      </w:pPr>
      <w:r>
        <w:rPr>
          <w:spacing w:val="-4"/>
          <w:sz w:val="28"/>
        </w:rPr>
        <w:t>Каганець </w:t>
      </w:r>
      <w:r>
        <w:rPr>
          <w:spacing w:val="-3"/>
          <w:sz w:val="28"/>
        </w:rPr>
        <w:t>О. </w:t>
      </w:r>
      <w:r>
        <w:rPr>
          <w:spacing w:val="-6"/>
          <w:sz w:val="28"/>
        </w:rPr>
        <w:t>Оцінка </w:t>
      </w:r>
      <w:r>
        <w:rPr>
          <w:sz w:val="28"/>
        </w:rPr>
        <w:t>меду за </w:t>
      </w:r>
      <w:r>
        <w:rPr>
          <w:spacing w:val="-5"/>
          <w:sz w:val="28"/>
        </w:rPr>
        <w:t>міжнародними </w:t>
      </w:r>
      <w:r>
        <w:rPr>
          <w:spacing w:val="-4"/>
          <w:sz w:val="28"/>
        </w:rPr>
        <w:t>та національними </w:t>
      </w:r>
      <w:r>
        <w:rPr>
          <w:spacing w:val="-5"/>
          <w:sz w:val="28"/>
        </w:rPr>
        <w:t>критеріями </w:t>
      </w:r>
      <w:r>
        <w:rPr>
          <w:sz w:val="28"/>
        </w:rPr>
        <w:t>/ </w:t>
      </w:r>
      <w:r>
        <w:rPr>
          <w:spacing w:val="-3"/>
          <w:sz w:val="28"/>
        </w:rPr>
        <w:t>О. </w:t>
      </w:r>
      <w:r>
        <w:rPr>
          <w:sz w:val="28"/>
        </w:rPr>
        <w:t>Каганець [Електронний ресурс]. – Режим доступу: </w:t>
      </w:r>
      <w:hyperlink r:id="rId48">
        <w:r>
          <w:rPr>
            <w:sz w:val="28"/>
          </w:rPr>
          <w:t>http://www.nbuv.gov.ua/</w:t>
        </w:r>
      </w:hyperlink>
      <w:r>
        <w:rPr>
          <w:sz w:val="28"/>
        </w:rPr>
        <w:t> portal/chem_biol/Piapk/2010_1/10odkinc.pdf</w:t>
      </w:r>
    </w:p>
    <w:p>
      <w:pPr>
        <w:pStyle w:val="ListParagraph"/>
        <w:numPr>
          <w:ilvl w:val="3"/>
          <w:numId w:val="15"/>
        </w:numPr>
        <w:tabs>
          <w:tab w:pos="1236" w:val="left" w:leader="none"/>
        </w:tabs>
        <w:spacing w:line="240" w:lineRule="auto" w:before="0" w:after="0"/>
        <w:ind w:left="193" w:right="610" w:firstLine="710"/>
        <w:jc w:val="both"/>
        <w:rPr>
          <w:sz w:val="28"/>
        </w:rPr>
      </w:pPr>
      <w:r>
        <w:rPr>
          <w:sz w:val="28"/>
        </w:rPr>
        <w:t>Маланчук Т.В. Державний контроль та нагляд за безпекою харчових продуктів // Правовий вісник Української академії банківської справи Науково- практичний журнал. — 2011, ғ 2</w:t>
      </w:r>
      <w:r>
        <w:rPr>
          <w:spacing w:val="17"/>
          <w:sz w:val="28"/>
        </w:rPr>
        <w:t> </w:t>
      </w:r>
      <w:r>
        <w:rPr>
          <w:sz w:val="28"/>
        </w:rPr>
        <w:t>(5)</w:t>
      </w:r>
    </w:p>
    <w:p>
      <w:pPr>
        <w:pStyle w:val="ListParagraph"/>
        <w:numPr>
          <w:ilvl w:val="3"/>
          <w:numId w:val="15"/>
        </w:numPr>
        <w:tabs>
          <w:tab w:pos="1461" w:val="left" w:leader="none"/>
        </w:tabs>
        <w:spacing w:line="240" w:lineRule="auto" w:before="0" w:after="0"/>
        <w:ind w:left="193" w:right="607" w:firstLine="710"/>
        <w:jc w:val="both"/>
        <w:rPr>
          <w:sz w:val="28"/>
        </w:rPr>
      </w:pPr>
      <w:r>
        <w:rPr>
          <w:sz w:val="28"/>
        </w:rPr>
        <w:t>Мед натуральний. Технічні умови: ДСТУ 4497-2005. К.: Держспоживстандарт України, 2005. – 36с. – (Національний стандарт</w:t>
      </w:r>
      <w:r>
        <w:rPr>
          <w:spacing w:val="-28"/>
          <w:sz w:val="28"/>
        </w:rPr>
        <w:t> </w:t>
      </w:r>
      <w:r>
        <w:rPr>
          <w:sz w:val="28"/>
        </w:rPr>
        <w:t>України).</w:t>
      </w:r>
    </w:p>
    <w:p>
      <w:pPr>
        <w:pStyle w:val="ListParagraph"/>
        <w:numPr>
          <w:ilvl w:val="3"/>
          <w:numId w:val="15"/>
        </w:numPr>
        <w:tabs>
          <w:tab w:pos="1255" w:val="left" w:leader="none"/>
        </w:tabs>
        <w:spacing w:line="240" w:lineRule="auto" w:before="0" w:after="0"/>
        <w:ind w:left="193" w:right="615" w:firstLine="710"/>
        <w:jc w:val="both"/>
        <w:rPr>
          <w:sz w:val="28"/>
        </w:rPr>
      </w:pPr>
      <w:r>
        <w:rPr>
          <w:sz w:val="28"/>
        </w:rPr>
        <w:t>Поліщук В. </w:t>
      </w:r>
      <w:r>
        <w:rPr>
          <w:spacing w:val="-3"/>
          <w:sz w:val="28"/>
        </w:rPr>
        <w:t>П. </w:t>
      </w:r>
      <w:r>
        <w:rPr>
          <w:sz w:val="28"/>
        </w:rPr>
        <w:t>Бджільництво / В. </w:t>
      </w:r>
      <w:r>
        <w:rPr>
          <w:spacing w:val="-3"/>
          <w:sz w:val="28"/>
        </w:rPr>
        <w:t>П. </w:t>
      </w:r>
      <w:r>
        <w:rPr>
          <w:sz w:val="28"/>
        </w:rPr>
        <w:t>Поліщук //. – Львів: Редакція журналу «Український пасічник», 2001. – 296</w:t>
      </w:r>
      <w:r>
        <w:rPr>
          <w:spacing w:val="14"/>
          <w:sz w:val="28"/>
        </w:rPr>
        <w:t> </w:t>
      </w:r>
      <w:r>
        <w:rPr>
          <w:sz w:val="28"/>
        </w:rPr>
        <w:t>с.</w:t>
      </w:r>
    </w:p>
    <w:p>
      <w:pPr>
        <w:pStyle w:val="ListParagraph"/>
        <w:numPr>
          <w:ilvl w:val="3"/>
          <w:numId w:val="15"/>
        </w:numPr>
        <w:tabs>
          <w:tab w:pos="1183" w:val="left" w:leader="none"/>
        </w:tabs>
        <w:spacing w:line="240" w:lineRule="auto" w:before="0" w:after="0"/>
        <w:ind w:left="193" w:right="609" w:firstLine="710"/>
        <w:jc w:val="both"/>
        <w:rPr>
          <w:sz w:val="28"/>
        </w:rPr>
      </w:pPr>
      <w:r>
        <w:rPr>
          <w:sz w:val="28"/>
        </w:rPr>
        <w:t>Codex</w:t>
      </w:r>
      <w:r>
        <w:rPr>
          <w:spacing w:val="-9"/>
          <w:sz w:val="28"/>
        </w:rPr>
        <w:t> </w:t>
      </w:r>
      <w:r>
        <w:rPr>
          <w:sz w:val="28"/>
        </w:rPr>
        <w:t>Alimentarius</w:t>
      </w:r>
      <w:r>
        <w:rPr>
          <w:spacing w:val="-7"/>
          <w:sz w:val="28"/>
        </w:rPr>
        <w:t> </w:t>
      </w:r>
      <w:r>
        <w:rPr>
          <w:sz w:val="28"/>
        </w:rPr>
        <w:t>Commission.</w:t>
      </w:r>
      <w:r>
        <w:rPr>
          <w:spacing w:val="-6"/>
          <w:sz w:val="28"/>
        </w:rPr>
        <w:t> </w:t>
      </w:r>
      <w:r>
        <w:rPr>
          <w:sz w:val="28"/>
        </w:rPr>
        <w:t>Revised</w:t>
      </w:r>
      <w:r>
        <w:rPr>
          <w:spacing w:val="-9"/>
          <w:sz w:val="28"/>
        </w:rPr>
        <w:t> </w:t>
      </w:r>
      <w:r>
        <w:rPr>
          <w:sz w:val="28"/>
        </w:rPr>
        <w:t>Codex</w:t>
      </w:r>
      <w:r>
        <w:rPr>
          <w:spacing w:val="-8"/>
          <w:sz w:val="28"/>
        </w:rPr>
        <w:t> </w:t>
      </w:r>
      <w:r>
        <w:rPr>
          <w:sz w:val="28"/>
        </w:rPr>
        <w:t>Standard</w:t>
      </w:r>
      <w:r>
        <w:rPr>
          <w:spacing w:val="-5"/>
          <w:sz w:val="28"/>
        </w:rPr>
        <w:t> </w:t>
      </w:r>
      <w:r>
        <w:rPr>
          <w:sz w:val="28"/>
        </w:rPr>
        <w:t>for</w:t>
      </w:r>
      <w:r>
        <w:rPr>
          <w:spacing w:val="-5"/>
          <w:sz w:val="28"/>
        </w:rPr>
        <w:t> </w:t>
      </w:r>
      <w:r>
        <w:rPr>
          <w:sz w:val="28"/>
        </w:rPr>
        <w:t>honey,</w:t>
      </w:r>
      <w:r>
        <w:rPr>
          <w:spacing w:val="-7"/>
          <w:sz w:val="28"/>
        </w:rPr>
        <w:t> </w:t>
      </w:r>
      <w:r>
        <w:rPr>
          <w:sz w:val="28"/>
        </w:rPr>
        <w:t>Codex STAN 12-1981 [Електронний ресурс]. – Режим доступу :</w:t>
      </w:r>
      <w:hyperlink r:id="rId49">
        <w:r>
          <w:rPr>
            <w:sz w:val="28"/>
          </w:rPr>
          <w:t> http://www.codexalimentarius.org/</w:t>
        </w:r>
      </w:hyperlink>
      <w:r>
        <w:rPr>
          <w:sz w:val="28"/>
        </w:rPr>
        <w:t>.</w:t>
      </w:r>
    </w:p>
    <w:p>
      <w:pPr>
        <w:spacing w:after="0" w:line="240" w:lineRule="auto"/>
        <w:jc w:val="both"/>
        <w:rPr>
          <w:sz w:val="28"/>
        </w:rPr>
        <w:sectPr>
          <w:pgSz w:w="11910" w:h="16840"/>
          <w:pgMar w:header="713" w:footer="778" w:top="1140" w:bottom="960" w:left="940" w:right="520"/>
        </w:sectPr>
      </w:pPr>
    </w:p>
    <w:p>
      <w:pPr>
        <w:pStyle w:val="ListParagraph"/>
        <w:numPr>
          <w:ilvl w:val="3"/>
          <w:numId w:val="15"/>
        </w:numPr>
        <w:tabs>
          <w:tab w:pos="1226" w:val="left" w:leader="none"/>
        </w:tabs>
        <w:spacing w:line="240" w:lineRule="auto" w:before="92" w:after="0"/>
        <w:ind w:left="193" w:right="608" w:firstLine="710"/>
        <w:jc w:val="both"/>
        <w:rPr>
          <w:sz w:val="28"/>
        </w:rPr>
      </w:pPr>
      <w:r>
        <w:rPr>
          <w:sz w:val="28"/>
        </w:rPr>
        <w:t>Kerkvliet, J., Ortiz, A., Ivanov, T., D.Arcy, B., Mossel, B., Vit, P., 1999. Honey quality and international regulatory standards: review by the International Honey Commission. Bee World, 80:</w:t>
      </w:r>
      <w:r>
        <w:rPr>
          <w:spacing w:val="1"/>
          <w:sz w:val="28"/>
        </w:rPr>
        <w:t> </w:t>
      </w:r>
      <w:r>
        <w:rPr>
          <w:sz w:val="28"/>
        </w:rPr>
        <w:t>61-69.</w:t>
      </w:r>
    </w:p>
    <w:p>
      <w:pPr>
        <w:pStyle w:val="BodyText"/>
        <w:spacing w:before="3"/>
        <w:ind w:left="0"/>
        <w:jc w:val="left"/>
      </w:pPr>
    </w:p>
    <w:p>
      <w:pPr>
        <w:spacing w:line="242" w:lineRule="auto" w:before="1"/>
        <w:ind w:left="3347" w:right="806" w:hanging="2238"/>
        <w:jc w:val="left"/>
        <w:rPr>
          <w:b/>
          <w:sz w:val="28"/>
        </w:rPr>
      </w:pPr>
      <w:r>
        <w:rPr>
          <w:b/>
          <w:color w:val="212121"/>
          <w:sz w:val="28"/>
        </w:rPr>
        <w:t>СОВРЕМЕННЫЕ ПРОБЛЕМЫ КАЧЕСТВА И БЕЗОПАСНОСТИ МЕДА НАТУРАЛЬНОГО</w:t>
      </w:r>
    </w:p>
    <w:p>
      <w:pPr>
        <w:pStyle w:val="BodyText"/>
        <w:spacing w:line="315" w:lineRule="exact"/>
        <w:ind w:left="3453"/>
      </w:pPr>
      <w:r>
        <w:rPr>
          <w:color w:val="212121"/>
        </w:rPr>
        <w:t>Хамид К., Пушкарь Т., Гурко Е.</w:t>
      </w:r>
    </w:p>
    <w:p>
      <w:pPr>
        <w:spacing w:before="0"/>
        <w:ind w:left="193" w:right="612" w:firstLine="710"/>
        <w:jc w:val="both"/>
        <w:rPr>
          <w:i/>
          <w:sz w:val="28"/>
        </w:rPr>
      </w:pPr>
      <w:r>
        <w:rPr>
          <w:i/>
          <w:color w:val="212121"/>
          <w:sz w:val="28"/>
        </w:rPr>
        <w:t>На сегодняшний день, обеспечение населения высококачественными и </w:t>
      </w:r>
      <w:r>
        <w:rPr>
          <w:i/>
          <w:color w:val="212121"/>
          <w:sz w:val="28"/>
        </w:rPr>
        <w:t>безопасными пищевыми продуктами являются одной из главных задач производителей пищевой продукции. Проведение анализа, направленного на повышение эффективности для возможности дальнейшего</w:t>
      </w:r>
      <w:r>
        <w:rPr>
          <w:i/>
          <w:color w:val="212121"/>
          <w:spacing w:val="-47"/>
          <w:sz w:val="28"/>
        </w:rPr>
        <w:t> </w:t>
      </w:r>
      <w:r>
        <w:rPr>
          <w:i/>
          <w:color w:val="212121"/>
          <w:sz w:val="28"/>
        </w:rPr>
        <w:t>совершенствования системы</w:t>
      </w:r>
      <w:r>
        <w:rPr>
          <w:i/>
          <w:color w:val="212121"/>
          <w:spacing w:val="-17"/>
          <w:sz w:val="28"/>
        </w:rPr>
        <w:t> </w:t>
      </w:r>
      <w:r>
        <w:rPr>
          <w:i/>
          <w:color w:val="212121"/>
          <w:sz w:val="28"/>
        </w:rPr>
        <w:t>оценки</w:t>
      </w:r>
      <w:r>
        <w:rPr>
          <w:i/>
          <w:color w:val="212121"/>
          <w:spacing w:val="-15"/>
          <w:sz w:val="28"/>
        </w:rPr>
        <w:t> </w:t>
      </w:r>
      <w:r>
        <w:rPr>
          <w:i/>
          <w:color w:val="212121"/>
          <w:sz w:val="28"/>
        </w:rPr>
        <w:t>качества</w:t>
      </w:r>
      <w:r>
        <w:rPr>
          <w:i/>
          <w:color w:val="212121"/>
          <w:spacing w:val="-16"/>
          <w:sz w:val="28"/>
        </w:rPr>
        <w:t> </w:t>
      </w:r>
      <w:r>
        <w:rPr>
          <w:i/>
          <w:color w:val="212121"/>
          <w:sz w:val="28"/>
        </w:rPr>
        <w:t>меда</w:t>
      </w:r>
      <w:r>
        <w:rPr>
          <w:i/>
          <w:color w:val="212121"/>
          <w:spacing w:val="-15"/>
          <w:sz w:val="28"/>
        </w:rPr>
        <w:t> </w:t>
      </w:r>
      <w:r>
        <w:rPr>
          <w:i/>
          <w:color w:val="212121"/>
          <w:sz w:val="28"/>
        </w:rPr>
        <w:t>натурального,</w:t>
      </w:r>
      <w:r>
        <w:rPr>
          <w:i/>
          <w:color w:val="212121"/>
          <w:spacing w:val="-12"/>
          <w:sz w:val="28"/>
        </w:rPr>
        <w:t> </w:t>
      </w:r>
      <w:r>
        <w:rPr>
          <w:i/>
          <w:color w:val="212121"/>
          <w:sz w:val="28"/>
        </w:rPr>
        <w:t>было</w:t>
      </w:r>
      <w:r>
        <w:rPr>
          <w:i/>
          <w:color w:val="212121"/>
          <w:spacing w:val="-15"/>
          <w:sz w:val="28"/>
        </w:rPr>
        <w:t> </w:t>
      </w:r>
      <w:r>
        <w:rPr>
          <w:i/>
          <w:color w:val="212121"/>
          <w:sz w:val="28"/>
        </w:rPr>
        <w:t>целью</w:t>
      </w:r>
      <w:r>
        <w:rPr>
          <w:i/>
          <w:color w:val="212121"/>
          <w:spacing w:val="-15"/>
          <w:sz w:val="28"/>
        </w:rPr>
        <w:t> </w:t>
      </w:r>
      <w:r>
        <w:rPr>
          <w:i/>
          <w:color w:val="212121"/>
          <w:sz w:val="28"/>
        </w:rPr>
        <w:t>нашего</w:t>
      </w:r>
      <w:r>
        <w:rPr>
          <w:i/>
          <w:color w:val="212121"/>
          <w:spacing w:val="-14"/>
          <w:sz w:val="28"/>
        </w:rPr>
        <w:t> </w:t>
      </w:r>
      <w:r>
        <w:rPr>
          <w:i/>
          <w:color w:val="212121"/>
          <w:sz w:val="28"/>
        </w:rPr>
        <w:t>исследования. Установлено, что одним из основных препятствий увеличения экспорта меда является разрозненность украинских производителей меда и медовой продукции. Для обеспечения качества и безопасности продукции пчеловодства необходимо осуществлять на всех уровнях. Определить безопасность и качество меда и его соответствие ГОСТу Украины, возможно благодаря лабораторных</w:t>
      </w:r>
      <w:r>
        <w:rPr>
          <w:i/>
          <w:color w:val="212121"/>
          <w:spacing w:val="1"/>
          <w:sz w:val="28"/>
        </w:rPr>
        <w:t> </w:t>
      </w:r>
      <w:r>
        <w:rPr>
          <w:i/>
          <w:color w:val="212121"/>
          <w:sz w:val="28"/>
        </w:rPr>
        <w:t>исследований.</w:t>
      </w:r>
    </w:p>
    <w:p>
      <w:pPr>
        <w:spacing w:before="1"/>
        <w:ind w:left="193" w:right="616" w:firstLine="710"/>
        <w:jc w:val="both"/>
        <w:rPr>
          <w:i/>
          <w:sz w:val="28"/>
        </w:rPr>
      </w:pPr>
      <w:r>
        <w:rPr>
          <w:b/>
          <w:i/>
          <w:color w:val="212121"/>
          <w:sz w:val="28"/>
        </w:rPr>
        <w:t>Ключевые слова: </w:t>
      </w:r>
      <w:r>
        <w:rPr>
          <w:i/>
          <w:color w:val="212121"/>
          <w:sz w:val="28"/>
        </w:rPr>
        <w:t>мед, качество, безопасность, требования, </w:t>
      </w:r>
      <w:r>
        <w:rPr>
          <w:i/>
          <w:color w:val="212121"/>
          <w:sz w:val="28"/>
        </w:rPr>
        <w:t>фальсификация.</w:t>
      </w:r>
    </w:p>
    <w:p>
      <w:pPr>
        <w:pStyle w:val="BodyText"/>
        <w:spacing w:before="4"/>
        <w:ind w:left="0"/>
        <w:jc w:val="left"/>
        <w:rPr>
          <w:i/>
        </w:rPr>
      </w:pPr>
    </w:p>
    <w:p>
      <w:pPr>
        <w:spacing w:before="0"/>
        <w:ind w:left="3770" w:right="1258" w:hanging="2003"/>
        <w:jc w:val="left"/>
        <w:rPr>
          <w:b/>
          <w:sz w:val="28"/>
        </w:rPr>
      </w:pPr>
      <w:r>
        <w:rPr>
          <w:b/>
          <w:color w:val="212121"/>
          <w:sz w:val="28"/>
        </w:rPr>
        <w:t>MODERN PROBLEMS OF QUALITY AND SECURITY OF NATURAL HONEY</w:t>
      </w:r>
    </w:p>
    <w:p>
      <w:pPr>
        <w:pStyle w:val="BodyText"/>
        <w:spacing w:line="316" w:lineRule="exact"/>
        <w:ind w:left="3482"/>
      </w:pPr>
      <w:r>
        <w:rPr>
          <w:color w:val="212121"/>
        </w:rPr>
        <w:t>Hamid K., Pushkar T., Gurko E.</w:t>
      </w:r>
    </w:p>
    <w:p>
      <w:pPr>
        <w:spacing w:line="240" w:lineRule="auto" w:before="0"/>
        <w:ind w:left="193" w:right="606" w:firstLine="710"/>
        <w:jc w:val="both"/>
        <w:rPr>
          <w:i/>
          <w:sz w:val="28"/>
        </w:rPr>
      </w:pPr>
      <w:r>
        <w:rPr>
          <w:i/>
          <w:color w:val="212121"/>
          <w:sz w:val="28"/>
        </w:rPr>
        <w:t>Today, providing the population with high quality and safe food is one of the </w:t>
      </w:r>
      <w:r>
        <w:rPr>
          <w:i/>
          <w:color w:val="212121"/>
          <w:sz w:val="28"/>
        </w:rPr>
        <w:t>main tasks of food producers. Conducting analysis to improve efficiency to further improve the system of quality assessment of honey natural </w:t>
      </w:r>
      <w:r>
        <w:rPr>
          <w:i/>
          <w:color w:val="212121"/>
          <w:spacing w:val="-3"/>
          <w:sz w:val="28"/>
        </w:rPr>
        <w:t>was </w:t>
      </w:r>
      <w:r>
        <w:rPr>
          <w:i/>
          <w:color w:val="212121"/>
          <w:sz w:val="28"/>
        </w:rPr>
        <w:t>the purpose of our study.</w:t>
      </w:r>
      <w:r>
        <w:rPr>
          <w:i/>
          <w:color w:val="212121"/>
          <w:spacing w:val="-8"/>
          <w:sz w:val="28"/>
        </w:rPr>
        <w:t> </w:t>
      </w:r>
      <w:r>
        <w:rPr>
          <w:i/>
          <w:color w:val="212121"/>
          <w:sz w:val="28"/>
        </w:rPr>
        <w:t>It</w:t>
      </w:r>
      <w:r>
        <w:rPr>
          <w:i/>
          <w:color w:val="212121"/>
          <w:spacing w:val="-12"/>
          <w:sz w:val="28"/>
        </w:rPr>
        <w:t> </w:t>
      </w:r>
      <w:r>
        <w:rPr>
          <w:i/>
          <w:color w:val="212121"/>
          <w:sz w:val="28"/>
        </w:rPr>
        <w:t>is</w:t>
      </w:r>
      <w:r>
        <w:rPr>
          <w:i/>
          <w:color w:val="212121"/>
          <w:spacing w:val="-9"/>
          <w:sz w:val="28"/>
        </w:rPr>
        <w:t> </w:t>
      </w:r>
      <w:r>
        <w:rPr>
          <w:i/>
          <w:color w:val="212121"/>
          <w:sz w:val="28"/>
        </w:rPr>
        <w:t>established</w:t>
      </w:r>
      <w:r>
        <w:rPr>
          <w:i/>
          <w:color w:val="212121"/>
          <w:spacing w:val="-11"/>
          <w:sz w:val="28"/>
        </w:rPr>
        <w:t> </w:t>
      </w:r>
      <w:r>
        <w:rPr>
          <w:i/>
          <w:color w:val="212121"/>
          <w:sz w:val="28"/>
        </w:rPr>
        <w:t>that</w:t>
      </w:r>
      <w:r>
        <w:rPr>
          <w:i/>
          <w:color w:val="212121"/>
          <w:spacing w:val="-7"/>
          <w:sz w:val="28"/>
        </w:rPr>
        <w:t> </w:t>
      </w:r>
      <w:r>
        <w:rPr>
          <w:i/>
          <w:color w:val="212121"/>
          <w:sz w:val="28"/>
        </w:rPr>
        <w:t>one</w:t>
      </w:r>
      <w:r>
        <w:rPr>
          <w:i/>
          <w:color w:val="212121"/>
          <w:spacing w:val="-9"/>
          <w:sz w:val="28"/>
        </w:rPr>
        <w:t> </w:t>
      </w:r>
      <w:r>
        <w:rPr>
          <w:i/>
          <w:color w:val="212121"/>
          <w:sz w:val="28"/>
        </w:rPr>
        <w:t>of</w:t>
      </w:r>
      <w:r>
        <w:rPr>
          <w:i/>
          <w:color w:val="212121"/>
          <w:spacing w:val="-12"/>
          <w:sz w:val="28"/>
        </w:rPr>
        <w:t> </w:t>
      </w:r>
      <w:r>
        <w:rPr>
          <w:i/>
          <w:color w:val="212121"/>
          <w:sz w:val="28"/>
        </w:rPr>
        <w:t>the</w:t>
      </w:r>
      <w:r>
        <w:rPr>
          <w:i/>
          <w:color w:val="212121"/>
          <w:spacing w:val="-10"/>
          <w:sz w:val="28"/>
        </w:rPr>
        <w:t> </w:t>
      </w:r>
      <w:r>
        <w:rPr>
          <w:i/>
          <w:color w:val="212121"/>
          <w:sz w:val="28"/>
        </w:rPr>
        <w:t>main</w:t>
      </w:r>
      <w:r>
        <w:rPr>
          <w:i/>
          <w:color w:val="212121"/>
          <w:spacing w:val="-7"/>
          <w:sz w:val="28"/>
        </w:rPr>
        <w:t> </w:t>
      </w:r>
      <w:r>
        <w:rPr>
          <w:i/>
          <w:color w:val="212121"/>
          <w:sz w:val="28"/>
        </w:rPr>
        <w:t>obstacles</w:t>
      </w:r>
      <w:r>
        <w:rPr>
          <w:i/>
          <w:color w:val="212121"/>
          <w:spacing w:val="-9"/>
          <w:sz w:val="28"/>
        </w:rPr>
        <w:t> </w:t>
      </w:r>
      <w:r>
        <w:rPr>
          <w:i/>
          <w:color w:val="212121"/>
          <w:sz w:val="28"/>
        </w:rPr>
        <w:t>to</w:t>
      </w:r>
      <w:r>
        <w:rPr>
          <w:i/>
          <w:color w:val="212121"/>
          <w:spacing w:val="-11"/>
          <w:sz w:val="28"/>
        </w:rPr>
        <w:t> </w:t>
      </w:r>
      <w:r>
        <w:rPr>
          <w:i/>
          <w:color w:val="212121"/>
          <w:sz w:val="28"/>
        </w:rPr>
        <w:t>increasing</w:t>
      </w:r>
      <w:r>
        <w:rPr>
          <w:i/>
          <w:color w:val="212121"/>
          <w:spacing w:val="-12"/>
          <w:sz w:val="28"/>
        </w:rPr>
        <w:t> </w:t>
      </w:r>
      <w:r>
        <w:rPr>
          <w:i/>
          <w:color w:val="212121"/>
          <w:sz w:val="28"/>
        </w:rPr>
        <w:t>honey</w:t>
      </w:r>
      <w:r>
        <w:rPr>
          <w:i/>
          <w:color w:val="212121"/>
          <w:spacing w:val="-10"/>
          <w:sz w:val="28"/>
        </w:rPr>
        <w:t> </w:t>
      </w:r>
      <w:r>
        <w:rPr>
          <w:i/>
          <w:color w:val="212121"/>
          <w:sz w:val="28"/>
        </w:rPr>
        <w:t>exports</w:t>
      </w:r>
      <w:r>
        <w:rPr>
          <w:i/>
          <w:color w:val="212121"/>
          <w:spacing w:val="-9"/>
          <w:sz w:val="28"/>
        </w:rPr>
        <w:t> </w:t>
      </w:r>
      <w:r>
        <w:rPr>
          <w:i/>
          <w:color w:val="212121"/>
          <w:sz w:val="28"/>
        </w:rPr>
        <w:t>is</w:t>
      </w:r>
      <w:r>
        <w:rPr>
          <w:i/>
          <w:color w:val="212121"/>
          <w:spacing w:val="-10"/>
          <w:sz w:val="28"/>
        </w:rPr>
        <w:t> </w:t>
      </w:r>
      <w:r>
        <w:rPr>
          <w:i/>
          <w:color w:val="212121"/>
          <w:sz w:val="28"/>
        </w:rPr>
        <w:t>the disparity between Ukrainian honey producers and honey products. Beekeeping </w:t>
      </w:r>
      <w:r>
        <w:rPr>
          <w:i/>
          <w:color w:val="212121"/>
          <w:spacing w:val="3"/>
          <w:sz w:val="28"/>
        </w:rPr>
        <w:t>must </w:t>
      </w:r>
      <w:r>
        <w:rPr>
          <w:i/>
          <w:color w:val="212121"/>
          <w:sz w:val="28"/>
        </w:rPr>
        <w:t>be</w:t>
      </w:r>
      <w:r>
        <w:rPr>
          <w:i/>
          <w:color w:val="212121"/>
          <w:spacing w:val="-16"/>
          <w:sz w:val="28"/>
        </w:rPr>
        <w:t> </w:t>
      </w:r>
      <w:r>
        <w:rPr>
          <w:i/>
          <w:color w:val="212121"/>
          <w:sz w:val="28"/>
        </w:rPr>
        <w:t>carried</w:t>
      </w:r>
      <w:r>
        <w:rPr>
          <w:i/>
          <w:color w:val="212121"/>
          <w:spacing w:val="-15"/>
          <w:sz w:val="28"/>
        </w:rPr>
        <w:t> </w:t>
      </w:r>
      <w:r>
        <w:rPr>
          <w:i/>
          <w:color w:val="212121"/>
          <w:sz w:val="28"/>
        </w:rPr>
        <w:t>out</w:t>
      </w:r>
      <w:r>
        <w:rPr>
          <w:i/>
          <w:color w:val="212121"/>
          <w:spacing w:val="-16"/>
          <w:sz w:val="28"/>
        </w:rPr>
        <w:t> </w:t>
      </w:r>
      <w:r>
        <w:rPr>
          <w:i/>
          <w:color w:val="212121"/>
          <w:sz w:val="28"/>
        </w:rPr>
        <w:t>at</w:t>
      </w:r>
      <w:r>
        <w:rPr>
          <w:i/>
          <w:color w:val="212121"/>
          <w:spacing w:val="-16"/>
          <w:sz w:val="28"/>
        </w:rPr>
        <w:t> </w:t>
      </w:r>
      <w:r>
        <w:rPr>
          <w:i/>
          <w:color w:val="212121"/>
          <w:sz w:val="28"/>
        </w:rPr>
        <w:t>all</w:t>
      </w:r>
      <w:r>
        <w:rPr>
          <w:i/>
          <w:color w:val="212121"/>
          <w:spacing w:val="-17"/>
          <w:sz w:val="28"/>
        </w:rPr>
        <w:t> </w:t>
      </w:r>
      <w:r>
        <w:rPr>
          <w:i/>
          <w:color w:val="212121"/>
          <w:sz w:val="28"/>
        </w:rPr>
        <w:t>levels</w:t>
      </w:r>
      <w:r>
        <w:rPr>
          <w:i/>
          <w:color w:val="212121"/>
          <w:spacing w:val="-15"/>
          <w:sz w:val="28"/>
        </w:rPr>
        <w:t> </w:t>
      </w:r>
      <w:r>
        <w:rPr>
          <w:i/>
          <w:color w:val="212121"/>
          <w:sz w:val="28"/>
        </w:rPr>
        <w:t>to</w:t>
      </w:r>
      <w:r>
        <w:rPr>
          <w:i/>
          <w:color w:val="212121"/>
          <w:spacing w:val="-16"/>
          <w:sz w:val="28"/>
        </w:rPr>
        <w:t> </w:t>
      </w:r>
      <w:r>
        <w:rPr>
          <w:i/>
          <w:color w:val="212121"/>
          <w:sz w:val="28"/>
        </w:rPr>
        <w:t>ensure</w:t>
      </w:r>
      <w:r>
        <w:rPr>
          <w:i/>
          <w:color w:val="212121"/>
          <w:spacing w:val="-15"/>
          <w:sz w:val="28"/>
        </w:rPr>
        <w:t> </w:t>
      </w:r>
      <w:r>
        <w:rPr>
          <w:i/>
          <w:color w:val="212121"/>
          <w:sz w:val="28"/>
        </w:rPr>
        <w:t>the</w:t>
      </w:r>
      <w:r>
        <w:rPr>
          <w:i/>
          <w:color w:val="212121"/>
          <w:spacing w:val="-15"/>
          <w:sz w:val="28"/>
        </w:rPr>
        <w:t> </w:t>
      </w:r>
      <w:r>
        <w:rPr>
          <w:i/>
          <w:color w:val="212121"/>
          <w:sz w:val="28"/>
        </w:rPr>
        <w:t>quality</w:t>
      </w:r>
      <w:r>
        <w:rPr>
          <w:i/>
          <w:color w:val="212121"/>
          <w:spacing w:val="-15"/>
          <w:sz w:val="28"/>
        </w:rPr>
        <w:t> </w:t>
      </w:r>
      <w:r>
        <w:rPr>
          <w:i/>
          <w:color w:val="212121"/>
          <w:sz w:val="28"/>
        </w:rPr>
        <w:t>and</w:t>
      </w:r>
      <w:r>
        <w:rPr>
          <w:i/>
          <w:color w:val="212121"/>
          <w:spacing w:val="-16"/>
          <w:sz w:val="28"/>
        </w:rPr>
        <w:t> </w:t>
      </w:r>
      <w:r>
        <w:rPr>
          <w:i/>
          <w:color w:val="212121"/>
          <w:sz w:val="28"/>
        </w:rPr>
        <w:t>safety</w:t>
      </w:r>
      <w:r>
        <w:rPr>
          <w:i/>
          <w:color w:val="212121"/>
          <w:spacing w:val="-15"/>
          <w:sz w:val="28"/>
        </w:rPr>
        <w:t> </w:t>
      </w:r>
      <w:r>
        <w:rPr>
          <w:i/>
          <w:color w:val="212121"/>
          <w:sz w:val="28"/>
        </w:rPr>
        <w:t>of</w:t>
      </w:r>
      <w:r>
        <w:rPr>
          <w:i/>
          <w:color w:val="212121"/>
          <w:spacing w:val="-16"/>
          <w:sz w:val="28"/>
        </w:rPr>
        <w:t> </w:t>
      </w:r>
      <w:r>
        <w:rPr>
          <w:i/>
          <w:color w:val="212121"/>
          <w:sz w:val="28"/>
        </w:rPr>
        <w:t>bee</w:t>
      </w:r>
      <w:r>
        <w:rPr>
          <w:i/>
          <w:color w:val="212121"/>
          <w:spacing w:val="-15"/>
          <w:sz w:val="28"/>
        </w:rPr>
        <w:t> </w:t>
      </w:r>
      <w:r>
        <w:rPr>
          <w:i/>
          <w:color w:val="212121"/>
          <w:sz w:val="28"/>
        </w:rPr>
        <w:t>products.</w:t>
      </w:r>
      <w:r>
        <w:rPr>
          <w:i/>
          <w:color w:val="212121"/>
          <w:spacing w:val="-14"/>
          <w:sz w:val="28"/>
        </w:rPr>
        <w:t> </w:t>
      </w:r>
      <w:r>
        <w:rPr>
          <w:i/>
          <w:color w:val="212121"/>
          <w:sz w:val="28"/>
        </w:rPr>
        <w:t>It</w:t>
      </w:r>
      <w:r>
        <w:rPr>
          <w:i/>
          <w:color w:val="212121"/>
          <w:spacing w:val="-16"/>
          <w:sz w:val="28"/>
        </w:rPr>
        <w:t> </w:t>
      </w:r>
      <w:r>
        <w:rPr>
          <w:i/>
          <w:color w:val="212121"/>
          <w:sz w:val="28"/>
        </w:rPr>
        <w:t>is</w:t>
      </w:r>
      <w:r>
        <w:rPr>
          <w:i/>
          <w:color w:val="212121"/>
          <w:spacing w:val="-15"/>
          <w:sz w:val="28"/>
        </w:rPr>
        <w:t> </w:t>
      </w:r>
      <w:r>
        <w:rPr>
          <w:i/>
          <w:color w:val="212121"/>
          <w:sz w:val="28"/>
        </w:rPr>
        <w:t>possible to</w:t>
      </w:r>
      <w:r>
        <w:rPr>
          <w:i/>
          <w:color w:val="212121"/>
          <w:spacing w:val="-13"/>
          <w:sz w:val="28"/>
        </w:rPr>
        <w:t> </w:t>
      </w:r>
      <w:r>
        <w:rPr>
          <w:i/>
          <w:color w:val="212121"/>
          <w:sz w:val="28"/>
        </w:rPr>
        <w:t>determine</w:t>
      </w:r>
      <w:r>
        <w:rPr>
          <w:i/>
          <w:color w:val="212121"/>
          <w:spacing w:val="-10"/>
          <w:sz w:val="28"/>
        </w:rPr>
        <w:t> </w:t>
      </w:r>
      <w:r>
        <w:rPr>
          <w:i/>
          <w:color w:val="212121"/>
          <w:sz w:val="28"/>
        </w:rPr>
        <w:t>the</w:t>
      </w:r>
      <w:r>
        <w:rPr>
          <w:i/>
          <w:color w:val="212121"/>
          <w:spacing w:val="-11"/>
          <w:sz w:val="28"/>
        </w:rPr>
        <w:t> </w:t>
      </w:r>
      <w:r>
        <w:rPr>
          <w:i/>
          <w:color w:val="212121"/>
          <w:sz w:val="28"/>
        </w:rPr>
        <w:t>safety</w:t>
      </w:r>
      <w:r>
        <w:rPr>
          <w:i/>
          <w:color w:val="212121"/>
          <w:spacing w:val="-10"/>
          <w:sz w:val="28"/>
        </w:rPr>
        <w:t> </w:t>
      </w:r>
      <w:r>
        <w:rPr>
          <w:i/>
          <w:color w:val="212121"/>
          <w:sz w:val="28"/>
        </w:rPr>
        <w:t>and</w:t>
      </w:r>
      <w:r>
        <w:rPr>
          <w:i/>
          <w:color w:val="212121"/>
          <w:spacing w:val="-16"/>
          <w:sz w:val="28"/>
        </w:rPr>
        <w:t> </w:t>
      </w:r>
      <w:r>
        <w:rPr>
          <w:i/>
          <w:color w:val="212121"/>
          <w:sz w:val="28"/>
        </w:rPr>
        <w:t>quality</w:t>
      </w:r>
      <w:r>
        <w:rPr>
          <w:i/>
          <w:color w:val="212121"/>
          <w:spacing w:val="-11"/>
          <w:sz w:val="28"/>
        </w:rPr>
        <w:t> </w:t>
      </w:r>
      <w:r>
        <w:rPr>
          <w:i/>
          <w:color w:val="212121"/>
          <w:sz w:val="28"/>
        </w:rPr>
        <w:t>of</w:t>
      </w:r>
      <w:r>
        <w:rPr>
          <w:i/>
          <w:color w:val="212121"/>
          <w:spacing w:val="-13"/>
          <w:sz w:val="28"/>
        </w:rPr>
        <w:t> </w:t>
      </w:r>
      <w:r>
        <w:rPr>
          <w:i/>
          <w:color w:val="212121"/>
          <w:sz w:val="28"/>
        </w:rPr>
        <w:t>honey</w:t>
      </w:r>
      <w:r>
        <w:rPr>
          <w:i/>
          <w:color w:val="212121"/>
          <w:spacing w:val="-14"/>
          <w:sz w:val="28"/>
        </w:rPr>
        <w:t> </w:t>
      </w:r>
      <w:r>
        <w:rPr>
          <w:i/>
          <w:color w:val="212121"/>
          <w:sz w:val="28"/>
        </w:rPr>
        <w:t>and</w:t>
      </w:r>
      <w:r>
        <w:rPr>
          <w:i/>
          <w:color w:val="212121"/>
          <w:spacing w:val="-12"/>
          <w:sz w:val="28"/>
        </w:rPr>
        <w:t> </w:t>
      </w:r>
      <w:r>
        <w:rPr>
          <w:i/>
          <w:color w:val="212121"/>
          <w:sz w:val="28"/>
        </w:rPr>
        <w:t>its</w:t>
      </w:r>
      <w:r>
        <w:rPr>
          <w:i/>
          <w:color w:val="212121"/>
          <w:spacing w:val="-9"/>
          <w:sz w:val="28"/>
        </w:rPr>
        <w:t> </w:t>
      </w:r>
      <w:r>
        <w:rPr>
          <w:i/>
          <w:color w:val="212121"/>
          <w:sz w:val="28"/>
        </w:rPr>
        <w:t>compliance</w:t>
      </w:r>
      <w:r>
        <w:rPr>
          <w:i/>
          <w:color w:val="212121"/>
          <w:spacing w:val="-5"/>
          <w:sz w:val="28"/>
        </w:rPr>
        <w:t> </w:t>
      </w:r>
      <w:r>
        <w:rPr>
          <w:i/>
          <w:color w:val="212121"/>
          <w:spacing w:val="-3"/>
          <w:sz w:val="28"/>
        </w:rPr>
        <w:t>with</w:t>
      </w:r>
      <w:r>
        <w:rPr>
          <w:i/>
          <w:color w:val="212121"/>
          <w:spacing w:val="-12"/>
          <w:sz w:val="28"/>
        </w:rPr>
        <w:t> </w:t>
      </w:r>
      <w:r>
        <w:rPr>
          <w:i/>
          <w:color w:val="212121"/>
          <w:sz w:val="28"/>
        </w:rPr>
        <w:t>the</w:t>
      </w:r>
      <w:r>
        <w:rPr>
          <w:i/>
          <w:color w:val="212121"/>
          <w:spacing w:val="-11"/>
          <w:sz w:val="28"/>
        </w:rPr>
        <w:t> </w:t>
      </w:r>
      <w:r>
        <w:rPr>
          <w:i/>
          <w:color w:val="212121"/>
          <w:sz w:val="28"/>
        </w:rPr>
        <w:t>State</w:t>
      </w:r>
      <w:r>
        <w:rPr>
          <w:i/>
          <w:color w:val="212121"/>
          <w:spacing w:val="-10"/>
          <w:sz w:val="28"/>
        </w:rPr>
        <w:t> </w:t>
      </w:r>
      <w:r>
        <w:rPr>
          <w:i/>
          <w:color w:val="212121"/>
          <w:sz w:val="28"/>
        </w:rPr>
        <w:t>Standard of Ukraine through laboratory</w:t>
      </w:r>
      <w:r>
        <w:rPr>
          <w:i/>
          <w:color w:val="212121"/>
          <w:spacing w:val="5"/>
          <w:sz w:val="28"/>
        </w:rPr>
        <w:t> </w:t>
      </w:r>
      <w:r>
        <w:rPr>
          <w:i/>
          <w:color w:val="212121"/>
          <w:sz w:val="28"/>
        </w:rPr>
        <w:t>tests.</w:t>
      </w:r>
    </w:p>
    <w:p>
      <w:pPr>
        <w:spacing w:before="3"/>
        <w:ind w:left="903" w:right="0" w:firstLine="0"/>
        <w:jc w:val="both"/>
        <w:rPr>
          <w:i/>
          <w:sz w:val="28"/>
        </w:rPr>
      </w:pPr>
      <w:r>
        <w:rPr>
          <w:b/>
          <w:i/>
          <w:color w:val="212121"/>
          <w:sz w:val="28"/>
        </w:rPr>
        <w:t>Key words: </w:t>
      </w:r>
      <w:r>
        <w:rPr>
          <w:i/>
          <w:color w:val="212121"/>
          <w:sz w:val="28"/>
        </w:rPr>
        <w:t>honey, quality, safety, requirements, falsification.</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right="0"/>
        <w:jc w:val="left"/>
      </w:pPr>
      <w:r>
        <w:rPr/>
        <w:t>УДК</w:t>
      </w:r>
      <w:r>
        <w:rPr>
          <w:spacing w:val="-3"/>
        </w:rPr>
        <w:t> </w:t>
      </w:r>
      <w:r>
        <w:rPr/>
        <w:t>636.6:598.261.7(477.74)</w:t>
        <w:tab/>
        <w:t>DOI:</w:t>
      </w:r>
      <w:r>
        <w:rPr>
          <w:spacing w:val="-1"/>
        </w:rPr>
        <w:t> </w:t>
      </w:r>
      <w:r>
        <w:rPr/>
        <w:t>10.37000/abbsl.2020.96.10</w:t>
      </w:r>
    </w:p>
    <w:p>
      <w:pPr>
        <w:pStyle w:val="BodyText"/>
        <w:spacing w:before="11"/>
        <w:ind w:left="0"/>
        <w:jc w:val="left"/>
        <w:rPr>
          <w:b/>
          <w:sz w:val="27"/>
        </w:rPr>
      </w:pPr>
    </w:p>
    <w:p>
      <w:pPr>
        <w:spacing w:before="0"/>
        <w:ind w:left="3670" w:right="1080" w:hanging="2425"/>
        <w:jc w:val="left"/>
        <w:rPr>
          <w:b/>
          <w:sz w:val="28"/>
        </w:rPr>
      </w:pPr>
      <w:r>
        <w:rPr>
          <w:b/>
          <w:sz w:val="28"/>
        </w:rPr>
        <w:t>ІННОВАЦІЙНІ ПІДХОДИ ДО ТЕХНОЛОГІЇ ВИРОБНИЦТВА М'ЯСА ПЕРЕПЕЛІВ</w:t>
      </w:r>
    </w:p>
    <w:p>
      <w:pPr>
        <w:spacing w:line="322" w:lineRule="exact" w:before="0"/>
        <w:ind w:left="1034" w:right="554" w:firstLine="0"/>
        <w:jc w:val="center"/>
        <w:rPr>
          <w:b/>
          <w:sz w:val="28"/>
        </w:rPr>
      </w:pPr>
      <w:r>
        <w:rPr>
          <w:b/>
          <w:sz w:val="28"/>
        </w:rPr>
        <w:t>В. Ясько , Н. Кірович</w:t>
      </w:r>
    </w:p>
    <w:p>
      <w:pPr>
        <w:spacing w:before="0"/>
        <w:ind w:left="1034" w:right="559" w:firstLine="0"/>
        <w:jc w:val="center"/>
        <w:rPr>
          <w:i/>
          <w:sz w:val="28"/>
        </w:rPr>
      </w:pPr>
      <w:r>
        <w:rPr>
          <w:i/>
          <w:sz w:val="28"/>
        </w:rPr>
        <w:t>Одеський державний аграрний університет</w:t>
      </w:r>
    </w:p>
    <w:p>
      <w:pPr>
        <w:pStyle w:val="BodyText"/>
        <w:spacing w:before="11"/>
        <w:ind w:left="0"/>
        <w:jc w:val="left"/>
        <w:rPr>
          <w:i/>
          <w:sz w:val="27"/>
        </w:rPr>
      </w:pPr>
    </w:p>
    <w:p>
      <w:pPr>
        <w:spacing w:before="0"/>
        <w:ind w:left="193" w:right="605" w:firstLine="710"/>
        <w:jc w:val="both"/>
        <w:rPr>
          <w:i/>
          <w:sz w:val="28"/>
        </w:rPr>
      </w:pPr>
      <w:r>
        <w:rPr>
          <w:i/>
          <w:sz w:val="28"/>
        </w:rPr>
        <w:t>Встановлено значення нетрадиційних джерел біологічно-активних </w:t>
      </w:r>
      <w:r>
        <w:rPr>
          <w:i/>
          <w:sz w:val="28"/>
        </w:rPr>
        <w:t>добавок природного походження, з метою отримання екологічно-безпечної продукції птахівництва. Кормова добавка на основі бджолиного підмору у своєму</w:t>
      </w:r>
      <w:r>
        <w:rPr>
          <w:i/>
          <w:spacing w:val="-16"/>
          <w:sz w:val="28"/>
        </w:rPr>
        <w:t> </w:t>
      </w:r>
      <w:r>
        <w:rPr>
          <w:i/>
          <w:sz w:val="28"/>
        </w:rPr>
        <w:t>складі</w:t>
      </w:r>
      <w:r>
        <w:rPr>
          <w:i/>
          <w:spacing w:val="-17"/>
          <w:sz w:val="28"/>
        </w:rPr>
        <w:t> </w:t>
      </w:r>
      <w:r>
        <w:rPr>
          <w:i/>
          <w:sz w:val="28"/>
        </w:rPr>
        <w:t>містить</w:t>
      </w:r>
      <w:r>
        <w:rPr>
          <w:i/>
          <w:spacing w:val="-18"/>
          <w:sz w:val="28"/>
        </w:rPr>
        <w:t> </w:t>
      </w:r>
      <w:r>
        <w:rPr>
          <w:i/>
          <w:sz w:val="28"/>
        </w:rPr>
        <w:t>корисні</w:t>
      </w:r>
      <w:r>
        <w:rPr>
          <w:i/>
          <w:spacing w:val="-17"/>
          <w:sz w:val="28"/>
        </w:rPr>
        <w:t> </w:t>
      </w:r>
      <w:r>
        <w:rPr>
          <w:i/>
          <w:sz w:val="28"/>
        </w:rPr>
        <w:t>поживні</w:t>
      </w:r>
      <w:r>
        <w:rPr>
          <w:i/>
          <w:spacing w:val="-17"/>
          <w:sz w:val="28"/>
        </w:rPr>
        <w:t> </w:t>
      </w:r>
      <w:r>
        <w:rPr>
          <w:i/>
          <w:sz w:val="28"/>
        </w:rPr>
        <w:t>речовини,</w:t>
      </w:r>
      <w:r>
        <w:rPr>
          <w:i/>
          <w:spacing w:val="-8"/>
          <w:sz w:val="28"/>
        </w:rPr>
        <w:t> </w:t>
      </w:r>
      <w:r>
        <w:rPr>
          <w:i/>
          <w:sz w:val="28"/>
        </w:rPr>
        <w:t>і</w:t>
      </w:r>
      <w:r>
        <w:rPr>
          <w:i/>
          <w:spacing w:val="-17"/>
          <w:sz w:val="28"/>
        </w:rPr>
        <w:t> </w:t>
      </w:r>
      <w:r>
        <w:rPr>
          <w:i/>
          <w:sz w:val="28"/>
        </w:rPr>
        <w:t>в</w:t>
      </w:r>
      <w:r>
        <w:rPr>
          <w:i/>
          <w:spacing w:val="-18"/>
          <w:sz w:val="28"/>
        </w:rPr>
        <w:t> </w:t>
      </w:r>
      <w:r>
        <w:rPr>
          <w:i/>
          <w:sz w:val="28"/>
        </w:rPr>
        <w:t>той</w:t>
      </w:r>
      <w:r>
        <w:rPr>
          <w:i/>
          <w:spacing w:val="-16"/>
          <w:sz w:val="28"/>
        </w:rPr>
        <w:t> </w:t>
      </w:r>
      <w:r>
        <w:rPr>
          <w:i/>
          <w:sz w:val="28"/>
        </w:rPr>
        <w:t>же</w:t>
      </w:r>
      <w:r>
        <w:rPr>
          <w:i/>
          <w:spacing w:val="-16"/>
          <w:sz w:val="28"/>
        </w:rPr>
        <w:t> </w:t>
      </w:r>
      <w:r>
        <w:rPr>
          <w:i/>
          <w:sz w:val="28"/>
        </w:rPr>
        <w:t>час</w:t>
      </w:r>
      <w:r>
        <w:rPr>
          <w:i/>
          <w:spacing w:val="-16"/>
          <w:sz w:val="28"/>
        </w:rPr>
        <w:t> </w:t>
      </w:r>
      <w:r>
        <w:rPr>
          <w:i/>
          <w:sz w:val="28"/>
        </w:rPr>
        <w:t>має</w:t>
      </w:r>
      <w:r>
        <w:rPr>
          <w:i/>
          <w:spacing w:val="-18"/>
          <w:sz w:val="28"/>
        </w:rPr>
        <w:t> </w:t>
      </w:r>
      <w:r>
        <w:rPr>
          <w:i/>
          <w:sz w:val="28"/>
        </w:rPr>
        <w:t>натуральне природнє походження. Додавання до раціону годівлі молодняку перепелів 2,5 % вивчаємої кормової добавки позитивно вплинуло на результати вирощування перепелів,</w:t>
      </w:r>
      <w:r>
        <w:rPr>
          <w:i/>
          <w:spacing w:val="-18"/>
          <w:sz w:val="28"/>
        </w:rPr>
        <w:t> </w:t>
      </w:r>
      <w:r>
        <w:rPr>
          <w:i/>
          <w:sz w:val="28"/>
        </w:rPr>
        <w:t>збереженість</w:t>
      </w:r>
      <w:r>
        <w:rPr>
          <w:i/>
          <w:spacing w:val="-21"/>
          <w:sz w:val="28"/>
        </w:rPr>
        <w:t> </w:t>
      </w:r>
      <w:r>
        <w:rPr>
          <w:i/>
          <w:sz w:val="28"/>
        </w:rPr>
        <w:t>поголів’я</w:t>
      </w:r>
      <w:r>
        <w:rPr>
          <w:i/>
          <w:spacing w:val="-19"/>
          <w:sz w:val="28"/>
        </w:rPr>
        <w:t> </w:t>
      </w:r>
      <w:r>
        <w:rPr>
          <w:i/>
          <w:sz w:val="28"/>
        </w:rPr>
        <w:t>перепелів</w:t>
      </w:r>
      <w:r>
        <w:rPr>
          <w:i/>
          <w:spacing w:val="-20"/>
          <w:sz w:val="28"/>
        </w:rPr>
        <w:t> </w:t>
      </w:r>
      <w:r>
        <w:rPr>
          <w:i/>
          <w:sz w:val="28"/>
        </w:rPr>
        <w:t>за</w:t>
      </w:r>
      <w:r>
        <w:rPr>
          <w:i/>
          <w:spacing w:val="-19"/>
          <w:sz w:val="28"/>
        </w:rPr>
        <w:t> </w:t>
      </w:r>
      <w:r>
        <w:rPr>
          <w:i/>
          <w:sz w:val="28"/>
        </w:rPr>
        <w:t>період</w:t>
      </w:r>
      <w:r>
        <w:rPr>
          <w:i/>
          <w:spacing w:val="-21"/>
          <w:sz w:val="28"/>
        </w:rPr>
        <w:t> </w:t>
      </w:r>
      <w:r>
        <w:rPr>
          <w:i/>
          <w:sz w:val="28"/>
        </w:rPr>
        <w:t>вирощування</w:t>
      </w:r>
      <w:r>
        <w:rPr>
          <w:i/>
          <w:spacing w:val="-20"/>
          <w:sz w:val="28"/>
        </w:rPr>
        <w:t> </w:t>
      </w:r>
      <w:r>
        <w:rPr>
          <w:i/>
          <w:sz w:val="28"/>
        </w:rPr>
        <w:t>збільшується на 6,0 </w:t>
      </w:r>
      <w:r>
        <w:rPr>
          <w:i/>
          <w:spacing w:val="-8"/>
          <w:sz w:val="28"/>
        </w:rPr>
        <w:t>%, </w:t>
      </w:r>
      <w:r>
        <w:rPr>
          <w:i/>
          <w:sz w:val="28"/>
        </w:rPr>
        <w:t>валовий приріст живої маси – на 2,765 кг, що сприяє збільшенню вартості додатково одержаної продукції і підвищенню рентабельності виробництва м’яса</w:t>
      </w:r>
      <w:r>
        <w:rPr>
          <w:i/>
          <w:spacing w:val="1"/>
          <w:sz w:val="28"/>
        </w:rPr>
        <w:t> </w:t>
      </w:r>
      <w:r>
        <w:rPr>
          <w:i/>
          <w:sz w:val="28"/>
        </w:rPr>
        <w:t>перепелів.</w:t>
      </w:r>
    </w:p>
    <w:p>
      <w:pPr>
        <w:spacing w:line="242" w:lineRule="auto" w:before="0"/>
        <w:ind w:left="193" w:right="614" w:firstLine="710"/>
        <w:jc w:val="both"/>
        <w:rPr>
          <w:i/>
          <w:sz w:val="28"/>
        </w:rPr>
      </w:pPr>
      <w:r>
        <w:rPr>
          <w:b/>
          <w:i/>
          <w:sz w:val="28"/>
        </w:rPr>
        <w:t>Ключові слова</w:t>
      </w:r>
      <w:r>
        <w:rPr>
          <w:i/>
          <w:sz w:val="28"/>
        </w:rPr>
        <w:t>: господарсько-біологічні особливості перепелів, </w:t>
      </w:r>
      <w:r>
        <w:rPr>
          <w:i/>
          <w:sz w:val="28"/>
        </w:rPr>
        <w:t>утримання, годівля, поведінка перепелів, бджолиний підмор.</w:t>
      </w:r>
    </w:p>
    <w:p>
      <w:pPr>
        <w:pStyle w:val="BodyText"/>
        <w:spacing w:before="6"/>
        <w:ind w:left="0"/>
        <w:jc w:val="left"/>
        <w:rPr>
          <w:i/>
          <w:sz w:val="27"/>
        </w:rPr>
      </w:pPr>
    </w:p>
    <w:p>
      <w:pPr>
        <w:pStyle w:val="BodyText"/>
        <w:ind w:right="612" w:firstLine="710"/>
      </w:pPr>
      <w:r>
        <w:rPr>
          <w:b/>
        </w:rPr>
        <w:t>Постановка проблеми. </w:t>
      </w:r>
      <w:r>
        <w:rPr>
          <w:spacing w:val="-3"/>
        </w:rPr>
        <w:t>На </w:t>
      </w:r>
      <w:r>
        <w:rPr/>
        <w:t>сучасному етапі реформ в аграрному секторі України птахівництво розв'язує завдання, пов'язане </w:t>
      </w:r>
      <w:r>
        <w:rPr>
          <w:spacing w:val="-3"/>
        </w:rPr>
        <w:t>із </w:t>
      </w:r>
      <w:r>
        <w:rPr/>
        <w:t>задоволенням потреб населення у таких високоцінних продуктах харчування, як яйця та м'ясо. І тут важливого значення набуває розширення різновиду птахівничої продукції.</w:t>
      </w:r>
      <w:r>
        <w:rPr>
          <w:spacing w:val="-43"/>
        </w:rPr>
        <w:t> </w:t>
      </w:r>
      <w:r>
        <w:rPr/>
        <w:t>Одне </w:t>
      </w:r>
      <w:r>
        <w:rPr>
          <w:spacing w:val="-3"/>
        </w:rPr>
        <w:t>із </w:t>
      </w:r>
      <w:r>
        <w:rPr/>
        <w:t>джерел делікатесних та дієтичних видів цієї продукції є перепільництво</w:t>
      </w:r>
      <w:r>
        <w:rPr>
          <w:spacing w:val="-26"/>
        </w:rPr>
        <w:t> </w:t>
      </w:r>
      <w:r>
        <w:rPr/>
        <w:t>[1].</w:t>
      </w:r>
    </w:p>
    <w:p>
      <w:pPr>
        <w:pStyle w:val="BodyText"/>
        <w:ind w:right="608" w:firstLine="710"/>
      </w:pPr>
      <w:r>
        <w:rPr/>
        <w:pict>
          <v:shape style="position:absolute;margin-left:55.223999pt;margin-top:145.360306pt;width:485pt;height:80.45pt;mso-position-horizontal-relative:page;mso-position-vertical-relative:paragraph;z-index:-251652096;mso-wrap-distance-left:0;mso-wrap-distance-right:0" type="#_x0000_t202" filled="true" fillcolor="#f8f8f9" stroked="false">
            <v:textbox inset="0,0,0,0">
              <w:txbxContent>
                <w:p>
                  <w:pPr>
                    <w:pStyle w:val="BodyText"/>
                    <w:ind w:left="28" w:right="27" w:firstLine="710"/>
                  </w:pPr>
                  <w:r>
                    <w:rPr>
                      <w:b/>
                    </w:rPr>
                    <w:t>Мета досліджень </w:t>
                  </w:r>
                  <w:r>
                    <w:rPr/>
                    <w:t>полягала у вивченні та удосконаленні технології</w:t>
                  </w:r>
                  <w:r>
                    <w:rPr>
                      <w:spacing w:val="-38"/>
                    </w:rPr>
                    <w:t> </w:t>
                  </w:r>
                  <w:r>
                    <w:rPr/>
                    <w:t>годівлі молодняку перепелів за рахунок додавання до </w:t>
                  </w:r>
                  <w:r>
                    <w:rPr>
                      <w:spacing w:val="-3"/>
                    </w:rPr>
                    <w:t>їх </w:t>
                  </w:r>
                  <w:r>
                    <w:rPr/>
                    <w:t>раціону корисної вітамінної та мінеральної добавки на основі бджолиного підмору та вивчення її впливу на показники росту та розвитку дослідного молодняку перепелів в умовах</w:t>
                  </w:r>
                  <w:r>
                    <w:rPr>
                      <w:spacing w:val="10"/>
                    </w:rPr>
                    <w:t> </w:t>
                  </w:r>
                  <w:r>
                    <w:rPr>
                      <w:spacing w:val="2"/>
                    </w:rPr>
                    <w:t>ТОВ</w:t>
                  </w:r>
                </w:p>
                <w:p>
                  <w:pPr>
                    <w:pStyle w:val="BodyText"/>
                    <w:spacing w:line="321" w:lineRule="exact"/>
                    <w:ind w:left="28"/>
                  </w:pPr>
                  <w:r>
                    <w:rPr/>
                    <w:t>«Імаго» «Ширяївського району Одеської області.</w:t>
                  </w:r>
                </w:p>
              </w:txbxContent>
            </v:textbox>
            <v:fill type="solid"/>
            <w10:wrap type="topAndBottom"/>
          </v:shape>
        </w:pict>
      </w:r>
      <w:r>
        <w:rPr>
          <w:b/>
        </w:rPr>
        <w:t>Аналіз останніх досліджень і публікацій. </w:t>
      </w:r>
      <w:r>
        <w:rPr/>
        <w:t>Інтерес до розведення перепелиць визначається, перш за все, високими поживними та смаковими якостями яєць і м'яса цього виду птиці. Розводять перепелиць комерційні структури та власники присадибних господарств [2]. </w:t>
      </w:r>
      <w:r>
        <w:rPr>
          <w:color w:val="212121"/>
        </w:rPr>
        <w:t>Перепелиця - сама мініатюрна і скоростигла сільськогосподарська птиця сімейства фазанових загону курячих. Простота утримання та годівлі дозволяє утримувати їх і в місті, і в селі. Дає вона до 300 яєць на рік. А унікальність харчових і дієтичних властивостей дозволяє практично всім вживати яйця і м'ясо перепілок без обмежень </w:t>
      </w:r>
      <w:r>
        <w:rPr/>
        <w:t>[3].</w:t>
      </w:r>
    </w:p>
    <w:p>
      <w:pPr>
        <w:spacing w:line="300" w:lineRule="exact" w:before="0"/>
        <w:ind w:left="903" w:right="0" w:firstLine="0"/>
        <w:jc w:val="both"/>
        <w:rPr>
          <w:sz w:val="28"/>
        </w:rPr>
      </w:pPr>
      <w:r>
        <w:rPr>
          <w:b/>
          <w:sz w:val="28"/>
        </w:rPr>
        <w:t>Методика і результати досліджень</w:t>
      </w:r>
      <w:r>
        <w:rPr>
          <w:sz w:val="28"/>
        </w:rPr>
        <w:t>.  Наукові дослідження  по</w:t>
      </w:r>
      <w:r>
        <w:rPr>
          <w:spacing w:val="69"/>
          <w:sz w:val="28"/>
        </w:rPr>
        <w:t> </w:t>
      </w:r>
      <w:r>
        <w:rPr>
          <w:sz w:val="28"/>
        </w:rPr>
        <w:t>вивченню</w:t>
      </w:r>
    </w:p>
    <w:p>
      <w:pPr>
        <w:pStyle w:val="BodyText"/>
        <w:ind w:right="619"/>
      </w:pPr>
      <w:r>
        <w:rPr/>
        <w:t>впливу кормової добавки на основі підмору бджіл на ріст та розвиток поголів’я молодняку перепелів проводилися на базі ТОВ «Імаго» до загальноприйнятих методик впродовж 2019 року. Було проведено дослід згідно схеми досліджень (табл. 1). Завданнями наших досліджень передбачалось проведення</w:t>
      </w:r>
      <w:r>
        <w:rPr>
          <w:spacing w:val="60"/>
        </w:rPr>
        <w:t> </w:t>
      </w:r>
      <w:r>
        <w:rPr/>
        <w:t>досліджень</w:t>
      </w:r>
    </w:p>
    <w:p>
      <w:pPr>
        <w:spacing w:after="0"/>
        <w:sectPr>
          <w:pgSz w:w="11910" w:h="16840"/>
          <w:pgMar w:header="713" w:footer="778" w:top="1140" w:bottom="960" w:left="940" w:right="520"/>
        </w:sectPr>
      </w:pPr>
    </w:p>
    <w:p>
      <w:pPr>
        <w:pStyle w:val="BodyText"/>
        <w:spacing w:before="92"/>
        <w:ind w:right="614"/>
      </w:pPr>
      <w:r>
        <w:rPr/>
        <w:t>з визначення хімічного, мінерального і амінокислотного складу кормової добавки на основі бджолиного підмору; вивчення використання бджолиного підмору у годівлі молодняку перепелів м’ясної породи; обґрунтування ефективності використання кормової добавки на основі підмору бджіл.</w:t>
      </w:r>
    </w:p>
    <w:p>
      <w:pPr>
        <w:pStyle w:val="BodyText"/>
        <w:ind w:right="612" w:firstLine="710"/>
      </w:pPr>
      <w:r>
        <w:rPr/>
        <w:t>Промислове птахівництво як джерело білку використовує корми тваринного походження: м’ясне і м’ясо-кісткове, рибне борошно та сухе знежирене молоко [4]. Розміри виробництва рибного та м’ясо-кісткового борошна на даний час значно скоротились і причиною цього є висока вартість його включення до складу раціонів птиці і це негативно впливає на економічні показники [5]. У своїх дослідженнях ми вивчали ефективність використання кормових добавок на основі бджолиного підмору у годівлі перепелів. Для цього ми</w:t>
      </w:r>
      <w:r>
        <w:rPr>
          <w:spacing w:val="-20"/>
        </w:rPr>
        <w:t> </w:t>
      </w:r>
      <w:r>
        <w:rPr/>
        <w:t>використовували</w:t>
      </w:r>
      <w:r>
        <w:rPr>
          <w:spacing w:val="-19"/>
        </w:rPr>
        <w:t> </w:t>
      </w:r>
      <w:r>
        <w:rPr/>
        <w:t>зимовий</w:t>
      </w:r>
      <w:r>
        <w:rPr>
          <w:spacing w:val="-19"/>
        </w:rPr>
        <w:t> </w:t>
      </w:r>
      <w:r>
        <w:rPr/>
        <w:t>підмор</w:t>
      </w:r>
      <w:r>
        <w:rPr>
          <w:spacing w:val="-19"/>
        </w:rPr>
        <w:t> </w:t>
      </w:r>
      <w:r>
        <w:rPr/>
        <w:t>бджіл,</w:t>
      </w:r>
      <w:r>
        <w:rPr>
          <w:spacing w:val="-16"/>
        </w:rPr>
        <w:t> </w:t>
      </w:r>
      <w:r>
        <w:rPr/>
        <w:t>який</w:t>
      </w:r>
      <w:r>
        <w:rPr>
          <w:spacing w:val="-19"/>
        </w:rPr>
        <w:t> </w:t>
      </w:r>
      <w:r>
        <w:rPr/>
        <w:t>був</w:t>
      </w:r>
      <w:r>
        <w:rPr>
          <w:spacing w:val="-21"/>
        </w:rPr>
        <w:t> </w:t>
      </w:r>
      <w:r>
        <w:rPr/>
        <w:t>заготовлений</w:t>
      </w:r>
      <w:r>
        <w:rPr>
          <w:spacing w:val="-20"/>
        </w:rPr>
        <w:t> </w:t>
      </w:r>
      <w:r>
        <w:rPr/>
        <w:t>на</w:t>
      </w:r>
      <w:r>
        <w:rPr>
          <w:spacing w:val="-18"/>
        </w:rPr>
        <w:t> </w:t>
      </w:r>
      <w:r>
        <w:rPr/>
        <w:t>пасіці</w:t>
      </w:r>
      <w:r>
        <w:rPr>
          <w:spacing w:val="-19"/>
        </w:rPr>
        <w:t> </w:t>
      </w:r>
      <w:r>
        <w:rPr/>
        <w:t>ТОВ</w:t>
      </w:r>
    </w:p>
    <w:p>
      <w:pPr>
        <w:pStyle w:val="BodyText"/>
        <w:spacing w:before="1"/>
        <w:ind w:right="610"/>
      </w:pPr>
      <w:r>
        <w:rPr/>
        <w:t>«Імаго» Ширяївського району. Нами запропонована технологія виготовлення кормової добавки (апіпідмор) на основі бджолиного підмору (нативна кормова добавка). Послідовні етапи технології виготовлення цієї кормової добавки (апіпідмору) включала: - відбір підмору бджіл; видалення пошкодженого пліснявими грибками підмору; відсівання воскових крихт; висушування; подрібнення. Після відбору зимового підмору відбиралися зразки для ветеринарно-санітарної експертизи. Очищення підмору бджіл від воскових крихт проводили шляхом використання решітчастих </w:t>
      </w:r>
      <w:r>
        <w:rPr>
          <w:spacing w:val="2"/>
        </w:rPr>
        <w:t>сит. </w:t>
      </w:r>
      <w:r>
        <w:rPr/>
        <w:t>Висушування підмору проводили за температури 45ºС. Подрібнювання висушеної маси проводили до порошкоподібного стану. Для проведення досліджень відібрали дві групи перепелів породи фараон по 100 голів добового молодняку в кожній. Умови утримання</w:t>
      </w:r>
      <w:r>
        <w:rPr>
          <w:spacing w:val="-7"/>
        </w:rPr>
        <w:t> </w:t>
      </w:r>
      <w:r>
        <w:rPr/>
        <w:t>піддослідних</w:t>
      </w:r>
      <w:r>
        <w:rPr>
          <w:spacing w:val="-12"/>
        </w:rPr>
        <w:t> </w:t>
      </w:r>
      <w:r>
        <w:rPr/>
        <w:t>перепелів</w:t>
      </w:r>
      <w:r>
        <w:rPr>
          <w:spacing w:val="-9"/>
        </w:rPr>
        <w:t> </w:t>
      </w:r>
      <w:r>
        <w:rPr/>
        <w:t>були</w:t>
      </w:r>
      <w:r>
        <w:rPr>
          <w:spacing w:val="-3"/>
        </w:rPr>
        <w:t> </w:t>
      </w:r>
      <w:r>
        <w:rPr/>
        <w:t>кліткові</w:t>
      </w:r>
      <w:r>
        <w:rPr>
          <w:spacing w:val="-12"/>
        </w:rPr>
        <w:t> </w:t>
      </w:r>
      <w:r>
        <w:rPr/>
        <w:t>батареї.</w:t>
      </w:r>
      <w:r>
        <w:rPr>
          <w:spacing w:val="-5"/>
        </w:rPr>
        <w:t> </w:t>
      </w:r>
      <w:r>
        <w:rPr/>
        <w:t>Кожна</w:t>
      </w:r>
      <w:r>
        <w:rPr>
          <w:spacing w:val="-7"/>
        </w:rPr>
        <w:t> </w:t>
      </w:r>
      <w:r>
        <w:rPr/>
        <w:t>клітка</w:t>
      </w:r>
      <w:r>
        <w:rPr>
          <w:spacing w:val="-7"/>
        </w:rPr>
        <w:t> </w:t>
      </w:r>
      <w:r>
        <w:rPr/>
        <w:t>мала</w:t>
      </w:r>
      <w:r>
        <w:rPr>
          <w:spacing w:val="-6"/>
        </w:rPr>
        <w:t> </w:t>
      </w:r>
      <w:r>
        <w:rPr/>
        <w:t>такі розміри 60 х 40 х 20 см. </w:t>
      </w:r>
      <w:r>
        <w:rPr>
          <w:spacing w:val="-3"/>
        </w:rPr>
        <w:t>На </w:t>
      </w:r>
      <w:r>
        <w:rPr/>
        <w:t>одну голову площа складала 120 </w:t>
      </w:r>
      <w:r>
        <w:rPr>
          <w:spacing w:val="3"/>
        </w:rPr>
        <w:t>см</w:t>
      </w:r>
      <w:r>
        <w:rPr>
          <w:spacing w:val="3"/>
          <w:position w:val="10"/>
          <w:sz w:val="18"/>
        </w:rPr>
        <w:t>2</w:t>
      </w:r>
      <w:r>
        <w:rPr>
          <w:spacing w:val="3"/>
        </w:rPr>
        <w:t>. </w:t>
      </w:r>
      <w:r>
        <w:rPr/>
        <w:t>Мікроклімат пташника відповідав прийнятим гігієнічним нормативам. Температура повітря - 18-20</w:t>
      </w:r>
      <w:r>
        <w:rPr>
          <w:position w:val="10"/>
          <w:sz w:val="18"/>
        </w:rPr>
        <w:t>0</w:t>
      </w:r>
      <w:r>
        <w:rPr/>
        <w:t>С, а відносна вологість – 70-74 %. Місце для споживання кормів має розміри 2 см, а для напування 1 см. Схема досліджень наведена в таблиці</w:t>
      </w:r>
      <w:r>
        <w:rPr>
          <w:spacing w:val="-22"/>
        </w:rPr>
        <w:t> </w:t>
      </w:r>
      <w:r>
        <w:rPr/>
        <w:t>1.</w:t>
      </w:r>
    </w:p>
    <w:p>
      <w:pPr>
        <w:spacing w:line="309" w:lineRule="exact" w:before="0" w:after="4"/>
        <w:ind w:left="903" w:right="0" w:firstLine="0"/>
        <w:jc w:val="both"/>
        <w:rPr>
          <w:b/>
          <w:sz w:val="28"/>
        </w:rPr>
      </w:pPr>
      <w:r>
        <w:rPr>
          <w:sz w:val="28"/>
        </w:rPr>
        <w:t>Таблиця 1.</w:t>
      </w:r>
      <w:r>
        <w:rPr>
          <w:b/>
          <w:sz w:val="28"/>
        </w:rPr>
        <w:t>Схема досліду</w:t>
      </w:r>
    </w:p>
    <w:tbl>
      <w:tblPr>
        <w:tblW w:w="0" w:type="auto"/>
        <w:jc w:val="left"/>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0"/>
        <w:gridCol w:w="812"/>
        <w:gridCol w:w="2877"/>
        <w:gridCol w:w="4395"/>
      </w:tblGrid>
      <w:tr>
        <w:trPr>
          <w:trHeight w:val="278" w:hRule="atLeast"/>
        </w:trPr>
        <w:tc>
          <w:tcPr>
            <w:tcW w:w="1700" w:type="dxa"/>
            <w:vMerge w:val="restart"/>
          </w:tcPr>
          <w:p>
            <w:pPr>
              <w:pStyle w:val="TableParagraph"/>
              <w:ind w:left="523"/>
              <w:rPr>
                <w:b/>
                <w:sz w:val="24"/>
              </w:rPr>
            </w:pPr>
            <w:r>
              <w:rPr>
                <w:b/>
                <w:sz w:val="24"/>
              </w:rPr>
              <w:t>Групи</w:t>
            </w:r>
          </w:p>
        </w:tc>
        <w:tc>
          <w:tcPr>
            <w:tcW w:w="812" w:type="dxa"/>
            <w:vMerge w:val="restart"/>
          </w:tcPr>
          <w:p>
            <w:pPr>
              <w:pStyle w:val="TableParagraph"/>
              <w:ind w:left="95"/>
              <w:rPr>
                <w:b/>
                <w:sz w:val="24"/>
              </w:rPr>
            </w:pPr>
            <w:r>
              <w:rPr>
                <w:b/>
                <w:sz w:val="24"/>
              </w:rPr>
              <w:t>Голів</w:t>
            </w:r>
          </w:p>
        </w:tc>
        <w:tc>
          <w:tcPr>
            <w:tcW w:w="7272" w:type="dxa"/>
            <w:gridSpan w:val="2"/>
          </w:tcPr>
          <w:p>
            <w:pPr>
              <w:pStyle w:val="TableParagraph"/>
              <w:spacing w:line="258" w:lineRule="exact"/>
              <w:ind w:left="3029" w:right="2978"/>
              <w:jc w:val="center"/>
              <w:rPr>
                <w:b/>
                <w:sz w:val="24"/>
              </w:rPr>
            </w:pPr>
            <w:r>
              <w:rPr>
                <w:b/>
                <w:sz w:val="24"/>
              </w:rPr>
              <w:t>Показники</w:t>
            </w:r>
          </w:p>
        </w:tc>
      </w:tr>
      <w:tr>
        <w:trPr>
          <w:trHeight w:val="551" w:hRule="atLeast"/>
        </w:trPr>
        <w:tc>
          <w:tcPr>
            <w:tcW w:w="1700" w:type="dxa"/>
            <w:vMerge/>
            <w:tcBorders>
              <w:top w:val="nil"/>
            </w:tcBorders>
          </w:tcPr>
          <w:p>
            <w:pPr>
              <w:rPr>
                <w:sz w:val="2"/>
                <w:szCs w:val="2"/>
              </w:rPr>
            </w:pPr>
          </w:p>
        </w:tc>
        <w:tc>
          <w:tcPr>
            <w:tcW w:w="812" w:type="dxa"/>
            <w:vMerge/>
            <w:tcBorders>
              <w:top w:val="nil"/>
            </w:tcBorders>
          </w:tcPr>
          <w:p>
            <w:pPr>
              <w:rPr>
                <w:sz w:val="2"/>
                <w:szCs w:val="2"/>
              </w:rPr>
            </w:pPr>
          </w:p>
        </w:tc>
        <w:tc>
          <w:tcPr>
            <w:tcW w:w="2877" w:type="dxa"/>
          </w:tcPr>
          <w:p>
            <w:pPr>
              <w:pStyle w:val="TableParagraph"/>
              <w:spacing w:line="278" w:lineRule="exact" w:before="1"/>
              <w:ind w:left="623" w:right="557" w:firstLine="4"/>
              <w:rPr>
                <w:b/>
                <w:sz w:val="24"/>
              </w:rPr>
            </w:pPr>
            <w:r>
              <w:rPr>
                <w:b/>
                <w:sz w:val="24"/>
              </w:rPr>
              <w:t>Параметри, що враховувалися</w:t>
            </w:r>
          </w:p>
        </w:tc>
        <w:tc>
          <w:tcPr>
            <w:tcW w:w="4395" w:type="dxa"/>
          </w:tcPr>
          <w:p>
            <w:pPr>
              <w:pStyle w:val="TableParagraph"/>
              <w:ind w:left="555"/>
              <w:rPr>
                <w:b/>
                <w:sz w:val="24"/>
              </w:rPr>
            </w:pPr>
            <w:r>
              <w:rPr>
                <w:b/>
                <w:sz w:val="24"/>
              </w:rPr>
              <w:t>Показники, що контролювали</w:t>
            </w:r>
          </w:p>
        </w:tc>
      </w:tr>
      <w:tr>
        <w:trPr>
          <w:trHeight w:val="273" w:hRule="atLeast"/>
        </w:trPr>
        <w:tc>
          <w:tcPr>
            <w:tcW w:w="1700" w:type="dxa"/>
          </w:tcPr>
          <w:p>
            <w:pPr>
              <w:pStyle w:val="TableParagraph"/>
              <w:spacing w:line="253" w:lineRule="exact"/>
              <w:ind w:left="76" w:right="30"/>
              <w:jc w:val="center"/>
              <w:rPr>
                <w:sz w:val="24"/>
              </w:rPr>
            </w:pPr>
            <w:r>
              <w:rPr>
                <w:sz w:val="24"/>
              </w:rPr>
              <w:t>1- контрольна</w:t>
            </w:r>
          </w:p>
        </w:tc>
        <w:tc>
          <w:tcPr>
            <w:tcW w:w="812" w:type="dxa"/>
          </w:tcPr>
          <w:p>
            <w:pPr>
              <w:pStyle w:val="TableParagraph"/>
              <w:spacing w:line="253" w:lineRule="exact"/>
              <w:ind w:left="229" w:right="172"/>
              <w:jc w:val="center"/>
              <w:rPr>
                <w:sz w:val="24"/>
              </w:rPr>
            </w:pPr>
            <w:r>
              <w:rPr>
                <w:sz w:val="24"/>
              </w:rPr>
              <w:t>100</w:t>
            </w:r>
          </w:p>
        </w:tc>
        <w:tc>
          <w:tcPr>
            <w:tcW w:w="2877" w:type="dxa"/>
          </w:tcPr>
          <w:p>
            <w:pPr>
              <w:pStyle w:val="TableParagraph"/>
              <w:spacing w:line="253" w:lineRule="exact"/>
              <w:ind w:left="1284" w:right="1235"/>
              <w:jc w:val="center"/>
              <w:rPr>
                <w:sz w:val="24"/>
              </w:rPr>
            </w:pPr>
            <w:r>
              <w:rPr>
                <w:sz w:val="24"/>
              </w:rPr>
              <w:t>ОР</w:t>
            </w:r>
          </w:p>
        </w:tc>
        <w:tc>
          <w:tcPr>
            <w:tcW w:w="4395" w:type="dxa"/>
            <w:vMerge w:val="restart"/>
          </w:tcPr>
          <w:p>
            <w:pPr>
              <w:pStyle w:val="TableParagraph"/>
              <w:ind w:left="108" w:right="93" w:firstLine="43"/>
              <w:jc w:val="both"/>
              <w:rPr>
                <w:sz w:val="24"/>
              </w:rPr>
            </w:pPr>
            <w:r>
              <w:rPr>
                <w:sz w:val="24"/>
              </w:rPr>
              <w:t>динаміку живої маси перепілок; абсолютний та середньодобовий приріст; збереженість молодняку перепелів; споживання корму; ефективність використання</w:t>
            </w:r>
            <w:r>
              <w:rPr>
                <w:spacing w:val="55"/>
                <w:sz w:val="24"/>
              </w:rPr>
              <w:t> </w:t>
            </w:r>
            <w:r>
              <w:rPr>
                <w:sz w:val="24"/>
              </w:rPr>
              <w:t>кормової</w:t>
            </w:r>
          </w:p>
          <w:p>
            <w:pPr>
              <w:pStyle w:val="TableParagraph"/>
              <w:spacing w:line="268" w:lineRule="exact"/>
              <w:ind w:left="108"/>
              <w:rPr>
                <w:sz w:val="24"/>
              </w:rPr>
            </w:pPr>
            <w:r>
              <w:rPr>
                <w:sz w:val="24"/>
              </w:rPr>
              <w:t>добавки.</w:t>
            </w:r>
          </w:p>
        </w:tc>
      </w:tr>
      <w:tr>
        <w:trPr>
          <w:trHeight w:val="1377" w:hRule="atLeast"/>
        </w:trPr>
        <w:tc>
          <w:tcPr>
            <w:tcW w:w="1700" w:type="dxa"/>
          </w:tcPr>
          <w:p>
            <w:pPr>
              <w:pStyle w:val="TableParagraph"/>
              <w:spacing w:line="271" w:lineRule="exact"/>
              <w:ind w:left="76" w:right="34"/>
              <w:jc w:val="center"/>
              <w:rPr>
                <w:sz w:val="24"/>
              </w:rPr>
            </w:pPr>
            <w:r>
              <w:rPr>
                <w:sz w:val="24"/>
              </w:rPr>
              <w:t>2-дослідна</w:t>
            </w:r>
          </w:p>
        </w:tc>
        <w:tc>
          <w:tcPr>
            <w:tcW w:w="812" w:type="dxa"/>
          </w:tcPr>
          <w:p>
            <w:pPr>
              <w:pStyle w:val="TableParagraph"/>
              <w:spacing w:line="271" w:lineRule="exact"/>
              <w:ind w:left="229" w:right="172"/>
              <w:jc w:val="center"/>
              <w:rPr>
                <w:sz w:val="24"/>
              </w:rPr>
            </w:pPr>
            <w:r>
              <w:rPr>
                <w:sz w:val="24"/>
              </w:rPr>
              <w:t>100</w:t>
            </w:r>
          </w:p>
        </w:tc>
        <w:tc>
          <w:tcPr>
            <w:tcW w:w="2877" w:type="dxa"/>
          </w:tcPr>
          <w:p>
            <w:pPr>
              <w:pStyle w:val="TableParagraph"/>
              <w:tabs>
                <w:tab w:pos="1299" w:val="left" w:leader="none"/>
                <w:tab w:pos="2274" w:val="left" w:leader="none"/>
              </w:tabs>
              <w:spacing w:line="270" w:lineRule="exact"/>
              <w:ind w:left="152"/>
              <w:rPr>
                <w:sz w:val="24"/>
              </w:rPr>
            </w:pPr>
            <w:r>
              <w:rPr>
                <w:sz w:val="24"/>
              </w:rPr>
              <w:t>ОР</w:t>
              <w:tab/>
              <w:t>+</w:t>
              <w:tab/>
              <w:t>2,5%</w:t>
            </w:r>
          </w:p>
          <w:p>
            <w:pPr>
              <w:pStyle w:val="TableParagraph"/>
              <w:tabs>
                <w:tab w:pos="1605" w:val="left" w:leader="none"/>
                <w:tab w:pos="2272" w:val="left" w:leader="none"/>
              </w:tabs>
              <w:ind w:left="109" w:right="99"/>
              <w:rPr>
                <w:sz w:val="24"/>
              </w:rPr>
            </w:pPr>
            <w:r>
              <w:rPr>
                <w:sz w:val="24"/>
              </w:rPr>
              <w:t>порошкоподібного апіпідмору</w:t>
              <w:tab/>
              <w:t>від</w:t>
              <w:tab/>
            </w:r>
            <w:r>
              <w:rPr>
                <w:spacing w:val="-6"/>
                <w:sz w:val="24"/>
              </w:rPr>
              <w:t>маси </w:t>
            </w:r>
            <w:r>
              <w:rPr>
                <w:sz w:val="24"/>
              </w:rPr>
              <w:t>повнораціонного</w:t>
            </w:r>
          </w:p>
          <w:p>
            <w:pPr>
              <w:pStyle w:val="TableParagraph"/>
              <w:spacing w:line="258" w:lineRule="exact" w:before="1"/>
              <w:ind w:left="109"/>
              <w:rPr>
                <w:sz w:val="24"/>
              </w:rPr>
            </w:pPr>
            <w:r>
              <w:rPr>
                <w:sz w:val="24"/>
              </w:rPr>
              <w:t>комбікорму</w:t>
            </w:r>
          </w:p>
        </w:tc>
        <w:tc>
          <w:tcPr>
            <w:tcW w:w="4395" w:type="dxa"/>
            <w:vMerge/>
            <w:tcBorders>
              <w:top w:val="nil"/>
            </w:tcBorders>
          </w:tcPr>
          <w:p>
            <w:pPr>
              <w:rPr>
                <w:sz w:val="2"/>
                <w:szCs w:val="2"/>
              </w:rPr>
            </w:pPr>
          </w:p>
        </w:tc>
      </w:tr>
    </w:tbl>
    <w:p>
      <w:pPr>
        <w:spacing w:before="0"/>
        <w:ind w:left="754" w:right="0" w:firstLine="0"/>
        <w:jc w:val="left"/>
        <w:rPr>
          <w:sz w:val="24"/>
        </w:rPr>
      </w:pPr>
      <w:r>
        <w:rPr>
          <w:sz w:val="24"/>
        </w:rPr>
        <w:t>ОР</w:t>
      </w:r>
      <w:r>
        <w:rPr>
          <w:position w:val="9"/>
          <w:sz w:val="16"/>
        </w:rPr>
        <w:t>* </w:t>
      </w:r>
      <w:r>
        <w:rPr>
          <w:sz w:val="24"/>
        </w:rPr>
        <w:t>- основний раціон.</w:t>
      </w:r>
    </w:p>
    <w:p>
      <w:pPr>
        <w:pStyle w:val="BodyText"/>
        <w:spacing w:before="3"/>
        <w:ind w:left="0"/>
        <w:jc w:val="left"/>
      </w:pPr>
    </w:p>
    <w:p>
      <w:pPr>
        <w:pStyle w:val="BodyText"/>
        <w:ind w:right="613" w:firstLine="566"/>
      </w:pPr>
      <w:r>
        <w:rPr/>
        <w:t>Птиця отримувала повнораціонний комбікорм двічі на добу. Контрольній групі згодовували даний комбікорм, дослідним перепелам 2-ї групи до комбікорму додавали апіпідмор в кількості 2,5% від маси повнораціонного комбікорму. Апіпідмор ретельно перемішували з комбікормом.</w:t>
      </w:r>
    </w:p>
    <w:p>
      <w:pPr>
        <w:pStyle w:val="BodyText"/>
        <w:ind w:right="607" w:firstLine="566"/>
      </w:pPr>
      <w:r>
        <w:rPr/>
        <w:pict>
          <v:shape style="position:absolute;margin-left:55.224003pt;margin-top:.326306pt;width:485pt;height:32.2pt;mso-position-horizontal-relative:page;mso-position-vertical-relative:paragraph;z-index:-267163648" coordorigin="1104,7" coordsize="9700,644" path="m10804,7l1104,7,1104,329,1104,650,10804,650,10804,329,10804,7e" filled="true" fillcolor="#f8f8f9" stroked="false">
            <v:path arrowok="t"/>
            <v:fill type="solid"/>
            <w10:wrap type="none"/>
          </v:shape>
        </w:pict>
      </w:r>
      <w:r>
        <w:rPr>
          <w:b/>
        </w:rPr>
        <w:t>Результати досліджень. </w:t>
      </w:r>
      <w:r>
        <w:rPr/>
        <w:t>Показники продуктивності є одним з найбільш об`єктивних критеріїв оцінки повноцінності годівлі птиці. Особливості росту</w:t>
      </w:r>
    </w:p>
    <w:p>
      <w:pPr>
        <w:spacing w:after="0"/>
        <w:sectPr>
          <w:pgSz w:w="11910" w:h="16840"/>
          <w:pgMar w:header="713" w:footer="778" w:top="1140" w:bottom="960" w:left="940" w:right="520"/>
        </w:sectPr>
      </w:pPr>
    </w:p>
    <w:p>
      <w:pPr>
        <w:pStyle w:val="BodyText"/>
        <w:spacing w:before="6"/>
        <w:ind w:left="0"/>
        <w:jc w:val="left"/>
        <w:rPr>
          <w:sz w:val="8"/>
        </w:rPr>
      </w:pPr>
    </w:p>
    <w:tbl>
      <w:tblPr>
        <w:tblW w:w="0" w:type="auto"/>
        <w:jc w:val="left"/>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7"/>
        <w:gridCol w:w="3139"/>
        <w:gridCol w:w="3346"/>
        <w:gridCol w:w="244"/>
      </w:tblGrid>
      <w:tr>
        <w:trPr>
          <w:trHeight w:val="2256" w:hRule="atLeast"/>
        </w:trPr>
        <w:tc>
          <w:tcPr>
            <w:tcW w:w="9652" w:type="dxa"/>
            <w:gridSpan w:val="3"/>
            <w:tcBorders>
              <w:top w:val="nil"/>
              <w:left w:val="nil"/>
              <w:right w:val="nil"/>
            </w:tcBorders>
            <w:shd w:val="clear" w:color="auto" w:fill="F8F8F9"/>
          </w:tcPr>
          <w:p>
            <w:pPr>
              <w:pStyle w:val="TableParagraph"/>
              <w:ind w:right="17"/>
              <w:jc w:val="both"/>
              <w:rPr>
                <w:sz w:val="28"/>
              </w:rPr>
            </w:pPr>
            <w:r>
              <w:rPr>
                <w:sz w:val="28"/>
              </w:rPr>
              <w:t>молодняку</w:t>
            </w:r>
            <w:r>
              <w:rPr>
                <w:spacing w:val="-17"/>
                <w:sz w:val="28"/>
              </w:rPr>
              <w:t> </w:t>
            </w:r>
            <w:r>
              <w:rPr>
                <w:sz w:val="28"/>
              </w:rPr>
              <w:t>перепелів</w:t>
            </w:r>
            <w:r>
              <w:rPr>
                <w:spacing w:val="-14"/>
                <w:sz w:val="28"/>
              </w:rPr>
              <w:t> </w:t>
            </w:r>
            <w:r>
              <w:rPr>
                <w:sz w:val="28"/>
              </w:rPr>
              <w:t>визначали</w:t>
            </w:r>
            <w:r>
              <w:rPr>
                <w:spacing w:val="-12"/>
                <w:sz w:val="28"/>
              </w:rPr>
              <w:t> </w:t>
            </w:r>
            <w:r>
              <w:rPr>
                <w:sz w:val="28"/>
              </w:rPr>
              <w:t>зважуванням</w:t>
            </w:r>
            <w:r>
              <w:rPr>
                <w:spacing w:val="-12"/>
                <w:sz w:val="28"/>
              </w:rPr>
              <w:t> </w:t>
            </w:r>
            <w:r>
              <w:rPr>
                <w:sz w:val="28"/>
              </w:rPr>
              <w:t>птиці</w:t>
            </w:r>
            <w:r>
              <w:rPr>
                <w:spacing w:val="-16"/>
                <w:sz w:val="28"/>
              </w:rPr>
              <w:t> </w:t>
            </w:r>
            <w:r>
              <w:rPr>
                <w:sz w:val="28"/>
              </w:rPr>
              <w:t>на</w:t>
            </w:r>
            <w:r>
              <w:rPr>
                <w:spacing w:val="-11"/>
                <w:sz w:val="28"/>
              </w:rPr>
              <w:t> </w:t>
            </w:r>
            <w:r>
              <w:rPr>
                <w:sz w:val="28"/>
              </w:rPr>
              <w:t>7</w:t>
            </w:r>
            <w:r>
              <w:rPr>
                <w:spacing w:val="-13"/>
                <w:sz w:val="28"/>
              </w:rPr>
              <w:t> </w:t>
            </w:r>
            <w:r>
              <w:rPr>
                <w:sz w:val="28"/>
              </w:rPr>
              <w:t>добу.</w:t>
            </w:r>
            <w:r>
              <w:rPr>
                <w:spacing w:val="-10"/>
                <w:sz w:val="28"/>
              </w:rPr>
              <w:t> </w:t>
            </w:r>
            <w:r>
              <w:rPr>
                <w:sz w:val="28"/>
              </w:rPr>
              <w:t>Знаючи</w:t>
            </w:r>
            <w:r>
              <w:rPr>
                <w:spacing w:val="-12"/>
                <w:sz w:val="28"/>
              </w:rPr>
              <w:t> </w:t>
            </w:r>
            <w:r>
              <w:rPr>
                <w:sz w:val="28"/>
              </w:rPr>
              <w:t>живу</w:t>
            </w:r>
            <w:r>
              <w:rPr>
                <w:spacing w:val="-17"/>
                <w:sz w:val="28"/>
              </w:rPr>
              <w:t> </w:t>
            </w:r>
            <w:r>
              <w:rPr>
                <w:sz w:val="28"/>
              </w:rPr>
              <w:t>масу птиці визначали абсолютні, середньодобові та відносні прирости живої маси перепелів впродовж досліду. Важливим показником інтенсивності росту є облік збереженості поголів’я птиці. Слід відмітити, що результати досліджень мають позитивний вплив біологічно-активної добавки на ріст перепелів породи</w:t>
            </w:r>
            <w:r>
              <w:rPr>
                <w:spacing w:val="-51"/>
                <w:sz w:val="28"/>
              </w:rPr>
              <w:t> </w:t>
            </w:r>
            <w:r>
              <w:rPr>
                <w:sz w:val="28"/>
              </w:rPr>
              <w:t>фараон (табл.</w:t>
            </w:r>
            <w:r>
              <w:rPr>
                <w:spacing w:val="3"/>
                <w:sz w:val="28"/>
              </w:rPr>
              <w:t> </w:t>
            </w:r>
            <w:r>
              <w:rPr>
                <w:sz w:val="28"/>
              </w:rPr>
              <w:t>2).</w:t>
            </w:r>
          </w:p>
          <w:p>
            <w:pPr>
              <w:pStyle w:val="TableParagraph"/>
              <w:spacing w:line="308" w:lineRule="exact"/>
              <w:ind w:left="566"/>
              <w:jc w:val="both"/>
              <w:rPr>
                <w:sz w:val="28"/>
              </w:rPr>
            </w:pPr>
            <w:r>
              <w:rPr>
                <w:sz w:val="28"/>
              </w:rPr>
              <w:t>Таблиця 2. Динаміка живої маси перепелів, г (M±m, n=100)</w:t>
            </w:r>
          </w:p>
        </w:tc>
        <w:tc>
          <w:tcPr>
            <w:tcW w:w="244" w:type="dxa"/>
            <w:vMerge w:val="restart"/>
            <w:tcBorders>
              <w:top w:val="nil"/>
              <w:left w:val="nil"/>
              <w:right w:val="nil"/>
            </w:tcBorders>
          </w:tcPr>
          <w:p>
            <w:pPr>
              <w:pStyle w:val="TableParagraph"/>
              <w:rPr>
                <w:sz w:val="26"/>
              </w:rPr>
            </w:pPr>
          </w:p>
        </w:tc>
      </w:tr>
      <w:tr>
        <w:trPr>
          <w:trHeight w:val="273" w:hRule="atLeast"/>
        </w:trPr>
        <w:tc>
          <w:tcPr>
            <w:tcW w:w="3167" w:type="dxa"/>
            <w:vMerge w:val="restart"/>
          </w:tcPr>
          <w:p>
            <w:pPr>
              <w:pStyle w:val="TableParagraph"/>
              <w:spacing w:line="268" w:lineRule="exact"/>
              <w:ind w:left="1164" w:right="1178"/>
              <w:jc w:val="center"/>
              <w:rPr>
                <w:sz w:val="24"/>
              </w:rPr>
            </w:pPr>
            <w:r>
              <w:rPr>
                <w:sz w:val="24"/>
              </w:rPr>
              <w:t>Вік, діб</w:t>
            </w:r>
          </w:p>
        </w:tc>
        <w:tc>
          <w:tcPr>
            <w:tcW w:w="6485" w:type="dxa"/>
            <w:gridSpan w:val="2"/>
          </w:tcPr>
          <w:p>
            <w:pPr>
              <w:pStyle w:val="TableParagraph"/>
              <w:spacing w:line="253" w:lineRule="exact"/>
              <w:ind w:left="2896" w:right="2925"/>
              <w:jc w:val="center"/>
              <w:rPr>
                <w:sz w:val="24"/>
              </w:rPr>
            </w:pPr>
            <w:r>
              <w:rPr>
                <w:sz w:val="24"/>
              </w:rPr>
              <w:t>Група</w:t>
            </w:r>
          </w:p>
        </w:tc>
        <w:tc>
          <w:tcPr>
            <w:tcW w:w="244" w:type="dxa"/>
            <w:vMerge/>
            <w:tcBorders>
              <w:top w:val="nil"/>
              <w:left w:val="nil"/>
              <w:right w:val="nil"/>
            </w:tcBorders>
          </w:tcPr>
          <w:p>
            <w:pPr>
              <w:rPr>
                <w:sz w:val="2"/>
                <w:szCs w:val="2"/>
              </w:rPr>
            </w:pPr>
          </w:p>
        </w:tc>
      </w:tr>
      <w:tr>
        <w:trPr>
          <w:trHeight w:val="278" w:hRule="atLeast"/>
        </w:trPr>
        <w:tc>
          <w:tcPr>
            <w:tcW w:w="3167" w:type="dxa"/>
            <w:vMerge/>
            <w:tcBorders>
              <w:top w:val="nil"/>
            </w:tcBorders>
          </w:tcPr>
          <w:p>
            <w:pPr>
              <w:rPr>
                <w:sz w:val="2"/>
                <w:szCs w:val="2"/>
              </w:rPr>
            </w:pPr>
          </w:p>
        </w:tc>
        <w:tc>
          <w:tcPr>
            <w:tcW w:w="3139" w:type="dxa"/>
          </w:tcPr>
          <w:p>
            <w:pPr>
              <w:pStyle w:val="TableParagraph"/>
              <w:spacing w:line="258" w:lineRule="exact"/>
              <w:ind w:left="853" w:right="860"/>
              <w:jc w:val="center"/>
              <w:rPr>
                <w:sz w:val="24"/>
              </w:rPr>
            </w:pPr>
            <w:r>
              <w:rPr>
                <w:sz w:val="24"/>
              </w:rPr>
              <w:t>1-контрольна</w:t>
            </w:r>
          </w:p>
        </w:tc>
        <w:tc>
          <w:tcPr>
            <w:tcW w:w="3346" w:type="dxa"/>
          </w:tcPr>
          <w:p>
            <w:pPr>
              <w:pStyle w:val="TableParagraph"/>
              <w:spacing w:line="258" w:lineRule="exact"/>
              <w:ind w:left="794" w:right="802"/>
              <w:jc w:val="center"/>
              <w:rPr>
                <w:sz w:val="24"/>
              </w:rPr>
            </w:pPr>
            <w:r>
              <w:rPr>
                <w:sz w:val="24"/>
              </w:rPr>
              <w:t>2- дослідна</w:t>
            </w:r>
          </w:p>
        </w:tc>
        <w:tc>
          <w:tcPr>
            <w:tcW w:w="244" w:type="dxa"/>
            <w:vMerge/>
            <w:tcBorders>
              <w:top w:val="nil"/>
              <w:left w:val="nil"/>
              <w:right w:val="nil"/>
            </w:tcBorders>
          </w:tcPr>
          <w:p>
            <w:pPr>
              <w:rPr>
                <w:sz w:val="2"/>
                <w:szCs w:val="2"/>
              </w:rPr>
            </w:pPr>
          </w:p>
        </w:tc>
      </w:tr>
      <w:tr>
        <w:trPr>
          <w:trHeight w:val="273" w:hRule="atLeast"/>
        </w:trPr>
        <w:tc>
          <w:tcPr>
            <w:tcW w:w="3167" w:type="dxa"/>
          </w:tcPr>
          <w:p>
            <w:pPr>
              <w:pStyle w:val="TableParagraph"/>
              <w:spacing w:line="253" w:lineRule="exact"/>
              <w:ind w:right="10"/>
              <w:jc w:val="center"/>
              <w:rPr>
                <w:sz w:val="24"/>
              </w:rPr>
            </w:pPr>
            <w:r>
              <w:rPr>
                <w:sz w:val="24"/>
              </w:rPr>
              <w:t>1</w:t>
            </w:r>
          </w:p>
        </w:tc>
        <w:tc>
          <w:tcPr>
            <w:tcW w:w="3139" w:type="dxa"/>
          </w:tcPr>
          <w:p>
            <w:pPr>
              <w:pStyle w:val="TableParagraph"/>
              <w:spacing w:line="253" w:lineRule="exact"/>
              <w:ind w:left="853" w:right="856"/>
              <w:jc w:val="center"/>
              <w:rPr>
                <w:sz w:val="24"/>
              </w:rPr>
            </w:pPr>
            <w:r>
              <w:rPr>
                <w:sz w:val="24"/>
              </w:rPr>
              <w:t>9,30 ± 0,05</w:t>
            </w:r>
          </w:p>
        </w:tc>
        <w:tc>
          <w:tcPr>
            <w:tcW w:w="3346" w:type="dxa"/>
          </w:tcPr>
          <w:p>
            <w:pPr>
              <w:pStyle w:val="TableParagraph"/>
              <w:spacing w:line="253" w:lineRule="exact"/>
              <w:ind w:left="797" w:right="802"/>
              <w:jc w:val="center"/>
              <w:rPr>
                <w:sz w:val="24"/>
              </w:rPr>
            </w:pPr>
            <w:r>
              <w:rPr>
                <w:sz w:val="24"/>
              </w:rPr>
              <w:t>9,30 ± 0,03</w:t>
            </w:r>
          </w:p>
        </w:tc>
        <w:tc>
          <w:tcPr>
            <w:tcW w:w="244" w:type="dxa"/>
            <w:vMerge/>
            <w:tcBorders>
              <w:top w:val="nil"/>
              <w:left w:val="nil"/>
              <w:right w:val="nil"/>
            </w:tcBorders>
          </w:tcPr>
          <w:p>
            <w:pPr>
              <w:rPr>
                <w:sz w:val="2"/>
                <w:szCs w:val="2"/>
              </w:rPr>
            </w:pPr>
          </w:p>
        </w:tc>
      </w:tr>
      <w:tr>
        <w:trPr>
          <w:trHeight w:val="278" w:hRule="atLeast"/>
        </w:trPr>
        <w:tc>
          <w:tcPr>
            <w:tcW w:w="3167" w:type="dxa"/>
          </w:tcPr>
          <w:p>
            <w:pPr>
              <w:pStyle w:val="TableParagraph"/>
              <w:spacing w:line="258" w:lineRule="exact"/>
              <w:ind w:right="10"/>
              <w:jc w:val="center"/>
              <w:rPr>
                <w:sz w:val="24"/>
              </w:rPr>
            </w:pPr>
            <w:r>
              <w:rPr>
                <w:sz w:val="24"/>
              </w:rPr>
              <w:t>7</w:t>
            </w:r>
          </w:p>
        </w:tc>
        <w:tc>
          <w:tcPr>
            <w:tcW w:w="3139" w:type="dxa"/>
          </w:tcPr>
          <w:p>
            <w:pPr>
              <w:pStyle w:val="TableParagraph"/>
              <w:spacing w:line="258" w:lineRule="exact"/>
              <w:ind w:left="852" w:right="860"/>
              <w:jc w:val="center"/>
              <w:rPr>
                <w:sz w:val="24"/>
              </w:rPr>
            </w:pPr>
            <w:r>
              <w:rPr>
                <w:sz w:val="24"/>
              </w:rPr>
              <w:t>15,70 ± 0,08</w:t>
            </w:r>
          </w:p>
        </w:tc>
        <w:tc>
          <w:tcPr>
            <w:tcW w:w="3346" w:type="dxa"/>
          </w:tcPr>
          <w:p>
            <w:pPr>
              <w:pStyle w:val="TableParagraph"/>
              <w:spacing w:line="258" w:lineRule="exact"/>
              <w:ind w:left="802" w:right="802"/>
              <w:jc w:val="center"/>
              <w:rPr>
                <w:sz w:val="24"/>
              </w:rPr>
            </w:pPr>
            <w:r>
              <w:rPr>
                <w:sz w:val="24"/>
              </w:rPr>
              <w:t>15,61 ± 0,03</w:t>
            </w:r>
          </w:p>
        </w:tc>
        <w:tc>
          <w:tcPr>
            <w:tcW w:w="244" w:type="dxa"/>
            <w:vMerge/>
            <w:tcBorders>
              <w:top w:val="nil"/>
              <w:left w:val="nil"/>
              <w:right w:val="nil"/>
            </w:tcBorders>
          </w:tcPr>
          <w:p>
            <w:pPr>
              <w:rPr>
                <w:sz w:val="2"/>
                <w:szCs w:val="2"/>
              </w:rPr>
            </w:pPr>
          </w:p>
        </w:tc>
      </w:tr>
      <w:tr>
        <w:trPr>
          <w:trHeight w:val="277" w:hRule="atLeast"/>
        </w:trPr>
        <w:tc>
          <w:tcPr>
            <w:tcW w:w="3167" w:type="dxa"/>
          </w:tcPr>
          <w:p>
            <w:pPr>
              <w:pStyle w:val="TableParagraph"/>
              <w:spacing w:line="258" w:lineRule="exact"/>
              <w:ind w:left="1164" w:right="1169"/>
              <w:jc w:val="center"/>
              <w:rPr>
                <w:sz w:val="24"/>
              </w:rPr>
            </w:pPr>
            <w:r>
              <w:rPr>
                <w:sz w:val="24"/>
              </w:rPr>
              <w:t>14</w:t>
            </w:r>
          </w:p>
        </w:tc>
        <w:tc>
          <w:tcPr>
            <w:tcW w:w="3139" w:type="dxa"/>
          </w:tcPr>
          <w:p>
            <w:pPr>
              <w:pStyle w:val="TableParagraph"/>
              <w:spacing w:line="258" w:lineRule="exact"/>
              <w:ind w:left="852" w:right="860"/>
              <w:jc w:val="center"/>
              <w:rPr>
                <w:sz w:val="24"/>
              </w:rPr>
            </w:pPr>
            <w:r>
              <w:rPr>
                <w:sz w:val="24"/>
              </w:rPr>
              <w:t>48,91 ± 0,44</w:t>
            </w:r>
          </w:p>
        </w:tc>
        <w:tc>
          <w:tcPr>
            <w:tcW w:w="3346" w:type="dxa"/>
          </w:tcPr>
          <w:p>
            <w:pPr>
              <w:pStyle w:val="TableParagraph"/>
              <w:spacing w:line="258" w:lineRule="exact"/>
              <w:ind w:left="802" w:right="802"/>
              <w:jc w:val="center"/>
              <w:rPr>
                <w:sz w:val="24"/>
              </w:rPr>
            </w:pPr>
            <w:r>
              <w:rPr>
                <w:sz w:val="24"/>
              </w:rPr>
              <w:t>48,60 ± 0,46</w:t>
            </w:r>
          </w:p>
        </w:tc>
        <w:tc>
          <w:tcPr>
            <w:tcW w:w="244" w:type="dxa"/>
            <w:vMerge/>
            <w:tcBorders>
              <w:top w:val="nil"/>
              <w:left w:val="nil"/>
              <w:right w:val="nil"/>
            </w:tcBorders>
          </w:tcPr>
          <w:p>
            <w:pPr>
              <w:rPr>
                <w:sz w:val="2"/>
                <w:szCs w:val="2"/>
              </w:rPr>
            </w:pPr>
          </w:p>
        </w:tc>
      </w:tr>
      <w:tr>
        <w:trPr>
          <w:trHeight w:val="273" w:hRule="atLeast"/>
        </w:trPr>
        <w:tc>
          <w:tcPr>
            <w:tcW w:w="3167" w:type="dxa"/>
          </w:tcPr>
          <w:p>
            <w:pPr>
              <w:pStyle w:val="TableParagraph"/>
              <w:spacing w:line="253" w:lineRule="exact"/>
              <w:ind w:left="1164" w:right="1169"/>
              <w:jc w:val="center"/>
              <w:rPr>
                <w:sz w:val="24"/>
              </w:rPr>
            </w:pPr>
            <w:r>
              <w:rPr>
                <w:sz w:val="24"/>
              </w:rPr>
              <w:t>21</w:t>
            </w:r>
          </w:p>
        </w:tc>
        <w:tc>
          <w:tcPr>
            <w:tcW w:w="3139" w:type="dxa"/>
          </w:tcPr>
          <w:p>
            <w:pPr>
              <w:pStyle w:val="TableParagraph"/>
              <w:spacing w:line="253" w:lineRule="exact"/>
              <w:ind w:left="852" w:right="860"/>
              <w:jc w:val="center"/>
              <w:rPr>
                <w:sz w:val="24"/>
              </w:rPr>
            </w:pPr>
            <w:r>
              <w:rPr>
                <w:sz w:val="24"/>
              </w:rPr>
              <w:t>74,21 ± 0,61</w:t>
            </w:r>
          </w:p>
        </w:tc>
        <w:tc>
          <w:tcPr>
            <w:tcW w:w="3346" w:type="dxa"/>
          </w:tcPr>
          <w:p>
            <w:pPr>
              <w:pStyle w:val="TableParagraph"/>
              <w:spacing w:line="253" w:lineRule="exact"/>
              <w:ind w:left="802" w:right="802"/>
              <w:jc w:val="center"/>
              <w:rPr>
                <w:sz w:val="24"/>
              </w:rPr>
            </w:pPr>
            <w:r>
              <w:rPr>
                <w:sz w:val="24"/>
              </w:rPr>
              <w:t>75,80 ± 0,55</w:t>
            </w:r>
          </w:p>
        </w:tc>
        <w:tc>
          <w:tcPr>
            <w:tcW w:w="244" w:type="dxa"/>
            <w:vMerge/>
            <w:tcBorders>
              <w:top w:val="nil"/>
              <w:left w:val="nil"/>
              <w:right w:val="nil"/>
            </w:tcBorders>
          </w:tcPr>
          <w:p>
            <w:pPr>
              <w:rPr>
                <w:sz w:val="2"/>
                <w:szCs w:val="2"/>
              </w:rPr>
            </w:pPr>
          </w:p>
        </w:tc>
      </w:tr>
      <w:tr>
        <w:trPr>
          <w:trHeight w:val="278" w:hRule="atLeast"/>
        </w:trPr>
        <w:tc>
          <w:tcPr>
            <w:tcW w:w="3167" w:type="dxa"/>
          </w:tcPr>
          <w:p>
            <w:pPr>
              <w:pStyle w:val="TableParagraph"/>
              <w:spacing w:line="258" w:lineRule="exact"/>
              <w:ind w:left="1164" w:right="1169"/>
              <w:jc w:val="center"/>
              <w:rPr>
                <w:sz w:val="24"/>
              </w:rPr>
            </w:pPr>
            <w:r>
              <w:rPr>
                <w:sz w:val="24"/>
              </w:rPr>
              <w:t>28</w:t>
            </w:r>
          </w:p>
        </w:tc>
        <w:tc>
          <w:tcPr>
            <w:tcW w:w="3139" w:type="dxa"/>
          </w:tcPr>
          <w:p>
            <w:pPr>
              <w:pStyle w:val="TableParagraph"/>
              <w:spacing w:line="258" w:lineRule="exact"/>
              <w:ind w:left="853" w:right="856"/>
              <w:jc w:val="center"/>
              <w:rPr>
                <w:sz w:val="24"/>
              </w:rPr>
            </w:pPr>
            <w:r>
              <w:rPr>
                <w:sz w:val="24"/>
              </w:rPr>
              <w:t>100,31 ± 0,70</w:t>
            </w:r>
          </w:p>
        </w:tc>
        <w:tc>
          <w:tcPr>
            <w:tcW w:w="3346" w:type="dxa"/>
          </w:tcPr>
          <w:p>
            <w:pPr>
              <w:pStyle w:val="TableParagraph"/>
              <w:spacing w:line="258" w:lineRule="exact"/>
              <w:ind w:left="802" w:right="802"/>
              <w:jc w:val="center"/>
              <w:rPr>
                <w:sz w:val="24"/>
              </w:rPr>
            </w:pPr>
            <w:r>
              <w:rPr>
                <w:sz w:val="24"/>
              </w:rPr>
              <w:t>108,91 ± 0,70***</w:t>
            </w:r>
          </w:p>
        </w:tc>
        <w:tc>
          <w:tcPr>
            <w:tcW w:w="244" w:type="dxa"/>
            <w:vMerge/>
            <w:tcBorders>
              <w:top w:val="nil"/>
              <w:left w:val="nil"/>
              <w:right w:val="nil"/>
            </w:tcBorders>
          </w:tcPr>
          <w:p>
            <w:pPr>
              <w:rPr>
                <w:sz w:val="2"/>
                <w:szCs w:val="2"/>
              </w:rPr>
            </w:pPr>
          </w:p>
        </w:tc>
      </w:tr>
      <w:tr>
        <w:trPr>
          <w:trHeight w:val="273" w:hRule="atLeast"/>
        </w:trPr>
        <w:tc>
          <w:tcPr>
            <w:tcW w:w="3167" w:type="dxa"/>
          </w:tcPr>
          <w:p>
            <w:pPr>
              <w:pStyle w:val="TableParagraph"/>
              <w:spacing w:line="253" w:lineRule="exact"/>
              <w:ind w:left="1164" w:right="1169"/>
              <w:jc w:val="center"/>
              <w:rPr>
                <w:sz w:val="24"/>
              </w:rPr>
            </w:pPr>
            <w:r>
              <w:rPr>
                <w:sz w:val="24"/>
              </w:rPr>
              <w:t>35</w:t>
            </w:r>
          </w:p>
        </w:tc>
        <w:tc>
          <w:tcPr>
            <w:tcW w:w="3139" w:type="dxa"/>
          </w:tcPr>
          <w:p>
            <w:pPr>
              <w:pStyle w:val="TableParagraph"/>
              <w:spacing w:line="253" w:lineRule="exact"/>
              <w:ind w:left="853" w:right="856"/>
              <w:jc w:val="center"/>
              <w:rPr>
                <w:sz w:val="24"/>
              </w:rPr>
            </w:pPr>
            <w:r>
              <w:rPr>
                <w:sz w:val="24"/>
              </w:rPr>
              <w:t>151,30 ± 0,63</w:t>
            </w:r>
          </w:p>
        </w:tc>
        <w:tc>
          <w:tcPr>
            <w:tcW w:w="3346" w:type="dxa"/>
          </w:tcPr>
          <w:p>
            <w:pPr>
              <w:pStyle w:val="TableParagraph"/>
              <w:spacing w:line="253" w:lineRule="exact"/>
              <w:ind w:left="802" w:right="802"/>
              <w:jc w:val="center"/>
              <w:rPr>
                <w:sz w:val="24"/>
              </w:rPr>
            </w:pPr>
            <w:r>
              <w:rPr>
                <w:sz w:val="24"/>
              </w:rPr>
              <w:t>165,71 ± 0,79***</w:t>
            </w:r>
          </w:p>
        </w:tc>
        <w:tc>
          <w:tcPr>
            <w:tcW w:w="244" w:type="dxa"/>
            <w:vMerge/>
            <w:tcBorders>
              <w:top w:val="nil"/>
              <w:left w:val="nil"/>
              <w:right w:val="nil"/>
            </w:tcBorders>
          </w:tcPr>
          <w:p>
            <w:pPr>
              <w:rPr>
                <w:sz w:val="2"/>
                <w:szCs w:val="2"/>
              </w:rPr>
            </w:pPr>
          </w:p>
        </w:tc>
      </w:tr>
      <w:tr>
        <w:trPr>
          <w:trHeight w:val="278" w:hRule="atLeast"/>
        </w:trPr>
        <w:tc>
          <w:tcPr>
            <w:tcW w:w="3167" w:type="dxa"/>
          </w:tcPr>
          <w:p>
            <w:pPr>
              <w:pStyle w:val="TableParagraph"/>
              <w:spacing w:line="258" w:lineRule="exact"/>
              <w:ind w:left="1164" w:right="1169"/>
              <w:jc w:val="center"/>
              <w:rPr>
                <w:sz w:val="24"/>
              </w:rPr>
            </w:pPr>
            <w:r>
              <w:rPr>
                <w:sz w:val="24"/>
              </w:rPr>
              <w:t>42</w:t>
            </w:r>
          </w:p>
        </w:tc>
        <w:tc>
          <w:tcPr>
            <w:tcW w:w="3139" w:type="dxa"/>
          </w:tcPr>
          <w:p>
            <w:pPr>
              <w:pStyle w:val="TableParagraph"/>
              <w:spacing w:line="258" w:lineRule="exact"/>
              <w:ind w:left="853" w:right="856"/>
              <w:jc w:val="center"/>
              <w:rPr>
                <w:sz w:val="24"/>
              </w:rPr>
            </w:pPr>
            <w:r>
              <w:rPr>
                <w:sz w:val="24"/>
              </w:rPr>
              <w:t>192,20 ± 0,79</w:t>
            </w:r>
          </w:p>
        </w:tc>
        <w:tc>
          <w:tcPr>
            <w:tcW w:w="3346" w:type="dxa"/>
          </w:tcPr>
          <w:p>
            <w:pPr>
              <w:pStyle w:val="TableParagraph"/>
              <w:spacing w:line="258" w:lineRule="exact"/>
              <w:ind w:left="802" w:right="802"/>
              <w:jc w:val="center"/>
              <w:rPr>
                <w:sz w:val="24"/>
              </w:rPr>
            </w:pPr>
            <w:r>
              <w:rPr>
                <w:sz w:val="24"/>
              </w:rPr>
              <w:t>207,11 ± 1,06***</w:t>
            </w:r>
          </w:p>
        </w:tc>
        <w:tc>
          <w:tcPr>
            <w:tcW w:w="244" w:type="dxa"/>
            <w:vMerge/>
            <w:tcBorders>
              <w:top w:val="nil"/>
              <w:left w:val="nil"/>
              <w:right w:val="nil"/>
            </w:tcBorders>
          </w:tcPr>
          <w:p>
            <w:pPr>
              <w:rPr>
                <w:sz w:val="2"/>
                <w:szCs w:val="2"/>
              </w:rPr>
            </w:pPr>
          </w:p>
        </w:tc>
      </w:tr>
      <w:tr>
        <w:trPr>
          <w:trHeight w:val="273" w:hRule="atLeast"/>
        </w:trPr>
        <w:tc>
          <w:tcPr>
            <w:tcW w:w="3167" w:type="dxa"/>
          </w:tcPr>
          <w:p>
            <w:pPr>
              <w:pStyle w:val="TableParagraph"/>
              <w:spacing w:line="254" w:lineRule="exact"/>
              <w:ind w:left="1164" w:right="1169"/>
              <w:jc w:val="center"/>
              <w:rPr>
                <w:sz w:val="24"/>
              </w:rPr>
            </w:pPr>
            <w:r>
              <w:rPr>
                <w:sz w:val="24"/>
              </w:rPr>
              <w:t>49</w:t>
            </w:r>
          </w:p>
        </w:tc>
        <w:tc>
          <w:tcPr>
            <w:tcW w:w="3139" w:type="dxa"/>
          </w:tcPr>
          <w:p>
            <w:pPr>
              <w:pStyle w:val="TableParagraph"/>
              <w:spacing w:line="254" w:lineRule="exact"/>
              <w:ind w:left="853" w:right="856"/>
              <w:jc w:val="center"/>
              <w:rPr>
                <w:sz w:val="24"/>
              </w:rPr>
            </w:pPr>
            <w:r>
              <w:rPr>
                <w:sz w:val="24"/>
              </w:rPr>
              <w:t>234,50 ± 1,12</w:t>
            </w:r>
          </w:p>
        </w:tc>
        <w:tc>
          <w:tcPr>
            <w:tcW w:w="3346" w:type="dxa"/>
          </w:tcPr>
          <w:p>
            <w:pPr>
              <w:pStyle w:val="TableParagraph"/>
              <w:spacing w:line="254" w:lineRule="exact"/>
              <w:ind w:left="802" w:right="802"/>
              <w:jc w:val="center"/>
              <w:rPr>
                <w:sz w:val="24"/>
              </w:rPr>
            </w:pPr>
            <w:r>
              <w:rPr>
                <w:sz w:val="24"/>
              </w:rPr>
              <w:t>248,40 ± 1,51***</w:t>
            </w:r>
          </w:p>
        </w:tc>
        <w:tc>
          <w:tcPr>
            <w:tcW w:w="244" w:type="dxa"/>
            <w:vMerge/>
            <w:tcBorders>
              <w:top w:val="nil"/>
              <w:left w:val="nil"/>
              <w:right w:val="nil"/>
            </w:tcBorders>
          </w:tcPr>
          <w:p>
            <w:pPr>
              <w:rPr>
                <w:sz w:val="2"/>
                <w:szCs w:val="2"/>
              </w:rPr>
            </w:pPr>
          </w:p>
        </w:tc>
      </w:tr>
      <w:tr>
        <w:trPr>
          <w:trHeight w:val="278" w:hRule="atLeast"/>
        </w:trPr>
        <w:tc>
          <w:tcPr>
            <w:tcW w:w="3167" w:type="dxa"/>
          </w:tcPr>
          <w:p>
            <w:pPr>
              <w:pStyle w:val="TableParagraph"/>
              <w:spacing w:line="258" w:lineRule="exact"/>
              <w:ind w:left="1164" w:right="1169"/>
              <w:jc w:val="center"/>
              <w:rPr>
                <w:sz w:val="24"/>
              </w:rPr>
            </w:pPr>
            <w:r>
              <w:rPr>
                <w:sz w:val="24"/>
              </w:rPr>
              <w:t>56</w:t>
            </w:r>
          </w:p>
        </w:tc>
        <w:tc>
          <w:tcPr>
            <w:tcW w:w="3139" w:type="dxa"/>
          </w:tcPr>
          <w:p>
            <w:pPr>
              <w:pStyle w:val="TableParagraph"/>
              <w:spacing w:line="258" w:lineRule="exact"/>
              <w:ind w:left="853" w:right="856"/>
              <w:jc w:val="center"/>
              <w:rPr>
                <w:sz w:val="24"/>
              </w:rPr>
            </w:pPr>
            <w:r>
              <w:rPr>
                <w:sz w:val="24"/>
              </w:rPr>
              <w:t>267,20 ± 1,33</w:t>
            </w:r>
          </w:p>
        </w:tc>
        <w:tc>
          <w:tcPr>
            <w:tcW w:w="3346" w:type="dxa"/>
          </w:tcPr>
          <w:p>
            <w:pPr>
              <w:pStyle w:val="TableParagraph"/>
              <w:spacing w:line="258" w:lineRule="exact"/>
              <w:ind w:left="802" w:right="802"/>
              <w:jc w:val="center"/>
              <w:rPr>
                <w:sz w:val="24"/>
              </w:rPr>
            </w:pPr>
            <w:r>
              <w:rPr>
                <w:sz w:val="24"/>
              </w:rPr>
              <w:t>279,81 ± 1,53***</w:t>
            </w:r>
          </w:p>
        </w:tc>
        <w:tc>
          <w:tcPr>
            <w:tcW w:w="244" w:type="dxa"/>
            <w:vMerge/>
            <w:tcBorders>
              <w:top w:val="nil"/>
              <w:left w:val="nil"/>
              <w:right w:val="nil"/>
            </w:tcBorders>
          </w:tcPr>
          <w:p>
            <w:pPr>
              <w:rPr>
                <w:sz w:val="2"/>
                <w:szCs w:val="2"/>
              </w:rPr>
            </w:pPr>
          </w:p>
        </w:tc>
      </w:tr>
      <w:tr>
        <w:trPr>
          <w:trHeight w:val="3542" w:hRule="atLeast"/>
        </w:trPr>
        <w:tc>
          <w:tcPr>
            <w:tcW w:w="9652" w:type="dxa"/>
            <w:gridSpan w:val="3"/>
            <w:tcBorders>
              <w:left w:val="nil"/>
              <w:right w:val="nil"/>
            </w:tcBorders>
            <w:shd w:val="clear" w:color="auto" w:fill="F8F8F9"/>
          </w:tcPr>
          <w:p>
            <w:pPr>
              <w:pStyle w:val="TableParagraph"/>
              <w:spacing w:before="3"/>
              <w:rPr>
                <w:sz w:val="27"/>
              </w:rPr>
            </w:pPr>
          </w:p>
          <w:p>
            <w:pPr>
              <w:pStyle w:val="TableParagraph"/>
              <w:spacing w:before="1"/>
              <w:ind w:right="9" w:firstLine="710"/>
              <w:jc w:val="both"/>
              <w:rPr>
                <w:sz w:val="28"/>
              </w:rPr>
            </w:pPr>
            <w:r>
              <w:rPr>
                <w:sz w:val="28"/>
              </w:rPr>
              <w:t>Дані таблиці 2 свідчать про те, що із уведенням до складу раціону апіпідмору з 14 доби, інтенсивність росту молодняку перепелів 2-ї дослідної групи підвищується по зрівнянню з контролем. Так з третього тижня вирощування, у перепелів 2-ї дослідної групи при згодовуванні 2,5 % добавки апіпідмору жива маса молодняку перепелів збільшилась на 2,15 %, у порівнянні з живою масою перепелів контрольної групи. </w:t>
            </w:r>
            <w:r>
              <w:rPr>
                <w:color w:val="212121"/>
                <w:sz w:val="28"/>
              </w:rPr>
              <w:t>Характеристику росту молодняку перепелів обраховували за абсолютним, середньодобовим та відносним приростами (табл.3).</w:t>
            </w:r>
          </w:p>
          <w:p>
            <w:pPr>
              <w:pStyle w:val="TableParagraph"/>
              <w:spacing w:line="322" w:lineRule="exact" w:before="6"/>
              <w:ind w:right="841" w:firstLine="710"/>
              <w:jc w:val="both"/>
              <w:rPr>
                <w:sz w:val="28"/>
              </w:rPr>
            </w:pPr>
            <w:r>
              <w:rPr>
                <w:color w:val="212121"/>
                <w:sz w:val="28"/>
              </w:rPr>
              <w:t>Таблиця 3. </w:t>
            </w:r>
            <w:r>
              <w:rPr>
                <w:sz w:val="28"/>
              </w:rPr>
              <w:t>Результати абсолютного приросту живої маси</w:t>
            </w:r>
            <w:r>
              <w:rPr>
                <w:spacing w:val="-35"/>
                <w:sz w:val="28"/>
              </w:rPr>
              <w:t> </w:t>
            </w:r>
            <w:r>
              <w:rPr>
                <w:sz w:val="28"/>
              </w:rPr>
              <w:t>перепелів м’ясної породи,</w:t>
            </w:r>
            <w:r>
              <w:rPr>
                <w:spacing w:val="-2"/>
                <w:sz w:val="28"/>
              </w:rPr>
              <w:t> </w:t>
            </w:r>
            <w:r>
              <w:rPr>
                <w:sz w:val="28"/>
              </w:rPr>
              <w:t>г.</w:t>
            </w:r>
          </w:p>
        </w:tc>
        <w:tc>
          <w:tcPr>
            <w:tcW w:w="244" w:type="dxa"/>
            <w:vMerge/>
            <w:tcBorders>
              <w:top w:val="nil"/>
              <w:left w:val="nil"/>
              <w:right w:val="nil"/>
            </w:tcBorders>
          </w:tcPr>
          <w:p>
            <w:pPr>
              <w:rPr>
                <w:sz w:val="2"/>
                <w:szCs w:val="2"/>
              </w:rPr>
            </w:pPr>
          </w:p>
        </w:tc>
      </w:tr>
      <w:tr>
        <w:trPr>
          <w:trHeight w:val="330" w:hRule="atLeast"/>
        </w:trPr>
        <w:tc>
          <w:tcPr>
            <w:tcW w:w="3167" w:type="dxa"/>
          </w:tcPr>
          <w:p>
            <w:pPr>
              <w:pStyle w:val="TableParagraph"/>
              <w:spacing w:line="268" w:lineRule="exact"/>
              <w:ind w:left="1164" w:right="1135"/>
              <w:jc w:val="center"/>
              <w:rPr>
                <w:sz w:val="24"/>
              </w:rPr>
            </w:pPr>
            <w:r>
              <w:rPr>
                <w:sz w:val="24"/>
              </w:rPr>
              <w:t>Групи</w:t>
            </w:r>
          </w:p>
        </w:tc>
        <w:tc>
          <w:tcPr>
            <w:tcW w:w="6729" w:type="dxa"/>
            <w:gridSpan w:val="3"/>
          </w:tcPr>
          <w:p>
            <w:pPr>
              <w:pStyle w:val="TableParagraph"/>
              <w:spacing w:line="268" w:lineRule="exact"/>
              <w:ind w:left="2170" w:right="2144"/>
              <w:jc w:val="center"/>
              <w:rPr>
                <w:sz w:val="24"/>
              </w:rPr>
            </w:pPr>
            <w:r>
              <w:rPr>
                <w:sz w:val="24"/>
              </w:rPr>
              <w:t>Абсолютний приріст, г</w:t>
            </w:r>
          </w:p>
        </w:tc>
      </w:tr>
      <w:tr>
        <w:trPr>
          <w:trHeight w:val="277" w:hRule="atLeast"/>
        </w:trPr>
        <w:tc>
          <w:tcPr>
            <w:tcW w:w="3167" w:type="dxa"/>
          </w:tcPr>
          <w:p>
            <w:pPr>
              <w:pStyle w:val="TableParagraph"/>
              <w:spacing w:line="258" w:lineRule="exact"/>
              <w:ind w:left="110"/>
              <w:rPr>
                <w:sz w:val="24"/>
              </w:rPr>
            </w:pPr>
            <w:r>
              <w:rPr>
                <w:sz w:val="24"/>
              </w:rPr>
              <w:t>1 - контрольна група</w:t>
            </w:r>
          </w:p>
        </w:tc>
        <w:tc>
          <w:tcPr>
            <w:tcW w:w="6729" w:type="dxa"/>
            <w:gridSpan w:val="3"/>
          </w:tcPr>
          <w:p>
            <w:pPr>
              <w:pStyle w:val="TableParagraph"/>
              <w:spacing w:line="258" w:lineRule="exact"/>
              <w:ind w:left="2170" w:right="2139"/>
              <w:jc w:val="center"/>
              <w:rPr>
                <w:sz w:val="24"/>
              </w:rPr>
            </w:pPr>
            <w:r>
              <w:rPr>
                <w:sz w:val="24"/>
              </w:rPr>
              <w:t>251,5</w:t>
            </w:r>
          </w:p>
        </w:tc>
      </w:tr>
      <w:tr>
        <w:trPr>
          <w:trHeight w:val="278" w:hRule="atLeast"/>
        </w:trPr>
        <w:tc>
          <w:tcPr>
            <w:tcW w:w="3167" w:type="dxa"/>
          </w:tcPr>
          <w:p>
            <w:pPr>
              <w:pStyle w:val="TableParagraph"/>
              <w:spacing w:line="258" w:lineRule="exact"/>
              <w:ind w:left="110"/>
              <w:rPr>
                <w:sz w:val="24"/>
              </w:rPr>
            </w:pPr>
            <w:r>
              <w:rPr>
                <w:sz w:val="24"/>
              </w:rPr>
              <w:t>2 - дослідна група</w:t>
            </w:r>
          </w:p>
        </w:tc>
        <w:tc>
          <w:tcPr>
            <w:tcW w:w="6729" w:type="dxa"/>
            <w:gridSpan w:val="3"/>
          </w:tcPr>
          <w:p>
            <w:pPr>
              <w:pStyle w:val="TableParagraph"/>
              <w:spacing w:line="258" w:lineRule="exact"/>
              <w:ind w:left="2170" w:right="2139"/>
              <w:jc w:val="center"/>
              <w:rPr>
                <w:sz w:val="24"/>
              </w:rPr>
            </w:pPr>
            <w:r>
              <w:rPr>
                <w:sz w:val="24"/>
              </w:rPr>
              <w:t>264,2</w:t>
            </w:r>
          </w:p>
        </w:tc>
      </w:tr>
      <w:tr>
        <w:trPr>
          <w:trHeight w:val="1286" w:hRule="atLeast"/>
        </w:trPr>
        <w:tc>
          <w:tcPr>
            <w:tcW w:w="9652" w:type="dxa"/>
            <w:gridSpan w:val="3"/>
            <w:tcBorders>
              <w:left w:val="nil"/>
              <w:bottom w:val="nil"/>
              <w:right w:val="nil"/>
            </w:tcBorders>
            <w:shd w:val="clear" w:color="auto" w:fill="F8F8F9"/>
          </w:tcPr>
          <w:p>
            <w:pPr>
              <w:pStyle w:val="TableParagraph"/>
              <w:spacing w:before="8"/>
              <w:rPr>
                <w:sz w:val="27"/>
              </w:rPr>
            </w:pPr>
          </w:p>
          <w:p>
            <w:pPr>
              <w:pStyle w:val="TableParagraph"/>
              <w:spacing w:line="322" w:lineRule="exact"/>
              <w:ind w:right="9" w:firstLine="710"/>
              <w:jc w:val="both"/>
              <w:rPr>
                <w:sz w:val="28"/>
              </w:rPr>
            </w:pPr>
            <w:r>
              <w:rPr>
                <w:sz w:val="28"/>
              </w:rPr>
              <w:t>Аналіз таблиці 3 говорить про те, що у молодняку перепелів 2-ї дослідної групи абсолютний приріст був вищим відповідно на 5,0 % (р&lt;0,001) за аналогічним показником у контрольній групі.</w:t>
            </w:r>
          </w:p>
        </w:tc>
        <w:tc>
          <w:tcPr>
            <w:tcW w:w="244" w:type="dxa"/>
            <w:tcBorders>
              <w:left w:val="nil"/>
              <w:bottom w:val="nil"/>
              <w:right w:val="nil"/>
            </w:tcBorders>
          </w:tcPr>
          <w:p>
            <w:pPr>
              <w:pStyle w:val="TableParagraph"/>
              <w:rPr>
                <w:sz w:val="26"/>
              </w:rPr>
            </w:pPr>
          </w:p>
        </w:tc>
      </w:tr>
    </w:tbl>
    <w:p>
      <w:pPr>
        <w:pStyle w:val="BodyText"/>
        <w:ind w:right="618" w:firstLine="710"/>
      </w:pPr>
      <w:r>
        <w:rPr/>
        <w:t>Кормова добавка на основі бджолиного підмору при використанні у раціоні годівлі перепелів породи фараон позитивно впливає на збільшення середньодобового приросту живої маси (табл. 4).</w:t>
      </w:r>
    </w:p>
    <w:p>
      <w:pPr>
        <w:pStyle w:val="BodyText"/>
        <w:ind w:right="614" w:firstLine="710"/>
      </w:pPr>
      <w:r>
        <w:rPr/>
        <w:pict>
          <v:shape style="position:absolute;margin-left:55.224003pt;margin-top:.350304pt;width:485pt;height:80.650pt;mso-position-horizontal-relative:page;mso-position-vertical-relative:paragraph;z-index:-267162624" coordorigin="1104,7" coordsize="9700,1613" path="m10804,1298l1104,1298,1104,1620,10804,1620,10804,1298m10804,329l1104,329,1104,650,1104,972,1104,1298,10804,1298,10804,972,10804,650,10804,329m10804,7l1104,7,1104,329,10804,329,10804,7e" filled="true" fillcolor="#f8f8f9" stroked="false">
            <v:path arrowok="t"/>
            <v:fill type="solid"/>
            <w10:wrap type="none"/>
          </v:shape>
        </w:pict>
      </w:r>
      <w:r>
        <w:rPr/>
        <w:t>Так в період з 21 по 28 добу у 2-й дослідній групі був найвищий середньодобовий приріст птиці 3,89 г. </w:t>
      </w:r>
      <w:r>
        <w:rPr>
          <w:spacing w:val="-3"/>
        </w:rPr>
        <w:t>На </w:t>
      </w:r>
      <w:r>
        <w:rPr/>
        <w:t>35 добу відмічено тенденцію до підвищення</w:t>
      </w:r>
      <w:r>
        <w:rPr>
          <w:spacing w:val="-11"/>
        </w:rPr>
        <w:t> </w:t>
      </w:r>
      <w:r>
        <w:rPr/>
        <w:t>цього</w:t>
      </w:r>
      <w:r>
        <w:rPr>
          <w:spacing w:val="-12"/>
        </w:rPr>
        <w:t> </w:t>
      </w:r>
      <w:r>
        <w:rPr/>
        <w:t>показника</w:t>
      </w:r>
      <w:r>
        <w:rPr>
          <w:spacing w:val="-11"/>
        </w:rPr>
        <w:t> </w:t>
      </w:r>
      <w:r>
        <w:rPr/>
        <w:t>у</w:t>
      </w:r>
      <w:r>
        <w:rPr>
          <w:spacing w:val="-17"/>
        </w:rPr>
        <w:t> </w:t>
      </w:r>
      <w:r>
        <w:rPr/>
        <w:t>перепелів</w:t>
      </w:r>
      <w:r>
        <w:rPr>
          <w:spacing w:val="-9"/>
        </w:rPr>
        <w:t> </w:t>
      </w:r>
      <w:r>
        <w:rPr/>
        <w:t>2-ї</w:t>
      </w:r>
      <w:r>
        <w:rPr>
          <w:spacing w:val="-16"/>
        </w:rPr>
        <w:t> </w:t>
      </w:r>
      <w:r>
        <w:rPr/>
        <w:t>дослідної</w:t>
      </w:r>
      <w:r>
        <w:rPr>
          <w:spacing w:val="-17"/>
        </w:rPr>
        <w:t> </w:t>
      </w:r>
      <w:r>
        <w:rPr/>
        <w:t>групи,</w:t>
      </w:r>
      <w:r>
        <w:rPr>
          <w:spacing w:val="-9"/>
        </w:rPr>
        <w:t> </w:t>
      </w:r>
      <w:r>
        <w:rPr/>
        <w:t>відповідно</w:t>
      </w:r>
      <w:r>
        <w:rPr>
          <w:spacing w:val="-12"/>
        </w:rPr>
        <w:t> </w:t>
      </w:r>
      <w:r>
        <w:rPr/>
        <w:t>на</w:t>
      </w:r>
      <w:r>
        <w:rPr>
          <w:spacing w:val="-11"/>
        </w:rPr>
        <w:t> </w:t>
      </w:r>
      <w:r>
        <w:rPr/>
        <w:t>9,9</w:t>
      </w:r>
      <w:r>
        <w:rPr>
          <w:spacing w:val="-12"/>
        </w:rPr>
        <w:t> </w:t>
      </w:r>
      <w:r>
        <w:rPr/>
        <w:t>% (р&lt;0,001). Слідуючим показником який вивчався нами була збереженість перепелів</w:t>
      </w:r>
      <w:r>
        <w:rPr>
          <w:spacing w:val="-1"/>
        </w:rPr>
        <w:t> </w:t>
      </w:r>
      <w:r>
        <w:rPr/>
        <w:t>(табл.5).</w:t>
      </w:r>
    </w:p>
    <w:p>
      <w:pPr>
        <w:pStyle w:val="BodyText"/>
        <w:ind w:right="618" w:firstLine="710"/>
      </w:pPr>
      <w:r>
        <w:rPr/>
        <w:t>Таблиця</w:t>
      </w:r>
      <w:r>
        <w:rPr>
          <w:spacing w:val="-8"/>
        </w:rPr>
        <w:t> </w:t>
      </w:r>
      <w:r>
        <w:rPr/>
        <w:t>4.</w:t>
      </w:r>
      <w:r>
        <w:rPr>
          <w:spacing w:val="-6"/>
        </w:rPr>
        <w:t> </w:t>
      </w:r>
      <w:r>
        <w:rPr/>
        <w:t>Показники</w:t>
      </w:r>
      <w:r>
        <w:rPr>
          <w:spacing w:val="-8"/>
        </w:rPr>
        <w:t> </w:t>
      </w:r>
      <w:r>
        <w:rPr/>
        <w:t>середньодобового</w:t>
      </w:r>
      <w:r>
        <w:rPr>
          <w:spacing w:val="-5"/>
        </w:rPr>
        <w:t> </w:t>
      </w:r>
      <w:r>
        <w:rPr/>
        <w:t>приросту</w:t>
      </w:r>
      <w:r>
        <w:rPr>
          <w:spacing w:val="-14"/>
        </w:rPr>
        <w:t> </w:t>
      </w:r>
      <w:r>
        <w:rPr/>
        <w:t>живої</w:t>
      </w:r>
      <w:r>
        <w:rPr>
          <w:spacing w:val="-14"/>
        </w:rPr>
        <w:t> </w:t>
      </w:r>
      <w:r>
        <w:rPr/>
        <w:t>маси</w:t>
      </w:r>
      <w:r>
        <w:rPr>
          <w:spacing w:val="-9"/>
        </w:rPr>
        <w:t> </w:t>
      </w:r>
      <w:r>
        <w:rPr/>
        <w:t>перепелів,</w:t>
      </w:r>
      <w:r>
        <w:rPr>
          <w:spacing w:val="-7"/>
        </w:rPr>
        <w:t> </w:t>
      </w:r>
      <w:r>
        <w:rPr/>
        <w:t>г (M±m,</w:t>
      </w:r>
      <w:r>
        <w:rPr>
          <w:spacing w:val="7"/>
        </w:rPr>
        <w:t> </w:t>
      </w:r>
      <w:r>
        <w:rPr/>
        <w:t>n=100)</w:t>
      </w:r>
    </w:p>
    <w:p>
      <w:pPr>
        <w:spacing w:after="0"/>
        <w:sectPr>
          <w:pgSz w:w="11910" w:h="16840"/>
          <w:pgMar w:header="713" w:footer="778" w:top="1140" w:bottom="960" w:left="940" w:right="520"/>
        </w:sectPr>
      </w:pPr>
    </w:p>
    <w:p>
      <w:pPr>
        <w:pStyle w:val="BodyText"/>
        <w:spacing w:before="6"/>
        <w:ind w:left="0"/>
        <w:jc w:val="left"/>
        <w:rPr>
          <w:sz w:val="8"/>
        </w:rPr>
      </w:pPr>
    </w:p>
    <w:tbl>
      <w:tblPr>
        <w:tblW w:w="0" w:type="auto"/>
        <w:jc w:val="left"/>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9"/>
        <w:gridCol w:w="3213"/>
        <w:gridCol w:w="3194"/>
        <w:gridCol w:w="92"/>
        <w:gridCol w:w="226"/>
      </w:tblGrid>
      <w:tr>
        <w:trPr>
          <w:trHeight w:val="277" w:hRule="atLeast"/>
        </w:trPr>
        <w:tc>
          <w:tcPr>
            <w:tcW w:w="3169" w:type="dxa"/>
            <w:vMerge w:val="restart"/>
          </w:tcPr>
          <w:p>
            <w:pPr>
              <w:pStyle w:val="TableParagraph"/>
              <w:spacing w:line="268" w:lineRule="exact"/>
              <w:ind w:left="1186" w:right="1157"/>
              <w:jc w:val="center"/>
              <w:rPr>
                <w:sz w:val="24"/>
              </w:rPr>
            </w:pPr>
            <w:r>
              <w:rPr>
                <w:sz w:val="24"/>
              </w:rPr>
              <w:t>Вік, діб</w:t>
            </w:r>
          </w:p>
        </w:tc>
        <w:tc>
          <w:tcPr>
            <w:tcW w:w="6725" w:type="dxa"/>
            <w:gridSpan w:val="4"/>
          </w:tcPr>
          <w:p>
            <w:pPr>
              <w:pStyle w:val="TableParagraph"/>
              <w:spacing w:line="258" w:lineRule="exact"/>
              <w:ind w:left="3041" w:right="3019"/>
              <w:jc w:val="center"/>
              <w:rPr>
                <w:sz w:val="24"/>
              </w:rPr>
            </w:pPr>
            <w:r>
              <w:rPr>
                <w:sz w:val="24"/>
              </w:rPr>
              <w:t>Група</w:t>
            </w:r>
          </w:p>
        </w:tc>
      </w:tr>
      <w:tr>
        <w:trPr>
          <w:trHeight w:val="273" w:hRule="atLeast"/>
        </w:trPr>
        <w:tc>
          <w:tcPr>
            <w:tcW w:w="3169" w:type="dxa"/>
            <w:vMerge/>
            <w:tcBorders>
              <w:top w:val="nil"/>
            </w:tcBorders>
          </w:tcPr>
          <w:p>
            <w:pPr>
              <w:rPr>
                <w:sz w:val="2"/>
                <w:szCs w:val="2"/>
              </w:rPr>
            </w:pPr>
          </w:p>
        </w:tc>
        <w:tc>
          <w:tcPr>
            <w:tcW w:w="3213" w:type="dxa"/>
          </w:tcPr>
          <w:p>
            <w:pPr>
              <w:pStyle w:val="TableParagraph"/>
              <w:spacing w:line="253" w:lineRule="exact"/>
              <w:ind w:right="891"/>
              <w:jc w:val="right"/>
              <w:rPr>
                <w:sz w:val="24"/>
              </w:rPr>
            </w:pPr>
            <w:r>
              <w:rPr>
                <w:sz w:val="24"/>
              </w:rPr>
              <w:t>1-контрольна</w:t>
            </w:r>
          </w:p>
        </w:tc>
        <w:tc>
          <w:tcPr>
            <w:tcW w:w="3512" w:type="dxa"/>
            <w:gridSpan w:val="3"/>
          </w:tcPr>
          <w:p>
            <w:pPr>
              <w:pStyle w:val="TableParagraph"/>
              <w:spacing w:line="253" w:lineRule="exact"/>
              <w:ind w:left="1158" w:right="1151"/>
              <w:jc w:val="center"/>
              <w:rPr>
                <w:sz w:val="24"/>
              </w:rPr>
            </w:pPr>
            <w:r>
              <w:rPr>
                <w:sz w:val="24"/>
              </w:rPr>
              <w:t>2- дослідна</w:t>
            </w:r>
          </w:p>
        </w:tc>
      </w:tr>
      <w:tr>
        <w:trPr>
          <w:trHeight w:val="277" w:hRule="atLeast"/>
        </w:trPr>
        <w:tc>
          <w:tcPr>
            <w:tcW w:w="3169" w:type="dxa"/>
          </w:tcPr>
          <w:p>
            <w:pPr>
              <w:pStyle w:val="TableParagraph"/>
              <w:spacing w:line="258" w:lineRule="exact"/>
              <w:ind w:left="1186" w:right="1148"/>
              <w:jc w:val="center"/>
              <w:rPr>
                <w:sz w:val="24"/>
              </w:rPr>
            </w:pPr>
            <w:r>
              <w:rPr>
                <w:sz w:val="24"/>
              </w:rPr>
              <w:t>14</w:t>
            </w:r>
          </w:p>
        </w:tc>
        <w:tc>
          <w:tcPr>
            <w:tcW w:w="3213" w:type="dxa"/>
          </w:tcPr>
          <w:p>
            <w:pPr>
              <w:pStyle w:val="TableParagraph"/>
              <w:spacing w:line="258" w:lineRule="exact"/>
              <w:ind w:right="974"/>
              <w:jc w:val="right"/>
              <w:rPr>
                <w:sz w:val="24"/>
              </w:rPr>
            </w:pPr>
            <w:r>
              <w:rPr>
                <w:sz w:val="24"/>
              </w:rPr>
              <w:t>4,74 ± 0,031</w:t>
            </w:r>
          </w:p>
        </w:tc>
        <w:tc>
          <w:tcPr>
            <w:tcW w:w="3512" w:type="dxa"/>
            <w:gridSpan w:val="3"/>
          </w:tcPr>
          <w:p>
            <w:pPr>
              <w:pStyle w:val="TableParagraph"/>
              <w:spacing w:line="258" w:lineRule="exact"/>
              <w:ind w:left="1151"/>
              <w:rPr>
                <w:sz w:val="24"/>
              </w:rPr>
            </w:pPr>
            <w:r>
              <w:rPr>
                <w:sz w:val="24"/>
              </w:rPr>
              <w:t>4,71 ± 0,032</w:t>
            </w:r>
          </w:p>
        </w:tc>
      </w:tr>
      <w:tr>
        <w:trPr>
          <w:trHeight w:val="273" w:hRule="atLeast"/>
        </w:trPr>
        <w:tc>
          <w:tcPr>
            <w:tcW w:w="3169" w:type="dxa"/>
          </w:tcPr>
          <w:p>
            <w:pPr>
              <w:pStyle w:val="TableParagraph"/>
              <w:spacing w:line="253" w:lineRule="exact"/>
              <w:ind w:left="1186" w:right="1148"/>
              <w:jc w:val="center"/>
              <w:rPr>
                <w:sz w:val="24"/>
              </w:rPr>
            </w:pPr>
            <w:r>
              <w:rPr>
                <w:sz w:val="24"/>
              </w:rPr>
              <w:t>21</w:t>
            </w:r>
          </w:p>
        </w:tc>
        <w:tc>
          <w:tcPr>
            <w:tcW w:w="3213" w:type="dxa"/>
          </w:tcPr>
          <w:p>
            <w:pPr>
              <w:pStyle w:val="TableParagraph"/>
              <w:spacing w:line="253" w:lineRule="exact"/>
              <w:ind w:right="974"/>
              <w:jc w:val="right"/>
              <w:rPr>
                <w:sz w:val="24"/>
              </w:rPr>
            </w:pPr>
            <w:r>
              <w:rPr>
                <w:sz w:val="24"/>
              </w:rPr>
              <w:t>3,61 ± 0,177</w:t>
            </w:r>
          </w:p>
        </w:tc>
        <w:tc>
          <w:tcPr>
            <w:tcW w:w="3512" w:type="dxa"/>
            <w:gridSpan w:val="3"/>
          </w:tcPr>
          <w:p>
            <w:pPr>
              <w:pStyle w:val="TableParagraph"/>
              <w:spacing w:line="253" w:lineRule="exact"/>
              <w:ind w:left="1151"/>
              <w:rPr>
                <w:sz w:val="24"/>
              </w:rPr>
            </w:pPr>
            <w:r>
              <w:rPr>
                <w:sz w:val="24"/>
              </w:rPr>
              <w:t>3,89 ± 0,053</w:t>
            </w:r>
          </w:p>
        </w:tc>
      </w:tr>
      <w:tr>
        <w:trPr>
          <w:trHeight w:val="278" w:hRule="atLeast"/>
        </w:trPr>
        <w:tc>
          <w:tcPr>
            <w:tcW w:w="3169" w:type="dxa"/>
          </w:tcPr>
          <w:p>
            <w:pPr>
              <w:pStyle w:val="TableParagraph"/>
              <w:spacing w:line="259" w:lineRule="exact"/>
              <w:ind w:left="1186" w:right="1148"/>
              <w:jc w:val="center"/>
              <w:rPr>
                <w:sz w:val="24"/>
              </w:rPr>
            </w:pPr>
            <w:r>
              <w:rPr>
                <w:sz w:val="24"/>
              </w:rPr>
              <w:t>28</w:t>
            </w:r>
          </w:p>
        </w:tc>
        <w:tc>
          <w:tcPr>
            <w:tcW w:w="3213" w:type="dxa"/>
          </w:tcPr>
          <w:p>
            <w:pPr>
              <w:pStyle w:val="TableParagraph"/>
              <w:spacing w:line="259" w:lineRule="exact"/>
              <w:ind w:right="974"/>
              <w:jc w:val="right"/>
              <w:rPr>
                <w:sz w:val="24"/>
              </w:rPr>
            </w:pPr>
            <w:r>
              <w:rPr>
                <w:sz w:val="24"/>
              </w:rPr>
              <w:t>3,72 ± 0,152</w:t>
            </w:r>
          </w:p>
        </w:tc>
        <w:tc>
          <w:tcPr>
            <w:tcW w:w="3512" w:type="dxa"/>
            <w:gridSpan w:val="3"/>
          </w:tcPr>
          <w:p>
            <w:pPr>
              <w:pStyle w:val="TableParagraph"/>
              <w:spacing w:line="259" w:lineRule="exact"/>
              <w:ind w:left="1003"/>
              <w:rPr>
                <w:sz w:val="24"/>
              </w:rPr>
            </w:pPr>
            <w:r>
              <w:rPr>
                <w:sz w:val="24"/>
              </w:rPr>
              <w:t>4,72 ± 0,068***</w:t>
            </w:r>
          </w:p>
        </w:tc>
      </w:tr>
      <w:tr>
        <w:trPr>
          <w:trHeight w:val="277" w:hRule="atLeast"/>
        </w:trPr>
        <w:tc>
          <w:tcPr>
            <w:tcW w:w="3169" w:type="dxa"/>
          </w:tcPr>
          <w:p>
            <w:pPr>
              <w:pStyle w:val="TableParagraph"/>
              <w:spacing w:line="258" w:lineRule="exact"/>
              <w:ind w:left="1186" w:right="1148"/>
              <w:jc w:val="center"/>
              <w:rPr>
                <w:sz w:val="24"/>
              </w:rPr>
            </w:pPr>
            <w:r>
              <w:rPr>
                <w:sz w:val="24"/>
              </w:rPr>
              <w:t>35</w:t>
            </w:r>
          </w:p>
        </w:tc>
        <w:tc>
          <w:tcPr>
            <w:tcW w:w="3213" w:type="dxa"/>
          </w:tcPr>
          <w:p>
            <w:pPr>
              <w:pStyle w:val="TableParagraph"/>
              <w:spacing w:line="258" w:lineRule="exact"/>
              <w:ind w:right="974"/>
              <w:jc w:val="right"/>
              <w:rPr>
                <w:sz w:val="24"/>
              </w:rPr>
            </w:pPr>
            <w:r>
              <w:rPr>
                <w:sz w:val="24"/>
              </w:rPr>
              <w:t>7,37 ± 0,102</w:t>
            </w:r>
          </w:p>
        </w:tc>
        <w:tc>
          <w:tcPr>
            <w:tcW w:w="3512" w:type="dxa"/>
            <w:gridSpan w:val="3"/>
          </w:tcPr>
          <w:p>
            <w:pPr>
              <w:pStyle w:val="TableParagraph"/>
              <w:spacing w:line="258" w:lineRule="exact"/>
              <w:ind w:left="1003"/>
              <w:rPr>
                <w:sz w:val="24"/>
              </w:rPr>
            </w:pPr>
            <w:r>
              <w:rPr>
                <w:sz w:val="24"/>
              </w:rPr>
              <w:t>8,11 ± 0,132***</w:t>
            </w:r>
          </w:p>
        </w:tc>
      </w:tr>
      <w:tr>
        <w:trPr>
          <w:trHeight w:val="273" w:hRule="atLeast"/>
        </w:trPr>
        <w:tc>
          <w:tcPr>
            <w:tcW w:w="3169" w:type="dxa"/>
          </w:tcPr>
          <w:p>
            <w:pPr>
              <w:pStyle w:val="TableParagraph"/>
              <w:spacing w:line="253" w:lineRule="exact"/>
              <w:ind w:left="1186" w:right="1148"/>
              <w:jc w:val="center"/>
              <w:rPr>
                <w:sz w:val="24"/>
              </w:rPr>
            </w:pPr>
            <w:r>
              <w:rPr>
                <w:sz w:val="24"/>
              </w:rPr>
              <w:t>42</w:t>
            </w:r>
          </w:p>
        </w:tc>
        <w:tc>
          <w:tcPr>
            <w:tcW w:w="3213" w:type="dxa"/>
          </w:tcPr>
          <w:p>
            <w:pPr>
              <w:pStyle w:val="TableParagraph"/>
              <w:spacing w:line="253" w:lineRule="exact"/>
              <w:ind w:right="974"/>
              <w:jc w:val="right"/>
              <w:rPr>
                <w:sz w:val="24"/>
              </w:rPr>
            </w:pPr>
            <w:r>
              <w:rPr>
                <w:sz w:val="24"/>
              </w:rPr>
              <w:t>5,73 ± 0,101</w:t>
            </w:r>
          </w:p>
        </w:tc>
        <w:tc>
          <w:tcPr>
            <w:tcW w:w="3512" w:type="dxa"/>
            <w:gridSpan w:val="3"/>
          </w:tcPr>
          <w:p>
            <w:pPr>
              <w:pStyle w:val="TableParagraph"/>
              <w:spacing w:line="253" w:lineRule="exact"/>
              <w:ind w:left="1151"/>
              <w:rPr>
                <w:sz w:val="24"/>
              </w:rPr>
            </w:pPr>
            <w:r>
              <w:rPr>
                <w:sz w:val="24"/>
              </w:rPr>
              <w:t>5,93 ± 0,110</w:t>
            </w:r>
          </w:p>
        </w:tc>
      </w:tr>
      <w:tr>
        <w:trPr>
          <w:trHeight w:val="277" w:hRule="atLeast"/>
        </w:trPr>
        <w:tc>
          <w:tcPr>
            <w:tcW w:w="3169" w:type="dxa"/>
          </w:tcPr>
          <w:p>
            <w:pPr>
              <w:pStyle w:val="TableParagraph"/>
              <w:spacing w:line="258" w:lineRule="exact"/>
              <w:ind w:left="1186" w:right="1148"/>
              <w:jc w:val="center"/>
              <w:rPr>
                <w:sz w:val="24"/>
              </w:rPr>
            </w:pPr>
            <w:r>
              <w:rPr>
                <w:sz w:val="24"/>
              </w:rPr>
              <w:t>49</w:t>
            </w:r>
          </w:p>
        </w:tc>
        <w:tc>
          <w:tcPr>
            <w:tcW w:w="3213" w:type="dxa"/>
          </w:tcPr>
          <w:p>
            <w:pPr>
              <w:pStyle w:val="TableParagraph"/>
              <w:spacing w:line="258" w:lineRule="exact"/>
              <w:ind w:right="974"/>
              <w:jc w:val="right"/>
              <w:rPr>
                <w:sz w:val="24"/>
              </w:rPr>
            </w:pPr>
            <w:r>
              <w:rPr>
                <w:sz w:val="24"/>
              </w:rPr>
              <w:t>6,01 ± 0,156</w:t>
            </w:r>
          </w:p>
        </w:tc>
        <w:tc>
          <w:tcPr>
            <w:tcW w:w="3512" w:type="dxa"/>
            <w:gridSpan w:val="3"/>
          </w:tcPr>
          <w:p>
            <w:pPr>
              <w:pStyle w:val="TableParagraph"/>
              <w:spacing w:line="258" w:lineRule="exact"/>
              <w:ind w:left="1151"/>
              <w:rPr>
                <w:sz w:val="24"/>
              </w:rPr>
            </w:pPr>
            <w:r>
              <w:rPr>
                <w:sz w:val="24"/>
              </w:rPr>
              <w:t>6,05 ± 0,122</w:t>
            </w:r>
          </w:p>
        </w:tc>
      </w:tr>
      <w:tr>
        <w:trPr>
          <w:trHeight w:val="273" w:hRule="atLeast"/>
        </w:trPr>
        <w:tc>
          <w:tcPr>
            <w:tcW w:w="3169" w:type="dxa"/>
          </w:tcPr>
          <w:p>
            <w:pPr>
              <w:pStyle w:val="TableParagraph"/>
              <w:spacing w:line="253" w:lineRule="exact"/>
              <w:ind w:left="1186" w:right="1148"/>
              <w:jc w:val="center"/>
              <w:rPr>
                <w:sz w:val="24"/>
              </w:rPr>
            </w:pPr>
            <w:r>
              <w:rPr>
                <w:sz w:val="24"/>
              </w:rPr>
              <w:t>56</w:t>
            </w:r>
          </w:p>
        </w:tc>
        <w:tc>
          <w:tcPr>
            <w:tcW w:w="3213" w:type="dxa"/>
          </w:tcPr>
          <w:p>
            <w:pPr>
              <w:pStyle w:val="TableParagraph"/>
              <w:spacing w:line="253" w:lineRule="exact"/>
              <w:ind w:right="974"/>
              <w:jc w:val="right"/>
              <w:rPr>
                <w:sz w:val="24"/>
              </w:rPr>
            </w:pPr>
            <w:r>
              <w:rPr>
                <w:sz w:val="24"/>
              </w:rPr>
              <w:t>4,71 ± 0,131</w:t>
            </w:r>
          </w:p>
        </w:tc>
        <w:tc>
          <w:tcPr>
            <w:tcW w:w="3512" w:type="dxa"/>
            <w:gridSpan w:val="3"/>
          </w:tcPr>
          <w:p>
            <w:pPr>
              <w:pStyle w:val="TableParagraph"/>
              <w:spacing w:line="253" w:lineRule="exact"/>
              <w:ind w:left="1123"/>
              <w:rPr>
                <w:sz w:val="24"/>
              </w:rPr>
            </w:pPr>
            <w:r>
              <w:rPr>
                <w:sz w:val="24"/>
              </w:rPr>
              <w:t>4,35 ± 0,078*</w:t>
            </w:r>
          </w:p>
        </w:tc>
      </w:tr>
      <w:tr>
        <w:trPr>
          <w:trHeight w:val="277" w:hRule="atLeast"/>
        </w:trPr>
        <w:tc>
          <w:tcPr>
            <w:tcW w:w="3169" w:type="dxa"/>
          </w:tcPr>
          <w:p>
            <w:pPr>
              <w:pStyle w:val="TableParagraph"/>
              <w:spacing w:line="258" w:lineRule="exact"/>
              <w:ind w:left="110"/>
              <w:rPr>
                <w:sz w:val="24"/>
              </w:rPr>
            </w:pPr>
            <w:r>
              <w:rPr>
                <w:sz w:val="24"/>
              </w:rPr>
              <w:t>У середньому</w:t>
            </w:r>
          </w:p>
        </w:tc>
        <w:tc>
          <w:tcPr>
            <w:tcW w:w="3213" w:type="dxa"/>
          </w:tcPr>
          <w:p>
            <w:pPr>
              <w:pStyle w:val="TableParagraph"/>
              <w:spacing w:line="258" w:lineRule="exact"/>
              <w:ind w:right="916"/>
              <w:jc w:val="right"/>
              <w:rPr>
                <w:sz w:val="24"/>
              </w:rPr>
            </w:pPr>
            <w:r>
              <w:rPr>
                <w:sz w:val="24"/>
              </w:rPr>
              <w:t>5,130 ± 0,012</w:t>
            </w:r>
          </w:p>
        </w:tc>
        <w:tc>
          <w:tcPr>
            <w:tcW w:w="3512" w:type="dxa"/>
            <w:gridSpan w:val="3"/>
          </w:tcPr>
          <w:p>
            <w:pPr>
              <w:pStyle w:val="TableParagraph"/>
              <w:spacing w:line="258" w:lineRule="exact"/>
              <w:ind w:left="1003"/>
              <w:rPr>
                <w:sz w:val="24"/>
              </w:rPr>
            </w:pPr>
            <w:r>
              <w:rPr>
                <w:sz w:val="24"/>
              </w:rPr>
              <w:t>5,38 ± 0,012***</w:t>
            </w:r>
          </w:p>
        </w:tc>
      </w:tr>
      <w:tr>
        <w:trPr>
          <w:trHeight w:val="964" w:hRule="atLeast"/>
        </w:trPr>
        <w:tc>
          <w:tcPr>
            <w:tcW w:w="9668" w:type="dxa"/>
            <w:gridSpan w:val="4"/>
            <w:tcBorders>
              <w:left w:val="nil"/>
              <w:right w:val="nil"/>
            </w:tcBorders>
            <w:shd w:val="clear" w:color="auto" w:fill="F8F8F9"/>
          </w:tcPr>
          <w:p>
            <w:pPr>
              <w:pStyle w:val="TableParagraph"/>
              <w:spacing w:before="8"/>
              <w:rPr>
                <w:sz w:val="27"/>
              </w:rPr>
            </w:pPr>
          </w:p>
          <w:p>
            <w:pPr>
              <w:pStyle w:val="TableParagraph"/>
              <w:spacing w:line="322" w:lineRule="exact"/>
              <w:ind w:firstLine="710"/>
              <w:rPr>
                <w:sz w:val="28"/>
              </w:rPr>
            </w:pPr>
            <w:r>
              <w:rPr>
                <w:sz w:val="28"/>
              </w:rPr>
              <w:t>Таблиця 5. Показники збереженості перепелів за використання в годівлі кормової добавки на основі бджолиного підмору, %</w:t>
            </w:r>
          </w:p>
        </w:tc>
        <w:tc>
          <w:tcPr>
            <w:tcW w:w="226" w:type="dxa"/>
            <w:tcBorders>
              <w:left w:val="nil"/>
              <w:bottom w:val="nil"/>
              <w:right w:val="nil"/>
            </w:tcBorders>
          </w:tcPr>
          <w:p>
            <w:pPr>
              <w:pStyle w:val="TableParagraph"/>
              <w:rPr>
                <w:sz w:val="26"/>
              </w:rPr>
            </w:pPr>
          </w:p>
        </w:tc>
      </w:tr>
      <w:tr>
        <w:trPr>
          <w:trHeight w:val="383" w:hRule="atLeast"/>
        </w:trPr>
        <w:tc>
          <w:tcPr>
            <w:tcW w:w="3169" w:type="dxa"/>
          </w:tcPr>
          <w:p>
            <w:pPr>
              <w:pStyle w:val="TableParagraph"/>
              <w:spacing w:line="268" w:lineRule="exact"/>
              <w:ind w:left="1148" w:right="1157"/>
              <w:jc w:val="center"/>
              <w:rPr>
                <w:sz w:val="24"/>
              </w:rPr>
            </w:pPr>
            <w:r>
              <w:rPr>
                <w:sz w:val="24"/>
              </w:rPr>
              <w:t>Групи</w:t>
            </w:r>
          </w:p>
        </w:tc>
        <w:tc>
          <w:tcPr>
            <w:tcW w:w="6407" w:type="dxa"/>
            <w:gridSpan w:val="2"/>
            <w:tcBorders>
              <w:right w:val="single" w:sz="6" w:space="0" w:color="000000"/>
            </w:tcBorders>
          </w:tcPr>
          <w:p>
            <w:pPr>
              <w:pStyle w:val="TableParagraph"/>
              <w:spacing w:line="268" w:lineRule="exact"/>
              <w:ind w:left="1267"/>
              <w:rPr>
                <w:sz w:val="24"/>
              </w:rPr>
            </w:pPr>
            <w:r>
              <w:rPr>
                <w:sz w:val="24"/>
              </w:rPr>
              <w:t>% збереженості молодняку перепелів</w:t>
            </w:r>
          </w:p>
        </w:tc>
        <w:tc>
          <w:tcPr>
            <w:tcW w:w="318" w:type="dxa"/>
            <w:gridSpan w:val="2"/>
            <w:vMerge w:val="restart"/>
            <w:tcBorders>
              <w:top w:val="nil"/>
              <w:left w:val="single" w:sz="6" w:space="0" w:color="000000"/>
              <w:bottom w:val="nil"/>
              <w:right w:val="nil"/>
            </w:tcBorders>
          </w:tcPr>
          <w:p>
            <w:pPr>
              <w:pStyle w:val="TableParagraph"/>
              <w:rPr>
                <w:sz w:val="26"/>
              </w:rPr>
            </w:pPr>
          </w:p>
        </w:tc>
      </w:tr>
      <w:tr>
        <w:trPr>
          <w:trHeight w:val="273" w:hRule="atLeast"/>
        </w:trPr>
        <w:tc>
          <w:tcPr>
            <w:tcW w:w="3169" w:type="dxa"/>
          </w:tcPr>
          <w:p>
            <w:pPr>
              <w:pStyle w:val="TableParagraph"/>
              <w:spacing w:line="253" w:lineRule="exact"/>
              <w:ind w:left="110"/>
              <w:rPr>
                <w:sz w:val="24"/>
              </w:rPr>
            </w:pPr>
            <w:r>
              <w:rPr>
                <w:sz w:val="24"/>
              </w:rPr>
              <w:t>1 - контрольна група</w:t>
            </w:r>
          </w:p>
        </w:tc>
        <w:tc>
          <w:tcPr>
            <w:tcW w:w="6407" w:type="dxa"/>
            <w:gridSpan w:val="2"/>
            <w:tcBorders>
              <w:right w:val="single" w:sz="6" w:space="0" w:color="000000"/>
            </w:tcBorders>
          </w:tcPr>
          <w:p>
            <w:pPr>
              <w:pStyle w:val="TableParagraph"/>
              <w:spacing w:line="253" w:lineRule="exact"/>
              <w:ind w:left="3049" w:right="3064"/>
              <w:jc w:val="center"/>
              <w:rPr>
                <w:sz w:val="24"/>
              </w:rPr>
            </w:pPr>
            <w:r>
              <w:rPr>
                <w:sz w:val="24"/>
              </w:rPr>
              <w:t>91</w:t>
            </w:r>
          </w:p>
        </w:tc>
        <w:tc>
          <w:tcPr>
            <w:tcW w:w="318" w:type="dxa"/>
            <w:gridSpan w:val="2"/>
            <w:vMerge/>
            <w:tcBorders>
              <w:top w:val="nil"/>
              <w:left w:val="single" w:sz="6" w:space="0" w:color="000000"/>
              <w:bottom w:val="nil"/>
              <w:right w:val="nil"/>
            </w:tcBorders>
          </w:tcPr>
          <w:p>
            <w:pPr>
              <w:rPr>
                <w:sz w:val="2"/>
                <w:szCs w:val="2"/>
              </w:rPr>
            </w:pPr>
          </w:p>
        </w:tc>
      </w:tr>
      <w:tr>
        <w:trPr>
          <w:trHeight w:val="277" w:hRule="atLeast"/>
        </w:trPr>
        <w:tc>
          <w:tcPr>
            <w:tcW w:w="3169" w:type="dxa"/>
          </w:tcPr>
          <w:p>
            <w:pPr>
              <w:pStyle w:val="TableParagraph"/>
              <w:spacing w:line="258" w:lineRule="exact"/>
              <w:ind w:left="110"/>
              <w:rPr>
                <w:sz w:val="24"/>
              </w:rPr>
            </w:pPr>
            <w:r>
              <w:rPr>
                <w:sz w:val="24"/>
              </w:rPr>
              <w:t>2 - дослідна група</w:t>
            </w:r>
          </w:p>
        </w:tc>
        <w:tc>
          <w:tcPr>
            <w:tcW w:w="6407" w:type="dxa"/>
            <w:gridSpan w:val="2"/>
            <w:tcBorders>
              <w:right w:val="single" w:sz="6" w:space="0" w:color="000000"/>
            </w:tcBorders>
          </w:tcPr>
          <w:p>
            <w:pPr>
              <w:pStyle w:val="TableParagraph"/>
              <w:spacing w:line="258" w:lineRule="exact"/>
              <w:ind w:left="3049" w:right="3064"/>
              <w:jc w:val="center"/>
              <w:rPr>
                <w:sz w:val="24"/>
              </w:rPr>
            </w:pPr>
            <w:r>
              <w:rPr>
                <w:sz w:val="24"/>
              </w:rPr>
              <w:t>97</w:t>
            </w:r>
          </w:p>
        </w:tc>
        <w:tc>
          <w:tcPr>
            <w:tcW w:w="318" w:type="dxa"/>
            <w:gridSpan w:val="2"/>
            <w:vMerge/>
            <w:tcBorders>
              <w:top w:val="nil"/>
              <w:left w:val="single" w:sz="6" w:space="0" w:color="000000"/>
              <w:bottom w:val="nil"/>
              <w:right w:val="nil"/>
            </w:tcBorders>
          </w:tcPr>
          <w:p>
            <w:pPr>
              <w:rPr>
                <w:sz w:val="2"/>
                <w:szCs w:val="2"/>
              </w:rPr>
            </w:pPr>
          </w:p>
        </w:tc>
      </w:tr>
      <w:tr>
        <w:trPr>
          <w:trHeight w:val="1930" w:hRule="atLeast"/>
        </w:trPr>
        <w:tc>
          <w:tcPr>
            <w:tcW w:w="9668" w:type="dxa"/>
            <w:gridSpan w:val="4"/>
            <w:tcBorders>
              <w:left w:val="nil"/>
              <w:bottom w:val="nil"/>
              <w:right w:val="nil"/>
            </w:tcBorders>
            <w:shd w:val="clear" w:color="auto" w:fill="F8F8F9"/>
          </w:tcPr>
          <w:p>
            <w:pPr>
              <w:pStyle w:val="TableParagraph"/>
              <w:spacing w:before="8"/>
              <w:rPr>
                <w:sz w:val="27"/>
              </w:rPr>
            </w:pPr>
          </w:p>
          <w:p>
            <w:pPr>
              <w:pStyle w:val="TableParagraph"/>
              <w:spacing w:line="322" w:lineRule="exact"/>
              <w:ind w:right="32" w:firstLine="710"/>
              <w:jc w:val="both"/>
              <w:rPr>
                <w:sz w:val="28"/>
              </w:rPr>
            </w:pPr>
            <w:r>
              <w:rPr>
                <w:sz w:val="28"/>
              </w:rPr>
              <w:t>Так аналіз таблиці 5 говорить, що збереженість перепелів у </w:t>
            </w:r>
            <w:r>
              <w:rPr>
                <w:spacing w:val="3"/>
                <w:sz w:val="28"/>
              </w:rPr>
              <w:t>2-й </w:t>
            </w:r>
            <w:r>
              <w:rPr>
                <w:sz w:val="28"/>
              </w:rPr>
              <w:t>дослідній групі була вища відповідно на 6,0 %, це гарний показник, який говорить про ефективність</w:t>
            </w:r>
            <w:r>
              <w:rPr>
                <w:spacing w:val="-16"/>
                <w:sz w:val="28"/>
              </w:rPr>
              <w:t> </w:t>
            </w:r>
            <w:r>
              <w:rPr>
                <w:sz w:val="28"/>
              </w:rPr>
              <w:t>згодовування</w:t>
            </w:r>
            <w:r>
              <w:rPr>
                <w:spacing w:val="-16"/>
                <w:sz w:val="28"/>
              </w:rPr>
              <w:t> </w:t>
            </w:r>
            <w:r>
              <w:rPr>
                <w:sz w:val="28"/>
              </w:rPr>
              <w:t>цієї</w:t>
            </w:r>
            <w:r>
              <w:rPr>
                <w:spacing w:val="-20"/>
                <w:sz w:val="28"/>
              </w:rPr>
              <w:t> </w:t>
            </w:r>
            <w:r>
              <w:rPr>
                <w:sz w:val="28"/>
              </w:rPr>
              <w:t>добавки.</w:t>
            </w:r>
            <w:r>
              <w:rPr>
                <w:spacing w:val="-14"/>
                <w:sz w:val="28"/>
              </w:rPr>
              <w:t> </w:t>
            </w:r>
            <w:r>
              <w:rPr>
                <w:sz w:val="28"/>
              </w:rPr>
              <w:t>Економічну</w:t>
            </w:r>
            <w:r>
              <w:rPr>
                <w:spacing w:val="-20"/>
                <w:sz w:val="28"/>
              </w:rPr>
              <w:t> </w:t>
            </w:r>
            <w:r>
              <w:rPr>
                <w:sz w:val="28"/>
              </w:rPr>
              <w:t>ефективність</w:t>
            </w:r>
            <w:r>
              <w:rPr>
                <w:spacing w:val="-18"/>
                <w:sz w:val="28"/>
              </w:rPr>
              <w:t> </w:t>
            </w:r>
            <w:r>
              <w:rPr>
                <w:sz w:val="28"/>
              </w:rPr>
              <w:t>використання кормової добавки на основі бджолиного підмору здійснювали за результатами вирощування молодняку перепелів на м’ясо (таблиця</w:t>
            </w:r>
            <w:r>
              <w:rPr>
                <w:spacing w:val="-2"/>
                <w:sz w:val="28"/>
              </w:rPr>
              <w:t> </w:t>
            </w:r>
            <w:r>
              <w:rPr>
                <w:sz w:val="28"/>
              </w:rPr>
              <w:t>6).</w:t>
            </w:r>
          </w:p>
        </w:tc>
        <w:tc>
          <w:tcPr>
            <w:tcW w:w="226" w:type="dxa"/>
            <w:tcBorders>
              <w:top w:val="nil"/>
              <w:left w:val="nil"/>
              <w:bottom w:val="nil"/>
              <w:right w:val="nil"/>
            </w:tcBorders>
          </w:tcPr>
          <w:p>
            <w:pPr>
              <w:pStyle w:val="TableParagraph"/>
              <w:rPr>
                <w:sz w:val="26"/>
              </w:rPr>
            </w:pPr>
          </w:p>
        </w:tc>
      </w:tr>
    </w:tbl>
    <w:p>
      <w:pPr>
        <w:pStyle w:val="BodyText"/>
        <w:spacing w:line="316" w:lineRule="exact" w:after="7"/>
        <w:ind w:left="903"/>
        <w:jc w:val="left"/>
      </w:pPr>
      <w:r>
        <w:rPr/>
        <w:t>Таблиця 6. Економічна ефективність вирощування молодняку перепелів</w:t>
      </w:r>
    </w:p>
    <w:tbl>
      <w:tblPr>
        <w:tblW w:w="0" w:type="auto"/>
        <w:jc w:val="left"/>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43"/>
        <w:gridCol w:w="1969"/>
        <w:gridCol w:w="2411"/>
      </w:tblGrid>
      <w:tr>
        <w:trPr>
          <w:trHeight w:val="277" w:hRule="atLeast"/>
        </w:trPr>
        <w:tc>
          <w:tcPr>
            <w:tcW w:w="5143" w:type="dxa"/>
            <w:vMerge w:val="restart"/>
          </w:tcPr>
          <w:p>
            <w:pPr>
              <w:pStyle w:val="TableParagraph"/>
              <w:spacing w:line="273" w:lineRule="exact"/>
              <w:ind w:left="1993" w:right="1986"/>
              <w:jc w:val="center"/>
              <w:rPr>
                <w:sz w:val="24"/>
              </w:rPr>
            </w:pPr>
            <w:r>
              <w:rPr>
                <w:sz w:val="24"/>
              </w:rPr>
              <w:t>Показники</w:t>
            </w:r>
          </w:p>
        </w:tc>
        <w:tc>
          <w:tcPr>
            <w:tcW w:w="4380" w:type="dxa"/>
            <w:gridSpan w:val="2"/>
          </w:tcPr>
          <w:p>
            <w:pPr>
              <w:pStyle w:val="TableParagraph"/>
              <w:spacing w:line="258" w:lineRule="exact"/>
              <w:ind w:left="1868" w:right="1866"/>
              <w:jc w:val="center"/>
              <w:rPr>
                <w:sz w:val="24"/>
              </w:rPr>
            </w:pPr>
            <w:r>
              <w:rPr>
                <w:sz w:val="24"/>
              </w:rPr>
              <w:t>групи</w:t>
            </w:r>
          </w:p>
        </w:tc>
      </w:tr>
      <w:tr>
        <w:trPr>
          <w:trHeight w:val="277" w:hRule="atLeast"/>
        </w:trPr>
        <w:tc>
          <w:tcPr>
            <w:tcW w:w="5143" w:type="dxa"/>
            <w:vMerge/>
            <w:tcBorders>
              <w:top w:val="nil"/>
            </w:tcBorders>
          </w:tcPr>
          <w:p>
            <w:pPr>
              <w:rPr>
                <w:sz w:val="2"/>
                <w:szCs w:val="2"/>
              </w:rPr>
            </w:pPr>
          </w:p>
        </w:tc>
        <w:tc>
          <w:tcPr>
            <w:tcW w:w="1969" w:type="dxa"/>
          </w:tcPr>
          <w:p>
            <w:pPr>
              <w:pStyle w:val="TableParagraph"/>
              <w:spacing w:line="258" w:lineRule="exact"/>
              <w:ind w:left="288" w:right="276"/>
              <w:jc w:val="center"/>
              <w:rPr>
                <w:sz w:val="24"/>
              </w:rPr>
            </w:pPr>
            <w:r>
              <w:rPr>
                <w:sz w:val="24"/>
              </w:rPr>
              <w:t>1 контрольна</w:t>
            </w:r>
          </w:p>
        </w:tc>
        <w:tc>
          <w:tcPr>
            <w:tcW w:w="2411" w:type="dxa"/>
          </w:tcPr>
          <w:p>
            <w:pPr>
              <w:pStyle w:val="TableParagraph"/>
              <w:spacing w:line="258" w:lineRule="exact"/>
              <w:ind w:left="647" w:right="640"/>
              <w:jc w:val="center"/>
              <w:rPr>
                <w:sz w:val="24"/>
              </w:rPr>
            </w:pPr>
            <w:r>
              <w:rPr>
                <w:sz w:val="24"/>
              </w:rPr>
              <w:t>2 дослідна</w:t>
            </w:r>
          </w:p>
        </w:tc>
      </w:tr>
      <w:tr>
        <w:trPr>
          <w:trHeight w:val="273" w:hRule="atLeast"/>
        </w:trPr>
        <w:tc>
          <w:tcPr>
            <w:tcW w:w="5143" w:type="dxa"/>
          </w:tcPr>
          <w:p>
            <w:pPr>
              <w:pStyle w:val="TableParagraph"/>
              <w:spacing w:line="253" w:lineRule="exact"/>
              <w:ind w:left="105"/>
              <w:rPr>
                <w:sz w:val="24"/>
              </w:rPr>
            </w:pPr>
            <w:r>
              <w:rPr>
                <w:sz w:val="24"/>
              </w:rPr>
              <w:t>Поголів’я перепелів, голів</w:t>
            </w:r>
          </w:p>
        </w:tc>
        <w:tc>
          <w:tcPr>
            <w:tcW w:w="1969" w:type="dxa"/>
          </w:tcPr>
          <w:p>
            <w:pPr>
              <w:pStyle w:val="TableParagraph"/>
              <w:spacing w:line="253" w:lineRule="exact"/>
              <w:ind w:left="288" w:right="275"/>
              <w:jc w:val="center"/>
              <w:rPr>
                <w:sz w:val="24"/>
              </w:rPr>
            </w:pPr>
            <w:r>
              <w:rPr>
                <w:sz w:val="24"/>
              </w:rPr>
              <w:t>100</w:t>
            </w:r>
          </w:p>
        </w:tc>
        <w:tc>
          <w:tcPr>
            <w:tcW w:w="2411" w:type="dxa"/>
          </w:tcPr>
          <w:p>
            <w:pPr>
              <w:pStyle w:val="TableParagraph"/>
              <w:spacing w:line="253" w:lineRule="exact"/>
              <w:ind w:left="647" w:right="635"/>
              <w:jc w:val="center"/>
              <w:rPr>
                <w:sz w:val="24"/>
              </w:rPr>
            </w:pPr>
            <w:r>
              <w:rPr>
                <w:sz w:val="24"/>
              </w:rPr>
              <w:t>100</w:t>
            </w:r>
          </w:p>
        </w:tc>
      </w:tr>
      <w:tr>
        <w:trPr>
          <w:trHeight w:val="277" w:hRule="atLeast"/>
        </w:trPr>
        <w:tc>
          <w:tcPr>
            <w:tcW w:w="5143" w:type="dxa"/>
          </w:tcPr>
          <w:p>
            <w:pPr>
              <w:pStyle w:val="TableParagraph"/>
              <w:spacing w:line="258" w:lineRule="exact"/>
              <w:ind w:left="105"/>
              <w:rPr>
                <w:sz w:val="24"/>
              </w:rPr>
            </w:pPr>
            <w:r>
              <w:rPr>
                <w:sz w:val="24"/>
              </w:rPr>
              <w:t>Збереженість поголів’я, %</w:t>
            </w:r>
          </w:p>
        </w:tc>
        <w:tc>
          <w:tcPr>
            <w:tcW w:w="1969" w:type="dxa"/>
          </w:tcPr>
          <w:p>
            <w:pPr>
              <w:pStyle w:val="TableParagraph"/>
              <w:spacing w:line="258" w:lineRule="exact"/>
              <w:ind w:left="284" w:right="276"/>
              <w:jc w:val="center"/>
              <w:rPr>
                <w:sz w:val="24"/>
              </w:rPr>
            </w:pPr>
            <w:r>
              <w:rPr>
                <w:sz w:val="24"/>
              </w:rPr>
              <w:t>92</w:t>
            </w:r>
          </w:p>
        </w:tc>
        <w:tc>
          <w:tcPr>
            <w:tcW w:w="2411" w:type="dxa"/>
          </w:tcPr>
          <w:p>
            <w:pPr>
              <w:pStyle w:val="TableParagraph"/>
              <w:spacing w:line="258" w:lineRule="exact"/>
              <w:ind w:left="647" w:right="640"/>
              <w:jc w:val="center"/>
              <w:rPr>
                <w:sz w:val="24"/>
              </w:rPr>
            </w:pPr>
            <w:r>
              <w:rPr>
                <w:sz w:val="24"/>
              </w:rPr>
              <w:t>98</w:t>
            </w:r>
          </w:p>
        </w:tc>
      </w:tr>
      <w:tr>
        <w:trPr>
          <w:trHeight w:val="273" w:hRule="atLeast"/>
        </w:trPr>
        <w:tc>
          <w:tcPr>
            <w:tcW w:w="5143" w:type="dxa"/>
          </w:tcPr>
          <w:p>
            <w:pPr>
              <w:pStyle w:val="TableParagraph"/>
              <w:spacing w:line="253" w:lineRule="exact"/>
              <w:ind w:left="105"/>
              <w:rPr>
                <w:sz w:val="24"/>
              </w:rPr>
            </w:pPr>
            <w:r>
              <w:rPr>
                <w:sz w:val="24"/>
              </w:rPr>
              <w:t>Валовий приріст живої маси, кг</w:t>
            </w:r>
          </w:p>
        </w:tc>
        <w:tc>
          <w:tcPr>
            <w:tcW w:w="1969" w:type="dxa"/>
          </w:tcPr>
          <w:p>
            <w:pPr>
              <w:pStyle w:val="TableParagraph"/>
              <w:spacing w:line="253" w:lineRule="exact"/>
              <w:ind w:left="288" w:right="275"/>
              <w:jc w:val="center"/>
              <w:rPr>
                <w:sz w:val="24"/>
              </w:rPr>
            </w:pPr>
            <w:r>
              <w:rPr>
                <w:sz w:val="24"/>
              </w:rPr>
              <w:t>23,47</w:t>
            </w:r>
          </w:p>
        </w:tc>
        <w:tc>
          <w:tcPr>
            <w:tcW w:w="2411" w:type="dxa"/>
          </w:tcPr>
          <w:p>
            <w:pPr>
              <w:pStyle w:val="TableParagraph"/>
              <w:spacing w:line="253" w:lineRule="exact"/>
              <w:ind w:left="647" w:right="635"/>
              <w:jc w:val="center"/>
              <w:rPr>
                <w:sz w:val="24"/>
              </w:rPr>
            </w:pPr>
            <w:r>
              <w:rPr>
                <w:sz w:val="24"/>
              </w:rPr>
              <w:t>26,23</w:t>
            </w:r>
          </w:p>
        </w:tc>
      </w:tr>
      <w:tr>
        <w:trPr>
          <w:trHeight w:val="278" w:hRule="atLeast"/>
        </w:trPr>
        <w:tc>
          <w:tcPr>
            <w:tcW w:w="5143" w:type="dxa"/>
          </w:tcPr>
          <w:p>
            <w:pPr>
              <w:pStyle w:val="TableParagraph"/>
              <w:spacing w:line="258" w:lineRule="exact"/>
              <w:ind w:left="105"/>
              <w:rPr>
                <w:sz w:val="24"/>
              </w:rPr>
            </w:pPr>
            <w:r>
              <w:rPr>
                <w:sz w:val="24"/>
              </w:rPr>
              <w:t>Одержано тушок, кг</w:t>
            </w:r>
          </w:p>
        </w:tc>
        <w:tc>
          <w:tcPr>
            <w:tcW w:w="1969" w:type="dxa"/>
          </w:tcPr>
          <w:p>
            <w:pPr>
              <w:pStyle w:val="TableParagraph"/>
              <w:spacing w:line="258" w:lineRule="exact"/>
              <w:ind w:left="288" w:right="275"/>
              <w:jc w:val="center"/>
              <w:rPr>
                <w:sz w:val="24"/>
              </w:rPr>
            </w:pPr>
            <w:r>
              <w:rPr>
                <w:sz w:val="24"/>
              </w:rPr>
              <w:t>15,32</w:t>
            </w:r>
          </w:p>
        </w:tc>
        <w:tc>
          <w:tcPr>
            <w:tcW w:w="2411" w:type="dxa"/>
          </w:tcPr>
          <w:p>
            <w:pPr>
              <w:pStyle w:val="TableParagraph"/>
              <w:spacing w:line="258" w:lineRule="exact"/>
              <w:ind w:left="647" w:right="635"/>
              <w:jc w:val="center"/>
              <w:rPr>
                <w:sz w:val="24"/>
              </w:rPr>
            </w:pPr>
            <w:r>
              <w:rPr>
                <w:sz w:val="24"/>
              </w:rPr>
              <w:t>17,45</w:t>
            </w:r>
          </w:p>
        </w:tc>
      </w:tr>
      <w:tr>
        <w:trPr>
          <w:trHeight w:val="277" w:hRule="atLeast"/>
        </w:trPr>
        <w:tc>
          <w:tcPr>
            <w:tcW w:w="5143" w:type="dxa"/>
          </w:tcPr>
          <w:p>
            <w:pPr>
              <w:pStyle w:val="TableParagraph"/>
              <w:spacing w:line="258" w:lineRule="exact"/>
              <w:ind w:left="105"/>
              <w:rPr>
                <w:sz w:val="24"/>
              </w:rPr>
            </w:pPr>
            <w:r>
              <w:rPr>
                <w:sz w:val="24"/>
              </w:rPr>
              <w:t>Витрати корму на 1 кг приросту, кг</w:t>
            </w:r>
          </w:p>
        </w:tc>
        <w:tc>
          <w:tcPr>
            <w:tcW w:w="1969" w:type="dxa"/>
          </w:tcPr>
          <w:p>
            <w:pPr>
              <w:pStyle w:val="TableParagraph"/>
              <w:spacing w:line="258" w:lineRule="exact"/>
              <w:ind w:left="288" w:right="270"/>
              <w:jc w:val="center"/>
              <w:rPr>
                <w:sz w:val="24"/>
              </w:rPr>
            </w:pPr>
            <w:r>
              <w:rPr>
                <w:sz w:val="24"/>
              </w:rPr>
              <w:t>3,88</w:t>
            </w:r>
          </w:p>
        </w:tc>
        <w:tc>
          <w:tcPr>
            <w:tcW w:w="2411" w:type="dxa"/>
          </w:tcPr>
          <w:p>
            <w:pPr>
              <w:pStyle w:val="TableParagraph"/>
              <w:spacing w:line="258" w:lineRule="exact"/>
              <w:ind w:left="647" w:right="635"/>
              <w:jc w:val="center"/>
              <w:rPr>
                <w:sz w:val="24"/>
              </w:rPr>
            </w:pPr>
            <w:r>
              <w:rPr>
                <w:sz w:val="24"/>
              </w:rPr>
              <w:t>3,710</w:t>
            </w:r>
          </w:p>
        </w:tc>
      </w:tr>
      <w:tr>
        <w:trPr>
          <w:trHeight w:val="273" w:hRule="atLeast"/>
        </w:trPr>
        <w:tc>
          <w:tcPr>
            <w:tcW w:w="5143" w:type="dxa"/>
          </w:tcPr>
          <w:p>
            <w:pPr>
              <w:pStyle w:val="TableParagraph"/>
              <w:spacing w:line="253" w:lineRule="exact"/>
              <w:ind w:left="105"/>
              <w:rPr>
                <w:sz w:val="24"/>
              </w:rPr>
            </w:pPr>
            <w:r>
              <w:rPr>
                <w:sz w:val="24"/>
              </w:rPr>
              <w:t>Загальна витрата корму, кг</w:t>
            </w:r>
          </w:p>
        </w:tc>
        <w:tc>
          <w:tcPr>
            <w:tcW w:w="1969" w:type="dxa"/>
          </w:tcPr>
          <w:p>
            <w:pPr>
              <w:pStyle w:val="TableParagraph"/>
              <w:spacing w:line="253" w:lineRule="exact"/>
              <w:ind w:left="288" w:right="275"/>
              <w:jc w:val="center"/>
              <w:rPr>
                <w:sz w:val="24"/>
              </w:rPr>
            </w:pPr>
            <w:r>
              <w:rPr>
                <w:sz w:val="24"/>
              </w:rPr>
              <w:t>91,07</w:t>
            </w:r>
          </w:p>
        </w:tc>
        <w:tc>
          <w:tcPr>
            <w:tcW w:w="2411" w:type="dxa"/>
          </w:tcPr>
          <w:p>
            <w:pPr>
              <w:pStyle w:val="TableParagraph"/>
              <w:spacing w:line="253" w:lineRule="exact"/>
              <w:ind w:left="647" w:right="635"/>
              <w:jc w:val="center"/>
              <w:rPr>
                <w:sz w:val="24"/>
              </w:rPr>
            </w:pPr>
            <w:r>
              <w:rPr>
                <w:sz w:val="24"/>
              </w:rPr>
              <w:t>97,33</w:t>
            </w:r>
          </w:p>
        </w:tc>
      </w:tr>
      <w:tr>
        <w:trPr>
          <w:trHeight w:val="277" w:hRule="atLeast"/>
        </w:trPr>
        <w:tc>
          <w:tcPr>
            <w:tcW w:w="5143" w:type="dxa"/>
          </w:tcPr>
          <w:p>
            <w:pPr>
              <w:pStyle w:val="TableParagraph"/>
              <w:spacing w:line="258" w:lineRule="exact"/>
              <w:ind w:left="105"/>
              <w:rPr>
                <w:sz w:val="24"/>
              </w:rPr>
            </w:pPr>
            <w:r>
              <w:rPr>
                <w:sz w:val="24"/>
              </w:rPr>
              <w:t>Вартість 1 кг корму, грн.</w:t>
            </w:r>
          </w:p>
        </w:tc>
        <w:tc>
          <w:tcPr>
            <w:tcW w:w="1969" w:type="dxa"/>
          </w:tcPr>
          <w:p>
            <w:pPr>
              <w:pStyle w:val="TableParagraph"/>
              <w:spacing w:line="258" w:lineRule="exact"/>
              <w:ind w:left="288" w:right="270"/>
              <w:jc w:val="center"/>
              <w:rPr>
                <w:sz w:val="24"/>
              </w:rPr>
            </w:pPr>
            <w:r>
              <w:rPr>
                <w:sz w:val="24"/>
              </w:rPr>
              <w:t>4,10</w:t>
            </w:r>
          </w:p>
        </w:tc>
        <w:tc>
          <w:tcPr>
            <w:tcW w:w="2411" w:type="dxa"/>
          </w:tcPr>
          <w:p>
            <w:pPr>
              <w:pStyle w:val="TableParagraph"/>
              <w:spacing w:line="258" w:lineRule="exact"/>
              <w:ind w:left="647" w:right="630"/>
              <w:jc w:val="center"/>
              <w:rPr>
                <w:sz w:val="24"/>
              </w:rPr>
            </w:pPr>
            <w:r>
              <w:rPr>
                <w:sz w:val="24"/>
              </w:rPr>
              <w:t>4,18</w:t>
            </w:r>
          </w:p>
        </w:tc>
      </w:tr>
      <w:tr>
        <w:trPr>
          <w:trHeight w:val="273" w:hRule="atLeast"/>
        </w:trPr>
        <w:tc>
          <w:tcPr>
            <w:tcW w:w="5143" w:type="dxa"/>
          </w:tcPr>
          <w:p>
            <w:pPr>
              <w:pStyle w:val="TableParagraph"/>
              <w:spacing w:line="253" w:lineRule="exact"/>
              <w:ind w:left="105"/>
              <w:rPr>
                <w:sz w:val="24"/>
              </w:rPr>
            </w:pPr>
            <w:r>
              <w:rPr>
                <w:sz w:val="24"/>
              </w:rPr>
              <w:t>Загальна вартість кормів, грн.</w:t>
            </w:r>
          </w:p>
        </w:tc>
        <w:tc>
          <w:tcPr>
            <w:tcW w:w="1969" w:type="dxa"/>
          </w:tcPr>
          <w:p>
            <w:pPr>
              <w:pStyle w:val="TableParagraph"/>
              <w:spacing w:line="253" w:lineRule="exact"/>
              <w:ind w:left="288" w:right="270"/>
              <w:jc w:val="center"/>
              <w:rPr>
                <w:sz w:val="24"/>
              </w:rPr>
            </w:pPr>
            <w:r>
              <w:rPr>
                <w:sz w:val="24"/>
              </w:rPr>
              <w:t>373,39</w:t>
            </w:r>
          </w:p>
        </w:tc>
        <w:tc>
          <w:tcPr>
            <w:tcW w:w="2411" w:type="dxa"/>
          </w:tcPr>
          <w:p>
            <w:pPr>
              <w:pStyle w:val="TableParagraph"/>
              <w:spacing w:line="253" w:lineRule="exact"/>
              <w:ind w:left="647" w:right="630"/>
              <w:jc w:val="center"/>
              <w:rPr>
                <w:sz w:val="24"/>
              </w:rPr>
            </w:pPr>
            <w:r>
              <w:rPr>
                <w:sz w:val="24"/>
              </w:rPr>
              <w:t>406,84</w:t>
            </w:r>
          </w:p>
        </w:tc>
      </w:tr>
      <w:tr>
        <w:trPr>
          <w:trHeight w:val="277" w:hRule="atLeast"/>
        </w:trPr>
        <w:tc>
          <w:tcPr>
            <w:tcW w:w="5143" w:type="dxa"/>
          </w:tcPr>
          <w:p>
            <w:pPr>
              <w:pStyle w:val="TableParagraph"/>
              <w:spacing w:line="258" w:lineRule="exact"/>
              <w:ind w:left="105"/>
              <w:rPr>
                <w:sz w:val="24"/>
              </w:rPr>
            </w:pPr>
            <w:r>
              <w:rPr>
                <w:sz w:val="24"/>
              </w:rPr>
              <w:t>Реалізаційна ціна 1 кг тушки, грн.</w:t>
            </w:r>
          </w:p>
        </w:tc>
        <w:tc>
          <w:tcPr>
            <w:tcW w:w="1969" w:type="dxa"/>
          </w:tcPr>
          <w:p>
            <w:pPr>
              <w:pStyle w:val="TableParagraph"/>
              <w:spacing w:line="258" w:lineRule="exact"/>
              <w:ind w:left="288" w:right="275"/>
              <w:jc w:val="center"/>
              <w:rPr>
                <w:sz w:val="24"/>
              </w:rPr>
            </w:pPr>
            <w:r>
              <w:rPr>
                <w:sz w:val="24"/>
              </w:rPr>
              <w:t>55,00</w:t>
            </w:r>
          </w:p>
        </w:tc>
        <w:tc>
          <w:tcPr>
            <w:tcW w:w="2411" w:type="dxa"/>
          </w:tcPr>
          <w:p>
            <w:pPr>
              <w:pStyle w:val="TableParagraph"/>
              <w:spacing w:line="258" w:lineRule="exact"/>
              <w:ind w:left="647" w:right="635"/>
              <w:jc w:val="center"/>
              <w:rPr>
                <w:sz w:val="24"/>
              </w:rPr>
            </w:pPr>
            <w:r>
              <w:rPr>
                <w:sz w:val="24"/>
              </w:rPr>
              <w:t>55,00</w:t>
            </w:r>
          </w:p>
        </w:tc>
      </w:tr>
      <w:tr>
        <w:trPr>
          <w:trHeight w:val="273" w:hRule="atLeast"/>
        </w:trPr>
        <w:tc>
          <w:tcPr>
            <w:tcW w:w="5143" w:type="dxa"/>
          </w:tcPr>
          <w:p>
            <w:pPr>
              <w:pStyle w:val="TableParagraph"/>
              <w:spacing w:line="254" w:lineRule="exact"/>
              <w:ind w:left="105"/>
              <w:rPr>
                <w:sz w:val="24"/>
              </w:rPr>
            </w:pPr>
            <w:r>
              <w:rPr>
                <w:sz w:val="24"/>
              </w:rPr>
              <w:t>Загальні витрати на вирощування, грн.</w:t>
            </w:r>
          </w:p>
        </w:tc>
        <w:tc>
          <w:tcPr>
            <w:tcW w:w="1969" w:type="dxa"/>
          </w:tcPr>
          <w:p>
            <w:pPr>
              <w:pStyle w:val="TableParagraph"/>
              <w:spacing w:line="254" w:lineRule="exact"/>
              <w:ind w:left="288" w:right="270"/>
              <w:jc w:val="center"/>
              <w:rPr>
                <w:sz w:val="24"/>
              </w:rPr>
            </w:pPr>
            <w:r>
              <w:rPr>
                <w:sz w:val="24"/>
              </w:rPr>
              <w:t>533,41</w:t>
            </w:r>
          </w:p>
        </w:tc>
        <w:tc>
          <w:tcPr>
            <w:tcW w:w="2411" w:type="dxa"/>
          </w:tcPr>
          <w:p>
            <w:pPr>
              <w:pStyle w:val="TableParagraph"/>
              <w:spacing w:line="254" w:lineRule="exact"/>
              <w:ind w:left="647" w:right="630"/>
              <w:jc w:val="center"/>
              <w:rPr>
                <w:sz w:val="24"/>
              </w:rPr>
            </w:pPr>
            <w:r>
              <w:rPr>
                <w:sz w:val="24"/>
              </w:rPr>
              <w:t>581,18</w:t>
            </w:r>
          </w:p>
        </w:tc>
      </w:tr>
      <w:tr>
        <w:trPr>
          <w:trHeight w:val="278" w:hRule="atLeast"/>
        </w:trPr>
        <w:tc>
          <w:tcPr>
            <w:tcW w:w="5143" w:type="dxa"/>
          </w:tcPr>
          <w:p>
            <w:pPr>
              <w:pStyle w:val="TableParagraph"/>
              <w:spacing w:line="258" w:lineRule="exact"/>
              <w:ind w:left="105"/>
              <w:rPr>
                <w:sz w:val="24"/>
              </w:rPr>
            </w:pPr>
            <w:r>
              <w:rPr>
                <w:sz w:val="24"/>
              </w:rPr>
              <w:t>Собівартість приросту, грн.</w:t>
            </w:r>
          </w:p>
        </w:tc>
        <w:tc>
          <w:tcPr>
            <w:tcW w:w="1969" w:type="dxa"/>
          </w:tcPr>
          <w:p>
            <w:pPr>
              <w:pStyle w:val="TableParagraph"/>
              <w:spacing w:line="258" w:lineRule="exact"/>
              <w:ind w:left="288" w:right="275"/>
              <w:jc w:val="center"/>
              <w:rPr>
                <w:sz w:val="24"/>
              </w:rPr>
            </w:pPr>
            <w:r>
              <w:rPr>
                <w:sz w:val="24"/>
              </w:rPr>
              <w:t>22,70</w:t>
            </w:r>
          </w:p>
        </w:tc>
        <w:tc>
          <w:tcPr>
            <w:tcW w:w="2411" w:type="dxa"/>
          </w:tcPr>
          <w:p>
            <w:pPr>
              <w:pStyle w:val="TableParagraph"/>
              <w:spacing w:line="258" w:lineRule="exact"/>
              <w:ind w:left="647" w:right="635"/>
              <w:jc w:val="center"/>
              <w:rPr>
                <w:sz w:val="24"/>
              </w:rPr>
            </w:pPr>
            <w:r>
              <w:rPr>
                <w:sz w:val="24"/>
              </w:rPr>
              <w:t>22,10</w:t>
            </w:r>
          </w:p>
        </w:tc>
      </w:tr>
      <w:tr>
        <w:trPr>
          <w:trHeight w:val="277" w:hRule="atLeast"/>
        </w:trPr>
        <w:tc>
          <w:tcPr>
            <w:tcW w:w="5143" w:type="dxa"/>
          </w:tcPr>
          <w:p>
            <w:pPr>
              <w:pStyle w:val="TableParagraph"/>
              <w:spacing w:line="258" w:lineRule="exact"/>
              <w:ind w:left="105"/>
              <w:rPr>
                <w:sz w:val="24"/>
              </w:rPr>
            </w:pPr>
            <w:r>
              <w:rPr>
                <w:sz w:val="24"/>
              </w:rPr>
              <w:t>Виручка від реалізації, грн.</w:t>
            </w:r>
          </w:p>
        </w:tc>
        <w:tc>
          <w:tcPr>
            <w:tcW w:w="1969" w:type="dxa"/>
          </w:tcPr>
          <w:p>
            <w:pPr>
              <w:pStyle w:val="TableParagraph"/>
              <w:spacing w:line="258" w:lineRule="exact"/>
              <w:ind w:left="288" w:right="270"/>
              <w:jc w:val="center"/>
              <w:rPr>
                <w:sz w:val="24"/>
              </w:rPr>
            </w:pPr>
            <w:r>
              <w:rPr>
                <w:sz w:val="24"/>
              </w:rPr>
              <w:t>842,60</w:t>
            </w:r>
          </w:p>
        </w:tc>
        <w:tc>
          <w:tcPr>
            <w:tcW w:w="2411" w:type="dxa"/>
          </w:tcPr>
          <w:p>
            <w:pPr>
              <w:pStyle w:val="TableParagraph"/>
              <w:spacing w:line="258" w:lineRule="exact"/>
              <w:ind w:left="647" w:right="630"/>
              <w:jc w:val="center"/>
              <w:rPr>
                <w:sz w:val="24"/>
              </w:rPr>
            </w:pPr>
            <w:r>
              <w:rPr>
                <w:sz w:val="24"/>
              </w:rPr>
              <w:t>959,75</w:t>
            </w:r>
          </w:p>
        </w:tc>
      </w:tr>
      <w:tr>
        <w:trPr>
          <w:trHeight w:val="273" w:hRule="atLeast"/>
        </w:trPr>
        <w:tc>
          <w:tcPr>
            <w:tcW w:w="5143" w:type="dxa"/>
          </w:tcPr>
          <w:p>
            <w:pPr>
              <w:pStyle w:val="TableParagraph"/>
              <w:spacing w:line="253" w:lineRule="exact"/>
              <w:ind w:left="105"/>
              <w:rPr>
                <w:sz w:val="24"/>
              </w:rPr>
            </w:pPr>
            <w:r>
              <w:rPr>
                <w:sz w:val="24"/>
              </w:rPr>
              <w:t>Прибуток, грн.</w:t>
            </w:r>
          </w:p>
        </w:tc>
        <w:tc>
          <w:tcPr>
            <w:tcW w:w="1969" w:type="dxa"/>
          </w:tcPr>
          <w:p>
            <w:pPr>
              <w:pStyle w:val="TableParagraph"/>
              <w:spacing w:line="253" w:lineRule="exact"/>
              <w:ind w:left="288" w:right="270"/>
              <w:jc w:val="center"/>
              <w:rPr>
                <w:sz w:val="24"/>
              </w:rPr>
            </w:pPr>
            <w:r>
              <w:rPr>
                <w:sz w:val="24"/>
              </w:rPr>
              <w:t>309,29</w:t>
            </w:r>
          </w:p>
        </w:tc>
        <w:tc>
          <w:tcPr>
            <w:tcW w:w="2411" w:type="dxa"/>
          </w:tcPr>
          <w:p>
            <w:pPr>
              <w:pStyle w:val="TableParagraph"/>
              <w:spacing w:line="253" w:lineRule="exact"/>
              <w:ind w:left="647" w:right="630"/>
              <w:jc w:val="center"/>
              <w:rPr>
                <w:sz w:val="24"/>
              </w:rPr>
            </w:pPr>
            <w:r>
              <w:rPr>
                <w:sz w:val="24"/>
              </w:rPr>
              <w:t>378,60</w:t>
            </w:r>
          </w:p>
        </w:tc>
      </w:tr>
      <w:tr>
        <w:trPr>
          <w:trHeight w:val="277" w:hRule="atLeast"/>
        </w:trPr>
        <w:tc>
          <w:tcPr>
            <w:tcW w:w="5143" w:type="dxa"/>
          </w:tcPr>
          <w:p>
            <w:pPr>
              <w:pStyle w:val="TableParagraph"/>
              <w:spacing w:line="258" w:lineRule="exact"/>
              <w:ind w:left="105"/>
              <w:rPr>
                <w:sz w:val="24"/>
              </w:rPr>
            </w:pPr>
            <w:r>
              <w:rPr>
                <w:sz w:val="24"/>
              </w:rPr>
              <w:t>Рівень рентабельності, %</w:t>
            </w:r>
          </w:p>
        </w:tc>
        <w:tc>
          <w:tcPr>
            <w:tcW w:w="1969" w:type="dxa"/>
          </w:tcPr>
          <w:p>
            <w:pPr>
              <w:pStyle w:val="TableParagraph"/>
              <w:spacing w:line="258" w:lineRule="exact"/>
              <w:ind w:left="288" w:right="275"/>
              <w:jc w:val="center"/>
              <w:rPr>
                <w:sz w:val="24"/>
              </w:rPr>
            </w:pPr>
            <w:r>
              <w:rPr>
                <w:sz w:val="24"/>
              </w:rPr>
              <w:t>57,90</w:t>
            </w:r>
          </w:p>
        </w:tc>
        <w:tc>
          <w:tcPr>
            <w:tcW w:w="2411" w:type="dxa"/>
          </w:tcPr>
          <w:p>
            <w:pPr>
              <w:pStyle w:val="TableParagraph"/>
              <w:spacing w:line="258" w:lineRule="exact"/>
              <w:ind w:left="647" w:right="635"/>
              <w:jc w:val="center"/>
              <w:rPr>
                <w:sz w:val="24"/>
              </w:rPr>
            </w:pPr>
            <w:r>
              <w:rPr>
                <w:sz w:val="24"/>
              </w:rPr>
              <w:t>65,10</w:t>
            </w:r>
          </w:p>
        </w:tc>
      </w:tr>
    </w:tbl>
    <w:p>
      <w:pPr>
        <w:pStyle w:val="BodyText"/>
        <w:ind w:right="611" w:firstLine="710"/>
      </w:pPr>
      <w:r>
        <w:rPr/>
        <w:t>Аналіз таблиці 6 свідчить, що використання в годівлі перепелів, м’ясного напрямку продуктивності, кормової добавки на основі підмору бджіл сприяло підвищенню рівня рентабельності у 2-й дослідній групі на 7,2 %. Як показують розрахунки, вирощування молодняку перепелів є прибутковим з рівнем рентабельності від 57,9 до 65,1 %. </w:t>
      </w:r>
      <w:r>
        <w:rPr>
          <w:spacing w:val="-3"/>
        </w:rPr>
        <w:t>Не </w:t>
      </w:r>
      <w:r>
        <w:rPr/>
        <w:t>дивлячись на затрати на кормову добавку та підвищення загальних затрат на 4,1–4,18 % у дослідній групах, собівартість виробництва 1 кг приросту знизилась на 2,2–3,5 %, а прибуток збільшився</w:t>
      </w:r>
      <w:r>
        <w:rPr>
          <w:spacing w:val="52"/>
        </w:rPr>
        <w:t> </w:t>
      </w:r>
      <w:r>
        <w:rPr/>
        <w:t>на</w:t>
      </w:r>
    </w:p>
    <w:p>
      <w:pPr>
        <w:spacing w:after="0"/>
        <w:sectPr>
          <w:pgSz w:w="11910" w:h="16840"/>
          <w:pgMar w:header="713" w:footer="778" w:top="1140" w:bottom="960" w:left="940" w:right="520"/>
        </w:sectPr>
      </w:pPr>
    </w:p>
    <w:p>
      <w:pPr>
        <w:pStyle w:val="BodyText"/>
        <w:spacing w:before="92"/>
        <w:ind w:right="626"/>
      </w:pPr>
      <w:r>
        <w:rPr/>
        <w:t>22,43 % у результаті покращення збереженості поголів’я перепелів і одержання м’яса на 13,98 % більше контролю.</w:t>
      </w:r>
    </w:p>
    <w:p>
      <w:pPr>
        <w:pStyle w:val="BodyText"/>
        <w:ind w:right="604" w:firstLine="710"/>
      </w:pPr>
      <w:r>
        <w:rPr>
          <w:b/>
        </w:rPr>
        <w:t>Висновки.</w:t>
      </w:r>
      <w:r>
        <w:rPr/>
        <w:t>1. Згодовування до раціону годівлі 2,5 % вивчаємої кормової добавки позитивно вплинуло на результати вирощування перепелів. Слід відмітити, що збереженість поголів’я перепелів за період вирощування збільшується на 6,0 %, валовий приріст живої маси – на 2,765 кг, що сприяє збільшенню вартості додатково одержаної продукції і підвищенню рентабельності виробництва м’яса перепелів. 2. </w:t>
      </w:r>
      <w:r>
        <w:rPr>
          <w:spacing w:val="-3"/>
        </w:rPr>
        <w:t>Не </w:t>
      </w:r>
      <w:r>
        <w:rPr/>
        <w:t>дивлячись на затрати на кормову добавку та підвищення загальних затрат на 4,1–4,18 % у дослідній групах, собівартість виробництва 1 </w:t>
      </w:r>
      <w:r>
        <w:rPr>
          <w:spacing w:val="2"/>
        </w:rPr>
        <w:t>кг </w:t>
      </w:r>
      <w:r>
        <w:rPr/>
        <w:t>приросту знизилась на 2,2–3,5 %, а прибуток</w:t>
      </w:r>
      <w:r>
        <w:rPr>
          <w:spacing w:val="-18"/>
        </w:rPr>
        <w:t> </w:t>
      </w:r>
      <w:r>
        <w:rPr/>
        <w:t>збільшився</w:t>
      </w:r>
      <w:r>
        <w:rPr>
          <w:spacing w:val="-15"/>
        </w:rPr>
        <w:t> </w:t>
      </w:r>
      <w:r>
        <w:rPr/>
        <w:t>на</w:t>
      </w:r>
      <w:r>
        <w:rPr>
          <w:spacing w:val="-16"/>
        </w:rPr>
        <w:t> </w:t>
      </w:r>
      <w:r>
        <w:rPr/>
        <w:t>22,43</w:t>
      </w:r>
      <w:r>
        <w:rPr>
          <w:spacing w:val="-16"/>
        </w:rPr>
        <w:t> </w:t>
      </w:r>
      <w:r>
        <w:rPr/>
        <w:t>%</w:t>
      </w:r>
      <w:r>
        <w:rPr>
          <w:spacing w:val="-14"/>
        </w:rPr>
        <w:t> </w:t>
      </w:r>
      <w:r>
        <w:rPr/>
        <w:t>у</w:t>
      </w:r>
      <w:r>
        <w:rPr>
          <w:spacing w:val="-21"/>
        </w:rPr>
        <w:t> </w:t>
      </w:r>
      <w:r>
        <w:rPr/>
        <w:t>результаті</w:t>
      </w:r>
      <w:r>
        <w:rPr>
          <w:spacing w:val="-22"/>
        </w:rPr>
        <w:t> </w:t>
      </w:r>
      <w:r>
        <w:rPr/>
        <w:t>покращення</w:t>
      </w:r>
      <w:r>
        <w:rPr>
          <w:spacing w:val="-15"/>
        </w:rPr>
        <w:t> </w:t>
      </w:r>
      <w:r>
        <w:rPr/>
        <w:t>збереженості</w:t>
      </w:r>
      <w:r>
        <w:rPr>
          <w:spacing w:val="-17"/>
        </w:rPr>
        <w:t> </w:t>
      </w:r>
      <w:r>
        <w:rPr/>
        <w:t>поголів’я перепелів і одержання м’яса на 13,98 % більше контролю. 3. Вирощування молодняку перепелів є прибутковим з рівнем рентабельності від 57,90</w:t>
      </w:r>
      <w:r>
        <w:rPr>
          <w:spacing w:val="67"/>
        </w:rPr>
        <w:t> </w:t>
      </w:r>
      <w:r>
        <w:rPr/>
        <w:t>до 65,10</w:t>
      </w:r>
    </w:p>
    <w:p>
      <w:pPr>
        <w:pStyle w:val="BodyText"/>
        <w:spacing w:before="1"/>
        <w:ind w:right="613"/>
      </w:pPr>
      <w:r>
        <w:rPr/>
        <w:t>%. 4. Використання в годівлі птиці кормової добавки на основі підмору бджіл сприяло підвищенню рівня рентабельності у 2-й дослідній групі на 7,2 %. 5. На основі проведених хімічних досліджень встановлена висока поживна та біологічна цінність кормової добавки на основі бджолиного підмору, що сприяє підвищенню метаболізму поживних та біологічно-активних речовин корму, інтенсифікації обміну речовин та підвищенню продуктивності перепелів при вирощуванні на м’ясо.</w:t>
      </w:r>
    </w:p>
    <w:p>
      <w:pPr>
        <w:pStyle w:val="BodyText"/>
        <w:spacing w:before="7"/>
        <w:ind w:left="0"/>
        <w:jc w:val="left"/>
      </w:pPr>
    </w:p>
    <w:p>
      <w:pPr>
        <w:pStyle w:val="Heading1"/>
        <w:spacing w:line="319" w:lineRule="exact"/>
        <w:ind w:left="894"/>
      </w:pPr>
      <w:r>
        <w:rPr/>
        <w:t>ЛІТЕРАТУРА</w:t>
      </w:r>
    </w:p>
    <w:p>
      <w:pPr>
        <w:pStyle w:val="ListParagraph"/>
        <w:numPr>
          <w:ilvl w:val="0"/>
          <w:numId w:val="16"/>
        </w:numPr>
        <w:tabs>
          <w:tab w:pos="1207" w:val="left" w:leader="none"/>
        </w:tabs>
        <w:spacing w:line="240" w:lineRule="auto" w:before="0" w:after="0"/>
        <w:ind w:left="193" w:right="617" w:firstLine="710"/>
        <w:jc w:val="both"/>
        <w:rPr>
          <w:sz w:val="28"/>
        </w:rPr>
      </w:pPr>
      <w:r>
        <w:rPr>
          <w:sz w:val="28"/>
        </w:rPr>
        <w:t>Ареїв В.Н., Егоров И.Е., Околелова Т.М., Паньков П.Н. справочник по кормлению птицы. М.: Агропромиздат, 1987. 192</w:t>
      </w:r>
      <w:r>
        <w:rPr>
          <w:spacing w:val="9"/>
          <w:sz w:val="28"/>
        </w:rPr>
        <w:t> </w:t>
      </w:r>
      <w:r>
        <w:rPr>
          <w:sz w:val="28"/>
        </w:rPr>
        <w:t>с.</w:t>
      </w:r>
    </w:p>
    <w:p>
      <w:pPr>
        <w:pStyle w:val="ListParagraph"/>
        <w:numPr>
          <w:ilvl w:val="0"/>
          <w:numId w:val="16"/>
        </w:numPr>
        <w:tabs>
          <w:tab w:pos="1217" w:val="left" w:leader="none"/>
        </w:tabs>
        <w:spacing w:line="240" w:lineRule="auto" w:before="0" w:after="0"/>
        <w:ind w:left="193" w:right="618" w:firstLine="710"/>
        <w:jc w:val="both"/>
        <w:rPr>
          <w:sz w:val="28"/>
        </w:rPr>
      </w:pPr>
      <w:r>
        <w:rPr>
          <w:sz w:val="28"/>
        </w:rPr>
        <w:t>Афанасьев Г.Д., Бураков Н.П., Османян А.К., Утробин В.М., Плаксин Ю.А. использование нетрадиционных ингредиентов в кормлении японских перепелов //Сб. науч. тр. /Биологические основы и технологические методы интенсификации птицеводства. Москва, 1988. С.</w:t>
      </w:r>
      <w:r>
        <w:rPr>
          <w:spacing w:val="17"/>
          <w:sz w:val="28"/>
        </w:rPr>
        <w:t> </w:t>
      </w:r>
      <w:r>
        <w:rPr>
          <w:sz w:val="28"/>
        </w:rPr>
        <w:t>112–116</w:t>
      </w:r>
    </w:p>
    <w:p>
      <w:pPr>
        <w:pStyle w:val="ListParagraph"/>
        <w:numPr>
          <w:ilvl w:val="0"/>
          <w:numId w:val="16"/>
        </w:numPr>
        <w:tabs>
          <w:tab w:pos="1260" w:val="left" w:leader="none"/>
        </w:tabs>
        <w:spacing w:line="240" w:lineRule="auto" w:before="0" w:after="0"/>
        <w:ind w:left="193" w:right="616" w:firstLine="710"/>
        <w:jc w:val="both"/>
        <w:rPr>
          <w:sz w:val="28"/>
        </w:rPr>
      </w:pPr>
      <w:r>
        <w:rPr>
          <w:sz w:val="28"/>
        </w:rPr>
        <w:t>Бондаренко С.П. Содержание перепелов. – М.: ООО «Издательство АСТ», 2002. 95</w:t>
      </w:r>
      <w:r>
        <w:rPr>
          <w:spacing w:val="8"/>
          <w:sz w:val="28"/>
        </w:rPr>
        <w:t> </w:t>
      </w:r>
      <w:r>
        <w:rPr>
          <w:sz w:val="28"/>
        </w:rPr>
        <w:t>с.</w:t>
      </w:r>
    </w:p>
    <w:p>
      <w:pPr>
        <w:pStyle w:val="ListParagraph"/>
        <w:numPr>
          <w:ilvl w:val="0"/>
          <w:numId w:val="16"/>
        </w:numPr>
        <w:tabs>
          <w:tab w:pos="1221" w:val="left" w:leader="none"/>
        </w:tabs>
        <w:spacing w:line="242" w:lineRule="auto" w:before="0" w:after="0"/>
        <w:ind w:left="193" w:right="618" w:firstLine="710"/>
        <w:jc w:val="both"/>
        <w:rPr>
          <w:sz w:val="28"/>
        </w:rPr>
      </w:pPr>
      <w:r>
        <w:rPr>
          <w:sz w:val="28"/>
        </w:rPr>
        <w:t>Разанова О.П., Р.А. Чудак Ефективність використання у тваринництві біологічно активних добавок на основі підмору бджіл: Монографія / О.П. Разанова, Р.А. Чудак. Вінниця: РВВ ВНАУ, 2018. 138</w:t>
      </w:r>
      <w:r>
        <w:rPr>
          <w:spacing w:val="19"/>
          <w:sz w:val="28"/>
        </w:rPr>
        <w:t> </w:t>
      </w:r>
      <w:r>
        <w:rPr>
          <w:sz w:val="28"/>
        </w:rPr>
        <w:t>с.</w:t>
      </w:r>
    </w:p>
    <w:p>
      <w:pPr>
        <w:pStyle w:val="ListParagraph"/>
        <w:numPr>
          <w:ilvl w:val="0"/>
          <w:numId w:val="16"/>
        </w:numPr>
        <w:tabs>
          <w:tab w:pos="1193" w:val="left" w:leader="none"/>
        </w:tabs>
        <w:spacing w:line="240" w:lineRule="auto" w:before="0" w:after="0"/>
        <w:ind w:left="193" w:right="610" w:firstLine="710"/>
        <w:jc w:val="both"/>
        <w:rPr>
          <w:sz w:val="28"/>
        </w:rPr>
      </w:pPr>
      <w:r>
        <w:rPr>
          <w:sz w:val="28"/>
        </w:rPr>
        <w:t>Разанова О. </w:t>
      </w:r>
      <w:r>
        <w:rPr>
          <w:spacing w:val="-3"/>
          <w:sz w:val="28"/>
        </w:rPr>
        <w:t>П. </w:t>
      </w:r>
      <w:r>
        <w:rPr>
          <w:sz w:val="28"/>
        </w:rPr>
        <w:t>Мінеральний склад м’яса перепелів при частковій заміні в їх раціоні високобілкових кормів Апімором / О. </w:t>
      </w:r>
      <w:r>
        <w:rPr>
          <w:spacing w:val="-3"/>
          <w:sz w:val="28"/>
        </w:rPr>
        <w:t>П. </w:t>
      </w:r>
      <w:r>
        <w:rPr>
          <w:sz w:val="28"/>
        </w:rPr>
        <w:t>Разанова </w:t>
      </w:r>
      <w:r>
        <w:rPr>
          <w:spacing w:val="4"/>
          <w:sz w:val="28"/>
        </w:rPr>
        <w:t>// </w:t>
      </w:r>
      <w:r>
        <w:rPr>
          <w:sz w:val="28"/>
        </w:rPr>
        <w:t>Матеріали ІІІ всеукраїнської науково-практичної конференції з міжнародною участю: Роль науки у підвищенні технологічного рівня і ефективності АПК. м. Тернопіль. 16- 17 травня 2013. С.</w:t>
      </w:r>
      <w:r>
        <w:rPr>
          <w:spacing w:val="10"/>
          <w:sz w:val="28"/>
        </w:rPr>
        <w:t> </w:t>
      </w:r>
      <w:r>
        <w:rPr>
          <w:sz w:val="28"/>
        </w:rPr>
        <w:t>185–186.</w:t>
      </w:r>
    </w:p>
    <w:p>
      <w:pPr>
        <w:pStyle w:val="BodyText"/>
        <w:spacing w:before="4"/>
        <w:ind w:left="0"/>
        <w:jc w:val="left"/>
        <w:rPr>
          <w:sz w:val="27"/>
        </w:rPr>
      </w:pPr>
    </w:p>
    <w:p>
      <w:pPr>
        <w:pStyle w:val="Heading1"/>
        <w:ind w:left="889"/>
      </w:pPr>
      <w:r>
        <w:rPr/>
        <w:t>ИННОВАЦИОННЫЕ ПОДХОДЫ К ТЕХНОЛОГИИ ПРОИЗВОДСТВА МЯСА ПЕРЕПЕЛОВ</w:t>
      </w:r>
    </w:p>
    <w:p>
      <w:pPr>
        <w:spacing w:line="319" w:lineRule="exact" w:before="0"/>
        <w:ind w:left="4001" w:right="0" w:firstLine="0"/>
        <w:jc w:val="left"/>
        <w:rPr>
          <w:b/>
          <w:sz w:val="28"/>
        </w:rPr>
      </w:pPr>
      <w:r>
        <w:rPr>
          <w:b/>
          <w:sz w:val="28"/>
        </w:rPr>
        <w:t>Ясько В., Кирович Н.</w:t>
      </w:r>
    </w:p>
    <w:p>
      <w:pPr>
        <w:spacing w:line="240" w:lineRule="auto" w:before="0"/>
        <w:ind w:left="193" w:right="622" w:firstLine="710"/>
        <w:jc w:val="both"/>
        <w:rPr>
          <w:i/>
          <w:sz w:val="28"/>
        </w:rPr>
      </w:pPr>
      <w:r>
        <w:rPr>
          <w:i/>
          <w:sz w:val="28"/>
        </w:rPr>
        <w:t>Установлено значение нетрадиционных источников биологически </w:t>
      </w:r>
      <w:r>
        <w:rPr>
          <w:i/>
          <w:sz w:val="28"/>
        </w:rPr>
        <w:t>активных добавок природного происхождения, с целью получения</w:t>
      </w:r>
      <w:r>
        <w:rPr>
          <w:i/>
          <w:spacing w:val="62"/>
          <w:sz w:val="28"/>
        </w:rPr>
        <w:t> </w:t>
      </w:r>
      <w:r>
        <w:rPr>
          <w:i/>
          <w:sz w:val="28"/>
        </w:rPr>
        <w:t>экологически</w:t>
      </w:r>
    </w:p>
    <w:p>
      <w:pPr>
        <w:spacing w:after="0" w:line="240" w:lineRule="auto"/>
        <w:jc w:val="both"/>
        <w:rPr>
          <w:sz w:val="28"/>
        </w:rPr>
        <w:sectPr>
          <w:pgSz w:w="11910" w:h="16840"/>
          <w:pgMar w:header="713" w:footer="778" w:top="1140" w:bottom="960" w:left="940" w:right="520"/>
        </w:sectPr>
      </w:pPr>
    </w:p>
    <w:p>
      <w:pPr>
        <w:spacing w:line="240" w:lineRule="auto" w:before="92"/>
        <w:ind w:left="193" w:right="611" w:firstLine="0"/>
        <w:jc w:val="both"/>
        <w:rPr>
          <w:i/>
          <w:sz w:val="28"/>
        </w:rPr>
      </w:pPr>
      <w:r>
        <w:rPr>
          <w:i/>
          <w:sz w:val="28"/>
        </w:rPr>
        <w:t>безопасной продукции птицеводства. Кормовая добавка на основе пчелиного </w:t>
      </w:r>
      <w:r>
        <w:rPr>
          <w:i/>
          <w:sz w:val="28"/>
        </w:rPr>
        <w:t>подмора в своем составе содержит полезные питательные вещества, и в то же время имеет натуральное природное происхождение. Добавление в рацион кормления молодняка перепелов 2,5% изучаемой кормовой добавки положительно повлияло на результаты выращивания перепелов, сохранность поголовья перепелов за период выращивания увеличивается на 6,0%, валовой прирост живой массы - на 2,765 кг, что способствует увеличению стоимости дополнительно полученной продукции и повышению рентабельности производства мяса перепелов.</w:t>
      </w:r>
    </w:p>
    <w:p>
      <w:pPr>
        <w:spacing w:before="2"/>
        <w:ind w:left="193" w:right="610" w:firstLine="710"/>
        <w:jc w:val="both"/>
        <w:rPr>
          <w:i/>
          <w:sz w:val="28"/>
        </w:rPr>
      </w:pPr>
      <w:r>
        <w:rPr>
          <w:b/>
          <w:i/>
          <w:sz w:val="28"/>
        </w:rPr>
        <w:t>Ключевые слова</w:t>
      </w:r>
      <w:r>
        <w:rPr>
          <w:i/>
          <w:sz w:val="28"/>
        </w:rPr>
        <w:t>: хозяйственно-биологические особенности перепелов, </w:t>
      </w:r>
      <w:r>
        <w:rPr>
          <w:i/>
          <w:sz w:val="28"/>
        </w:rPr>
        <w:t>содержание, кормление, поведение перепелов, пчелиный подмор.</w:t>
      </w:r>
    </w:p>
    <w:p>
      <w:pPr>
        <w:pStyle w:val="BodyText"/>
        <w:spacing w:before="4"/>
        <w:ind w:left="0"/>
        <w:jc w:val="left"/>
        <w:rPr>
          <w:i/>
        </w:rPr>
      </w:pPr>
    </w:p>
    <w:p>
      <w:pPr>
        <w:pStyle w:val="Heading1"/>
        <w:ind w:left="3002" w:right="1444" w:hanging="1258"/>
        <w:jc w:val="left"/>
      </w:pPr>
      <w:r>
        <w:rPr/>
        <w:t>INNOVATIVE APPROACHES TO THE QUALITY MEAT PRODUCTION TECHNOLOGY</w:t>
      </w:r>
    </w:p>
    <w:p>
      <w:pPr>
        <w:spacing w:line="319" w:lineRule="exact" w:before="0"/>
        <w:ind w:left="4054" w:right="0" w:firstLine="0"/>
        <w:jc w:val="both"/>
        <w:rPr>
          <w:b/>
          <w:sz w:val="28"/>
        </w:rPr>
      </w:pPr>
      <w:r>
        <w:rPr>
          <w:b/>
          <w:sz w:val="28"/>
        </w:rPr>
        <w:t>Yasko V., Kirovich N.</w:t>
      </w:r>
    </w:p>
    <w:p>
      <w:pPr>
        <w:spacing w:line="240" w:lineRule="auto" w:before="0"/>
        <w:ind w:left="193" w:right="607" w:firstLine="710"/>
        <w:jc w:val="both"/>
        <w:rPr>
          <w:i/>
          <w:sz w:val="28"/>
        </w:rPr>
      </w:pPr>
      <w:r>
        <w:rPr>
          <w:i/>
          <w:sz w:val="28"/>
        </w:rPr>
        <w:t>The value of non-traditional sources of biologically active additives of natural </w:t>
      </w:r>
      <w:r>
        <w:rPr>
          <w:i/>
          <w:sz w:val="28"/>
        </w:rPr>
        <w:t>origin is established in order to obtain environmentally safe poultry products. A feed additive based on bee subpestilence contains beneficial nutrients in its composition, and at the same time has a natural natural origin. The addition of </w:t>
      </w:r>
      <w:r>
        <w:rPr>
          <w:i/>
          <w:spacing w:val="5"/>
          <w:sz w:val="28"/>
        </w:rPr>
        <w:t>2.5% </w:t>
      </w:r>
      <w:r>
        <w:rPr>
          <w:i/>
          <w:sz w:val="28"/>
        </w:rPr>
        <w:t>of the studied feed</w:t>
      </w:r>
      <w:r>
        <w:rPr>
          <w:i/>
          <w:spacing w:val="-17"/>
          <w:sz w:val="28"/>
        </w:rPr>
        <w:t> </w:t>
      </w:r>
      <w:r>
        <w:rPr>
          <w:i/>
          <w:sz w:val="28"/>
        </w:rPr>
        <w:t>additive</w:t>
      </w:r>
      <w:r>
        <w:rPr>
          <w:i/>
          <w:spacing w:val="-14"/>
          <w:sz w:val="28"/>
        </w:rPr>
        <w:t> </w:t>
      </w:r>
      <w:r>
        <w:rPr>
          <w:i/>
          <w:sz w:val="28"/>
        </w:rPr>
        <w:t>to</w:t>
      </w:r>
      <w:r>
        <w:rPr>
          <w:i/>
          <w:spacing w:val="-16"/>
          <w:sz w:val="28"/>
        </w:rPr>
        <w:t> </w:t>
      </w:r>
      <w:r>
        <w:rPr>
          <w:i/>
          <w:sz w:val="28"/>
        </w:rPr>
        <w:t>the</w:t>
      </w:r>
      <w:r>
        <w:rPr>
          <w:i/>
          <w:spacing w:val="-15"/>
          <w:sz w:val="28"/>
        </w:rPr>
        <w:t> </w:t>
      </w:r>
      <w:r>
        <w:rPr>
          <w:i/>
          <w:sz w:val="28"/>
        </w:rPr>
        <w:t>diet</w:t>
      </w:r>
      <w:r>
        <w:rPr>
          <w:i/>
          <w:spacing w:val="-16"/>
          <w:sz w:val="28"/>
        </w:rPr>
        <w:t> </w:t>
      </w:r>
      <w:r>
        <w:rPr>
          <w:i/>
          <w:sz w:val="28"/>
        </w:rPr>
        <w:t>of</w:t>
      </w:r>
      <w:r>
        <w:rPr>
          <w:i/>
          <w:spacing w:val="-17"/>
          <w:sz w:val="28"/>
        </w:rPr>
        <w:t> </w:t>
      </w:r>
      <w:r>
        <w:rPr>
          <w:i/>
          <w:sz w:val="28"/>
        </w:rPr>
        <w:t>young</w:t>
      </w:r>
      <w:r>
        <w:rPr>
          <w:i/>
          <w:spacing w:val="-16"/>
          <w:sz w:val="28"/>
        </w:rPr>
        <w:t> </w:t>
      </w:r>
      <w:r>
        <w:rPr>
          <w:i/>
          <w:sz w:val="28"/>
        </w:rPr>
        <w:t>quail</w:t>
      </w:r>
      <w:r>
        <w:rPr>
          <w:i/>
          <w:spacing w:val="-17"/>
          <w:sz w:val="28"/>
        </w:rPr>
        <w:t> </w:t>
      </w:r>
      <w:r>
        <w:rPr>
          <w:i/>
          <w:sz w:val="28"/>
        </w:rPr>
        <w:t>feeding</w:t>
      </w:r>
      <w:r>
        <w:rPr>
          <w:i/>
          <w:spacing w:val="-16"/>
          <w:sz w:val="28"/>
        </w:rPr>
        <w:t> </w:t>
      </w:r>
      <w:r>
        <w:rPr>
          <w:i/>
          <w:sz w:val="28"/>
        </w:rPr>
        <w:t>positively</w:t>
      </w:r>
      <w:r>
        <w:rPr>
          <w:i/>
          <w:spacing w:val="-15"/>
          <w:sz w:val="28"/>
        </w:rPr>
        <w:t> </w:t>
      </w:r>
      <w:r>
        <w:rPr>
          <w:i/>
          <w:sz w:val="28"/>
        </w:rPr>
        <w:t>affected</w:t>
      </w:r>
      <w:r>
        <w:rPr>
          <w:i/>
          <w:spacing w:val="-15"/>
          <w:sz w:val="28"/>
        </w:rPr>
        <w:t> </w:t>
      </w:r>
      <w:r>
        <w:rPr>
          <w:i/>
          <w:sz w:val="28"/>
        </w:rPr>
        <w:t>the</w:t>
      </w:r>
      <w:r>
        <w:rPr>
          <w:i/>
          <w:spacing w:val="-15"/>
          <w:sz w:val="28"/>
        </w:rPr>
        <w:t> </w:t>
      </w:r>
      <w:r>
        <w:rPr>
          <w:i/>
          <w:sz w:val="28"/>
        </w:rPr>
        <w:t>results</w:t>
      </w:r>
      <w:r>
        <w:rPr>
          <w:i/>
          <w:spacing w:val="-15"/>
          <w:sz w:val="28"/>
        </w:rPr>
        <w:t> </w:t>
      </w:r>
      <w:r>
        <w:rPr>
          <w:i/>
          <w:sz w:val="28"/>
        </w:rPr>
        <w:t>of</w:t>
      </w:r>
      <w:r>
        <w:rPr>
          <w:i/>
          <w:spacing w:val="-16"/>
          <w:sz w:val="28"/>
        </w:rPr>
        <w:t> </w:t>
      </w:r>
      <w:r>
        <w:rPr>
          <w:i/>
          <w:sz w:val="28"/>
        </w:rPr>
        <w:t>growing quail, the safety of the quail population during the growing period increases by 6.0%, the gross increase in live weight by 2.765 kg, which increases the cost of additionally obtained products and increase the profitability of quail meat</w:t>
      </w:r>
      <w:r>
        <w:rPr>
          <w:i/>
          <w:spacing w:val="-2"/>
          <w:sz w:val="28"/>
        </w:rPr>
        <w:t> </w:t>
      </w:r>
      <w:r>
        <w:rPr>
          <w:i/>
          <w:sz w:val="28"/>
        </w:rPr>
        <w:t>production.</w:t>
      </w:r>
    </w:p>
    <w:p>
      <w:pPr>
        <w:spacing w:before="0"/>
        <w:ind w:left="193" w:right="622" w:firstLine="710"/>
        <w:jc w:val="both"/>
        <w:rPr>
          <w:i/>
          <w:sz w:val="28"/>
        </w:rPr>
      </w:pPr>
      <w:r>
        <w:rPr>
          <w:b/>
          <w:i/>
          <w:sz w:val="28"/>
        </w:rPr>
        <w:t>Key words: </w:t>
      </w:r>
      <w:r>
        <w:rPr>
          <w:i/>
          <w:sz w:val="28"/>
        </w:rPr>
        <w:t>economic and biological features of quails, content, feeding, </w:t>
      </w:r>
      <w:r>
        <w:rPr>
          <w:i/>
          <w:sz w:val="28"/>
        </w:rPr>
        <w:t>behavior of quails, bee subsidence.</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right="0"/>
        <w:jc w:val="left"/>
      </w:pPr>
      <w:r>
        <w:rPr/>
        <w:t>УДК:</w:t>
      </w:r>
      <w:r>
        <w:rPr>
          <w:spacing w:val="-3"/>
        </w:rPr>
        <w:t> </w:t>
      </w:r>
      <w:r>
        <w:rPr/>
        <w:t>636.32/38.082</w:t>
        <w:tab/>
        <w:t>DOI:</w:t>
      </w:r>
      <w:r>
        <w:rPr>
          <w:spacing w:val="-1"/>
        </w:rPr>
        <w:t> </w:t>
      </w:r>
      <w:r>
        <w:rPr/>
        <w:t>10.37000/abbsl.2020.96.11</w:t>
      </w:r>
    </w:p>
    <w:p>
      <w:pPr>
        <w:pStyle w:val="BodyText"/>
        <w:spacing w:before="11"/>
        <w:ind w:left="0"/>
        <w:jc w:val="left"/>
        <w:rPr>
          <w:b/>
          <w:sz w:val="27"/>
        </w:rPr>
      </w:pPr>
    </w:p>
    <w:p>
      <w:pPr>
        <w:spacing w:before="0"/>
        <w:ind w:left="558" w:right="964" w:firstLine="672"/>
        <w:jc w:val="left"/>
        <w:rPr>
          <w:b/>
          <w:sz w:val="28"/>
        </w:rPr>
      </w:pPr>
      <w:r>
        <w:rPr>
          <w:b/>
          <w:sz w:val="28"/>
        </w:rPr>
        <w:t>ОЦІНКА ОСНОВНИХ СЕЛЕКЦІЙНО-ГЕНЕТИЧНИХ ОЗНАК ПРОДУКТИВНОСТІ ОВЕЦЬ ОДЕСЬКОГО ТИПУ АСКАНІЙСЬКОЇ</w:t>
      </w:r>
    </w:p>
    <w:p>
      <w:pPr>
        <w:spacing w:before="0"/>
        <w:ind w:left="889" w:right="0" w:firstLine="0"/>
        <w:jc w:val="left"/>
        <w:rPr>
          <w:b/>
          <w:sz w:val="28"/>
        </w:rPr>
      </w:pPr>
      <w:r>
        <w:rPr>
          <w:b/>
          <w:sz w:val="28"/>
        </w:rPr>
        <w:t>М'ЯСО-ВОВНОВОЇ ПОРОДИ </w:t>
      </w:r>
      <w:r>
        <w:rPr>
          <w:b/>
          <w:color w:val="202020"/>
          <w:sz w:val="28"/>
        </w:rPr>
        <w:t>РІЗНИХ ЕТОЛОГІЧНИХ ТИПІВ</w:t>
      </w:r>
    </w:p>
    <w:p>
      <w:pPr>
        <w:spacing w:line="319" w:lineRule="exact" w:before="4"/>
        <w:ind w:left="895" w:right="603" w:firstLine="0"/>
        <w:jc w:val="center"/>
        <w:rPr>
          <w:b/>
          <w:sz w:val="28"/>
        </w:rPr>
      </w:pPr>
      <w:r>
        <w:rPr>
          <w:b/>
          <w:color w:val="202020"/>
          <w:sz w:val="28"/>
        </w:rPr>
        <w:t>В. Чігірьов , С. Бесягіна , К. Мажиловська , Д. Тихонов</w:t>
      </w:r>
    </w:p>
    <w:p>
      <w:pPr>
        <w:spacing w:line="319" w:lineRule="exact" w:before="0"/>
        <w:ind w:left="886" w:right="603" w:firstLine="0"/>
        <w:jc w:val="center"/>
        <w:rPr>
          <w:i/>
          <w:sz w:val="28"/>
        </w:rPr>
      </w:pPr>
      <w:r>
        <w:rPr>
          <w:i/>
          <w:sz w:val="28"/>
        </w:rPr>
        <w:t>Одеський державний аграрний університет</w:t>
      </w:r>
    </w:p>
    <w:p>
      <w:pPr>
        <w:pStyle w:val="BodyText"/>
        <w:ind w:left="0"/>
        <w:jc w:val="left"/>
        <w:rPr>
          <w:i/>
        </w:rPr>
      </w:pPr>
    </w:p>
    <w:p>
      <w:pPr>
        <w:spacing w:before="0"/>
        <w:ind w:left="193" w:right="613" w:firstLine="710"/>
        <w:jc w:val="both"/>
        <w:rPr>
          <w:i/>
          <w:sz w:val="28"/>
        </w:rPr>
      </w:pPr>
      <w:r>
        <w:rPr>
          <w:i/>
          <w:color w:val="202020"/>
          <w:sz w:val="28"/>
        </w:rPr>
        <w:t>Досліджували</w:t>
      </w:r>
      <w:r>
        <w:rPr>
          <w:i/>
          <w:color w:val="202020"/>
          <w:spacing w:val="-18"/>
          <w:sz w:val="28"/>
        </w:rPr>
        <w:t> </w:t>
      </w:r>
      <w:r>
        <w:rPr>
          <w:i/>
          <w:color w:val="202020"/>
          <w:sz w:val="28"/>
        </w:rPr>
        <w:t>забійні</w:t>
      </w:r>
      <w:r>
        <w:rPr>
          <w:i/>
          <w:color w:val="202020"/>
          <w:spacing w:val="-17"/>
          <w:sz w:val="28"/>
        </w:rPr>
        <w:t> </w:t>
      </w:r>
      <w:r>
        <w:rPr>
          <w:i/>
          <w:color w:val="202020"/>
          <w:sz w:val="28"/>
        </w:rPr>
        <w:t>якості</w:t>
      </w:r>
      <w:r>
        <w:rPr>
          <w:i/>
          <w:color w:val="202020"/>
          <w:spacing w:val="-18"/>
          <w:sz w:val="28"/>
        </w:rPr>
        <w:t> </w:t>
      </w:r>
      <w:r>
        <w:rPr>
          <w:i/>
          <w:color w:val="202020"/>
          <w:sz w:val="28"/>
        </w:rPr>
        <w:t>валашків,</w:t>
      </w:r>
      <w:r>
        <w:rPr>
          <w:i/>
          <w:color w:val="202020"/>
          <w:spacing w:val="-15"/>
          <w:sz w:val="28"/>
        </w:rPr>
        <w:t> </w:t>
      </w:r>
      <w:r>
        <w:rPr>
          <w:i/>
          <w:color w:val="202020"/>
          <w:sz w:val="28"/>
        </w:rPr>
        <w:t>їх</w:t>
      </w:r>
      <w:r>
        <w:rPr>
          <w:i/>
          <w:color w:val="202020"/>
          <w:spacing w:val="-13"/>
          <w:sz w:val="28"/>
        </w:rPr>
        <w:t> </w:t>
      </w:r>
      <w:r>
        <w:rPr>
          <w:i/>
          <w:color w:val="202020"/>
          <w:sz w:val="28"/>
        </w:rPr>
        <w:t>м</w:t>
      </w:r>
      <w:r>
        <w:rPr>
          <w:i/>
          <w:sz w:val="28"/>
        </w:rPr>
        <w:t>орфологічний</w:t>
      </w:r>
      <w:r>
        <w:rPr>
          <w:i/>
          <w:spacing w:val="-17"/>
          <w:sz w:val="28"/>
        </w:rPr>
        <w:t> </w:t>
      </w:r>
      <w:r>
        <w:rPr>
          <w:i/>
          <w:sz w:val="28"/>
        </w:rPr>
        <w:t>склад</w:t>
      </w:r>
      <w:r>
        <w:rPr>
          <w:i/>
          <w:spacing w:val="-18"/>
          <w:sz w:val="28"/>
        </w:rPr>
        <w:t> </w:t>
      </w:r>
      <w:r>
        <w:rPr>
          <w:i/>
          <w:sz w:val="28"/>
        </w:rPr>
        <w:t>туш,</w:t>
      </w:r>
      <w:r>
        <w:rPr>
          <w:i/>
          <w:spacing w:val="-16"/>
          <w:sz w:val="28"/>
        </w:rPr>
        <w:t> </w:t>
      </w:r>
      <w:r>
        <w:rPr>
          <w:i/>
          <w:sz w:val="28"/>
        </w:rPr>
        <w:t>м’ясні </w:t>
      </w:r>
      <w:r>
        <w:rPr>
          <w:i/>
          <w:sz w:val="28"/>
        </w:rPr>
        <w:t>якості овець, вовнову продуктивність ярок, молочну продуктивність вівцематок. Встановлено що за м’ясною, вовновою та молочною продуктивністю вівці найбільш активні та помірної поведінки перевершували більш обережних та полохливих</w:t>
      </w:r>
      <w:r>
        <w:rPr>
          <w:i/>
          <w:spacing w:val="6"/>
          <w:sz w:val="28"/>
        </w:rPr>
        <w:t> </w:t>
      </w:r>
      <w:r>
        <w:rPr>
          <w:i/>
          <w:sz w:val="28"/>
        </w:rPr>
        <w:t>тварин.</w:t>
      </w:r>
    </w:p>
    <w:p>
      <w:pPr>
        <w:spacing w:before="0"/>
        <w:ind w:left="193" w:right="618" w:firstLine="710"/>
        <w:jc w:val="both"/>
        <w:rPr>
          <w:i/>
          <w:sz w:val="28"/>
        </w:rPr>
      </w:pPr>
      <w:r>
        <w:rPr>
          <w:b/>
          <w:i/>
          <w:sz w:val="28"/>
        </w:rPr>
        <w:t>Ключові слова: </w:t>
      </w:r>
      <w:r>
        <w:rPr>
          <w:i/>
          <w:sz w:val="28"/>
        </w:rPr>
        <w:t>вівці, поведінка, м’ясна продуктивність, вовнова </w:t>
      </w:r>
      <w:r>
        <w:rPr>
          <w:i/>
          <w:sz w:val="28"/>
        </w:rPr>
        <w:t>продуктивність, молочна продуктивність.</w:t>
      </w:r>
    </w:p>
    <w:p>
      <w:pPr>
        <w:pStyle w:val="BodyText"/>
        <w:spacing w:before="9"/>
        <w:ind w:left="0"/>
        <w:jc w:val="left"/>
        <w:rPr>
          <w:i/>
          <w:sz w:val="27"/>
        </w:rPr>
      </w:pPr>
    </w:p>
    <w:p>
      <w:pPr>
        <w:pStyle w:val="BodyText"/>
        <w:ind w:right="610" w:firstLine="710"/>
      </w:pPr>
      <w:r>
        <w:rPr>
          <w:b/>
          <w:color w:val="202020"/>
        </w:rPr>
        <w:t>Вступ. </w:t>
      </w:r>
      <w:r>
        <w:rPr/>
        <w:t>Різноманітність порід і напрямків вівчарства України зумовлена природно-економічними умовами та зональними традиціями ведення галузі. На Одещині</w:t>
      </w:r>
      <w:r>
        <w:rPr>
          <w:spacing w:val="-24"/>
        </w:rPr>
        <w:t> </w:t>
      </w:r>
      <w:r>
        <w:rPr/>
        <w:t>вівчарство</w:t>
      </w:r>
      <w:r>
        <w:rPr>
          <w:spacing w:val="-19"/>
        </w:rPr>
        <w:t> </w:t>
      </w:r>
      <w:r>
        <w:rPr/>
        <w:t>завжди</w:t>
      </w:r>
      <w:r>
        <w:rPr>
          <w:spacing w:val="-19"/>
        </w:rPr>
        <w:t> </w:t>
      </w:r>
      <w:r>
        <w:rPr/>
        <w:t>було</w:t>
      </w:r>
      <w:r>
        <w:rPr>
          <w:spacing w:val="-19"/>
        </w:rPr>
        <w:t> </w:t>
      </w:r>
      <w:r>
        <w:rPr/>
        <w:t>традиційною</w:t>
      </w:r>
      <w:r>
        <w:rPr>
          <w:spacing w:val="-21"/>
        </w:rPr>
        <w:t> </w:t>
      </w:r>
      <w:r>
        <w:rPr/>
        <w:t>галуззю</w:t>
      </w:r>
      <w:r>
        <w:rPr>
          <w:spacing w:val="-20"/>
        </w:rPr>
        <w:t> </w:t>
      </w:r>
      <w:r>
        <w:rPr/>
        <w:t>тваринництва,</w:t>
      </w:r>
      <w:r>
        <w:rPr>
          <w:spacing w:val="-18"/>
        </w:rPr>
        <w:t> </w:t>
      </w:r>
      <w:r>
        <w:rPr/>
        <w:t>а</w:t>
      </w:r>
      <w:r>
        <w:rPr>
          <w:spacing w:val="-18"/>
        </w:rPr>
        <w:t> </w:t>
      </w:r>
      <w:r>
        <w:rPr/>
        <w:t>особливо в південних районів. Одеський тип асканійської м'ясо-вовнової породи овець з кросбредною вовною. Виведено у 1982-2000 роках шляхом схрещування вівцематок цигайської породи одеської селекції з асканійськими кросбредними баранами. У формуванні цього генофонду використано як баранів-плідників внутрішньопородних типів цигайської породи приазовського, кримського і заволзького</w:t>
      </w:r>
      <w:r>
        <w:rPr>
          <w:spacing w:val="-14"/>
        </w:rPr>
        <w:t> </w:t>
      </w:r>
      <w:r>
        <w:rPr/>
        <w:t>типів,</w:t>
      </w:r>
      <w:r>
        <w:rPr>
          <w:spacing w:val="-11"/>
        </w:rPr>
        <w:t> </w:t>
      </w:r>
      <w:r>
        <w:rPr/>
        <w:t>так</w:t>
      </w:r>
      <w:r>
        <w:rPr>
          <w:spacing w:val="-14"/>
        </w:rPr>
        <w:t> </w:t>
      </w:r>
      <w:r>
        <w:rPr/>
        <w:t>і</w:t>
      </w:r>
      <w:r>
        <w:rPr>
          <w:spacing w:val="-18"/>
        </w:rPr>
        <w:t> </w:t>
      </w:r>
      <w:r>
        <w:rPr/>
        <w:t>баранів</w:t>
      </w:r>
      <w:r>
        <w:rPr>
          <w:spacing w:val="-15"/>
        </w:rPr>
        <w:t> </w:t>
      </w:r>
      <w:r>
        <w:rPr/>
        <w:t>остфризької</w:t>
      </w:r>
      <w:r>
        <w:rPr>
          <w:spacing w:val="-17"/>
        </w:rPr>
        <w:t> </w:t>
      </w:r>
      <w:r>
        <w:rPr/>
        <w:t>молочної</w:t>
      </w:r>
      <w:r>
        <w:rPr>
          <w:spacing w:val="-18"/>
        </w:rPr>
        <w:t> </w:t>
      </w:r>
      <w:r>
        <w:rPr/>
        <w:t>породи,</w:t>
      </w:r>
      <w:r>
        <w:rPr>
          <w:spacing w:val="-12"/>
        </w:rPr>
        <w:t> </w:t>
      </w:r>
      <w:r>
        <w:rPr/>
        <w:t>яких</w:t>
      </w:r>
      <w:r>
        <w:rPr>
          <w:spacing w:val="-17"/>
        </w:rPr>
        <w:t> </w:t>
      </w:r>
      <w:r>
        <w:rPr/>
        <w:t>завезли</w:t>
      </w:r>
      <w:r>
        <w:rPr>
          <w:spacing w:val="-13"/>
        </w:rPr>
        <w:t> </w:t>
      </w:r>
      <w:r>
        <w:rPr/>
        <w:t>свого часу з Німеччини. Вівці одеського типу мають міцну конституцію, пропорційну тілобудову, округлий тулуб, кінцівки широко поставлені, стегна, спина та поперек виповнені, м'ясні форми добре виражені. Жива </w:t>
      </w:r>
      <w:r>
        <w:rPr>
          <w:spacing w:val="3"/>
        </w:rPr>
        <w:t>маса </w:t>
      </w:r>
      <w:r>
        <w:rPr/>
        <w:t>баранів-плідників 93-110 кг, вівцематок 58-62 кг, настриг чистої вовни відповідно 5,0-6,5 і 2,5-2,8 кг, плодючість маток 101-123</w:t>
      </w:r>
      <w:r>
        <w:rPr>
          <w:spacing w:val="3"/>
        </w:rPr>
        <w:t> </w:t>
      </w:r>
      <w:r>
        <w:rPr/>
        <w:t>%.</w:t>
      </w:r>
    </w:p>
    <w:p>
      <w:pPr>
        <w:pStyle w:val="BodyText"/>
        <w:spacing w:before="1"/>
        <w:ind w:right="610" w:firstLine="710"/>
      </w:pPr>
      <w:r>
        <w:rPr>
          <w:b/>
          <w:color w:val="202020"/>
        </w:rPr>
        <w:t>Матеріал і методи досліджень: </w:t>
      </w:r>
      <w:r>
        <w:rPr/>
        <w:t>Для об’єктивного визначення типів поведінки у овець природних умовах використовувалась методика рухомо- харчових реакцій овець [2] в удосконаленні [1]. Таким чином, було визначено три поведінкових типи тварин, які відрізнялися за комплексом ознак поведінки:</w:t>
      </w:r>
    </w:p>
    <w:p>
      <w:pPr>
        <w:pStyle w:val="ListParagraph"/>
        <w:numPr>
          <w:ilvl w:val="0"/>
          <w:numId w:val="17"/>
        </w:numPr>
        <w:tabs>
          <w:tab w:pos="1073" w:val="left" w:leader="none"/>
        </w:tabs>
        <w:spacing w:line="240" w:lineRule="auto" w:before="4" w:after="0"/>
        <w:ind w:left="193" w:right="622" w:firstLine="710"/>
        <w:jc w:val="both"/>
        <w:rPr>
          <w:sz w:val="28"/>
        </w:rPr>
      </w:pPr>
      <w:r>
        <w:rPr>
          <w:sz w:val="28"/>
        </w:rPr>
        <w:t>вівці І типу отримавши можливість зайти до загону швидко підбігали до годівниці</w:t>
      </w:r>
      <w:r>
        <w:rPr>
          <w:spacing w:val="-12"/>
          <w:sz w:val="28"/>
        </w:rPr>
        <w:t> </w:t>
      </w:r>
      <w:r>
        <w:rPr>
          <w:sz w:val="28"/>
        </w:rPr>
        <w:t>і</w:t>
      </w:r>
      <w:r>
        <w:rPr>
          <w:spacing w:val="-12"/>
          <w:sz w:val="28"/>
        </w:rPr>
        <w:t> </w:t>
      </w:r>
      <w:r>
        <w:rPr>
          <w:sz w:val="28"/>
        </w:rPr>
        <w:t>не</w:t>
      </w:r>
      <w:r>
        <w:rPr>
          <w:spacing w:val="-10"/>
          <w:sz w:val="28"/>
        </w:rPr>
        <w:t> </w:t>
      </w:r>
      <w:r>
        <w:rPr>
          <w:sz w:val="28"/>
        </w:rPr>
        <w:t>боячись</w:t>
      </w:r>
      <w:r>
        <w:rPr>
          <w:spacing w:val="-12"/>
          <w:sz w:val="28"/>
        </w:rPr>
        <w:t> </w:t>
      </w:r>
      <w:r>
        <w:rPr>
          <w:sz w:val="28"/>
        </w:rPr>
        <w:t>присутності</w:t>
      </w:r>
      <w:r>
        <w:rPr>
          <w:spacing w:val="-16"/>
          <w:sz w:val="28"/>
        </w:rPr>
        <w:t> </w:t>
      </w:r>
      <w:r>
        <w:rPr>
          <w:sz w:val="28"/>
        </w:rPr>
        <w:t>людини</w:t>
      </w:r>
      <w:r>
        <w:rPr>
          <w:spacing w:val="-10"/>
          <w:sz w:val="28"/>
        </w:rPr>
        <w:t> </w:t>
      </w:r>
      <w:r>
        <w:rPr>
          <w:sz w:val="28"/>
        </w:rPr>
        <w:t>починали</w:t>
      </w:r>
      <w:r>
        <w:rPr>
          <w:spacing w:val="-11"/>
          <w:sz w:val="28"/>
        </w:rPr>
        <w:t> </w:t>
      </w:r>
      <w:r>
        <w:rPr>
          <w:sz w:val="28"/>
        </w:rPr>
        <w:t>з</w:t>
      </w:r>
      <w:r>
        <w:rPr>
          <w:spacing w:val="-11"/>
          <w:sz w:val="28"/>
        </w:rPr>
        <w:t> </w:t>
      </w:r>
      <w:r>
        <w:rPr>
          <w:sz w:val="28"/>
        </w:rPr>
        <w:t>жадібністю</w:t>
      </w:r>
      <w:r>
        <w:rPr>
          <w:spacing w:val="-12"/>
          <w:sz w:val="28"/>
        </w:rPr>
        <w:t> </w:t>
      </w:r>
      <w:r>
        <w:rPr>
          <w:sz w:val="28"/>
        </w:rPr>
        <w:t>поїдати</w:t>
      </w:r>
      <w:r>
        <w:rPr>
          <w:spacing w:val="-11"/>
          <w:sz w:val="28"/>
        </w:rPr>
        <w:t> </w:t>
      </w:r>
      <w:r>
        <w:rPr>
          <w:sz w:val="28"/>
        </w:rPr>
        <w:t>корм. За весь час знаходження у загоні вівці не відходили від</w:t>
      </w:r>
      <w:r>
        <w:rPr>
          <w:spacing w:val="-8"/>
          <w:sz w:val="28"/>
        </w:rPr>
        <w:t> </w:t>
      </w:r>
      <w:r>
        <w:rPr>
          <w:sz w:val="28"/>
        </w:rPr>
        <w:t>годівниці;</w:t>
      </w:r>
    </w:p>
    <w:p>
      <w:pPr>
        <w:pStyle w:val="ListParagraph"/>
        <w:numPr>
          <w:ilvl w:val="0"/>
          <w:numId w:val="17"/>
        </w:numPr>
        <w:tabs>
          <w:tab w:pos="1053" w:val="left" w:leader="none"/>
        </w:tabs>
        <w:spacing w:line="240" w:lineRule="auto" w:before="0" w:after="0"/>
        <w:ind w:left="193" w:right="611" w:firstLine="710"/>
        <w:jc w:val="both"/>
        <w:rPr>
          <w:sz w:val="28"/>
        </w:rPr>
      </w:pPr>
      <w:r>
        <w:rPr>
          <w:sz w:val="28"/>
        </w:rPr>
        <w:t>вівці</w:t>
      </w:r>
      <w:r>
        <w:rPr>
          <w:spacing w:val="-22"/>
          <w:sz w:val="28"/>
        </w:rPr>
        <w:t> </w:t>
      </w:r>
      <w:r>
        <w:rPr>
          <w:sz w:val="28"/>
        </w:rPr>
        <w:t>ІІ</w:t>
      </w:r>
      <w:r>
        <w:rPr>
          <w:spacing w:val="-17"/>
          <w:sz w:val="28"/>
        </w:rPr>
        <w:t> </w:t>
      </w:r>
      <w:r>
        <w:rPr>
          <w:sz w:val="28"/>
        </w:rPr>
        <w:t>типу</w:t>
      </w:r>
      <w:r>
        <w:rPr>
          <w:spacing w:val="-21"/>
          <w:sz w:val="28"/>
        </w:rPr>
        <w:t> </w:t>
      </w:r>
      <w:r>
        <w:rPr>
          <w:sz w:val="28"/>
        </w:rPr>
        <w:t>входили</w:t>
      </w:r>
      <w:r>
        <w:rPr>
          <w:spacing w:val="-16"/>
          <w:sz w:val="28"/>
        </w:rPr>
        <w:t> </w:t>
      </w:r>
      <w:r>
        <w:rPr>
          <w:sz w:val="28"/>
        </w:rPr>
        <w:t>до</w:t>
      </w:r>
      <w:r>
        <w:rPr>
          <w:spacing w:val="-17"/>
          <w:sz w:val="28"/>
        </w:rPr>
        <w:t> </w:t>
      </w:r>
      <w:r>
        <w:rPr>
          <w:sz w:val="28"/>
        </w:rPr>
        <w:t>загону</w:t>
      </w:r>
      <w:r>
        <w:rPr>
          <w:spacing w:val="-21"/>
          <w:sz w:val="28"/>
        </w:rPr>
        <w:t> </w:t>
      </w:r>
      <w:r>
        <w:rPr>
          <w:sz w:val="28"/>
        </w:rPr>
        <w:t>разом</w:t>
      </w:r>
      <w:r>
        <w:rPr>
          <w:spacing w:val="-15"/>
          <w:sz w:val="28"/>
        </w:rPr>
        <w:t> </w:t>
      </w:r>
      <w:r>
        <w:rPr>
          <w:sz w:val="28"/>
        </w:rPr>
        <w:t>з</w:t>
      </w:r>
      <w:r>
        <w:rPr>
          <w:spacing w:val="-20"/>
          <w:sz w:val="28"/>
        </w:rPr>
        <w:t> </w:t>
      </w:r>
      <w:r>
        <w:rPr>
          <w:sz w:val="28"/>
        </w:rPr>
        <w:t>вівцями</w:t>
      </w:r>
      <w:r>
        <w:rPr>
          <w:spacing w:val="-11"/>
          <w:sz w:val="28"/>
        </w:rPr>
        <w:t> </w:t>
      </w:r>
      <w:r>
        <w:rPr>
          <w:sz w:val="28"/>
        </w:rPr>
        <w:t>І</w:t>
      </w:r>
      <w:r>
        <w:rPr>
          <w:spacing w:val="-18"/>
          <w:sz w:val="28"/>
        </w:rPr>
        <w:t> </w:t>
      </w:r>
      <w:r>
        <w:rPr>
          <w:sz w:val="28"/>
        </w:rPr>
        <w:t>типу</w:t>
      </w:r>
      <w:r>
        <w:rPr>
          <w:spacing w:val="-21"/>
          <w:sz w:val="28"/>
        </w:rPr>
        <w:t> </w:t>
      </w:r>
      <w:r>
        <w:rPr>
          <w:sz w:val="28"/>
        </w:rPr>
        <w:t>або</w:t>
      </w:r>
      <w:r>
        <w:rPr>
          <w:spacing w:val="-16"/>
          <w:sz w:val="28"/>
        </w:rPr>
        <w:t> </w:t>
      </w:r>
      <w:r>
        <w:rPr>
          <w:spacing w:val="-3"/>
          <w:sz w:val="28"/>
        </w:rPr>
        <w:t>їх</w:t>
      </w:r>
      <w:r>
        <w:rPr>
          <w:spacing w:val="-21"/>
          <w:sz w:val="28"/>
        </w:rPr>
        <w:t> </w:t>
      </w:r>
      <w:r>
        <w:rPr>
          <w:sz w:val="28"/>
        </w:rPr>
        <w:t>спрямовували примусово. Деякі з них підбігали до годівниці але отримавши відмітку втікали і більше до годівниці не наближалися, інші тварини підходили до корму через деякий час;</w:t>
      </w:r>
    </w:p>
    <w:p>
      <w:pPr>
        <w:pStyle w:val="ListParagraph"/>
        <w:numPr>
          <w:ilvl w:val="0"/>
          <w:numId w:val="17"/>
        </w:numPr>
        <w:tabs>
          <w:tab w:pos="1116" w:val="left" w:leader="none"/>
        </w:tabs>
        <w:spacing w:line="240" w:lineRule="auto" w:before="0" w:after="0"/>
        <w:ind w:left="193" w:right="622" w:firstLine="710"/>
        <w:jc w:val="both"/>
        <w:rPr>
          <w:sz w:val="28"/>
        </w:rPr>
      </w:pPr>
      <w:r>
        <w:rPr>
          <w:sz w:val="28"/>
        </w:rPr>
        <w:t>до ІІІ типу були віднесені більш обережні і полохливі тварини. Вони насилу заходили в загін та стояли у дальньому кутку, до годівниці не наближались. Іноді обережно підходили до годівниці хватали корм</w:t>
      </w:r>
      <w:r>
        <w:rPr>
          <w:spacing w:val="12"/>
          <w:sz w:val="28"/>
        </w:rPr>
        <w:t> </w:t>
      </w:r>
      <w:r>
        <w:rPr>
          <w:sz w:val="28"/>
        </w:rPr>
        <w:t>миттєво</w:t>
      </w:r>
    </w:p>
    <w:p>
      <w:pPr>
        <w:spacing w:after="0" w:line="240" w:lineRule="auto"/>
        <w:jc w:val="both"/>
        <w:rPr>
          <w:sz w:val="28"/>
        </w:rPr>
        <w:sectPr>
          <w:pgSz w:w="11910" w:h="16840"/>
          <w:pgMar w:header="713" w:footer="778" w:top="1140" w:bottom="960" w:left="940" w:right="520"/>
        </w:sectPr>
      </w:pPr>
    </w:p>
    <w:p>
      <w:pPr>
        <w:pStyle w:val="BodyText"/>
        <w:spacing w:line="322" w:lineRule="exact" w:before="92"/>
        <w:jc w:val="left"/>
      </w:pPr>
      <w:r>
        <w:rPr/>
        <w:t>відбігали.</w:t>
      </w:r>
    </w:p>
    <w:p>
      <w:pPr>
        <w:pStyle w:val="BodyText"/>
        <w:ind w:right="612" w:firstLine="710"/>
      </w:pPr>
      <w:r>
        <w:rPr/>
        <w:t>М’ясну продуктивність чистопородних і помісних ягнят вивчали шляхом проведення контрольної відгодівлі валашків на протязі 60 днів, (з </w:t>
      </w:r>
      <w:r>
        <w:rPr>
          <w:spacing w:val="8"/>
        </w:rPr>
        <w:t>6- </w:t>
      </w:r>
      <w:r>
        <w:rPr/>
        <w:t>до 8- місячного</w:t>
      </w:r>
      <w:r>
        <w:rPr>
          <w:spacing w:val="-16"/>
        </w:rPr>
        <w:t> </w:t>
      </w:r>
      <w:r>
        <w:rPr/>
        <w:t>віку)</w:t>
      </w:r>
      <w:r>
        <w:rPr>
          <w:spacing w:val="-14"/>
        </w:rPr>
        <w:t> </w:t>
      </w:r>
      <w:r>
        <w:rPr/>
        <w:t>і</w:t>
      </w:r>
      <w:r>
        <w:rPr>
          <w:spacing w:val="-15"/>
        </w:rPr>
        <w:t> </w:t>
      </w:r>
      <w:r>
        <w:rPr/>
        <w:t>їх</w:t>
      </w:r>
      <w:r>
        <w:rPr>
          <w:spacing w:val="-21"/>
        </w:rPr>
        <w:t> </w:t>
      </w:r>
      <w:r>
        <w:rPr/>
        <w:t>забою</w:t>
      </w:r>
      <w:r>
        <w:rPr>
          <w:spacing w:val="-13"/>
        </w:rPr>
        <w:t> </w:t>
      </w:r>
      <w:r>
        <w:rPr/>
        <w:t>у</w:t>
      </w:r>
      <w:r>
        <w:rPr>
          <w:spacing w:val="-21"/>
        </w:rPr>
        <w:t> </w:t>
      </w:r>
      <w:r>
        <w:rPr/>
        <w:t>8-місячному</w:t>
      </w:r>
      <w:r>
        <w:rPr>
          <w:spacing w:val="-16"/>
        </w:rPr>
        <w:t> </w:t>
      </w:r>
      <w:r>
        <w:rPr/>
        <w:t>віці</w:t>
      </w:r>
      <w:r>
        <w:rPr>
          <w:spacing w:val="-21"/>
        </w:rPr>
        <w:t> </w:t>
      </w:r>
      <w:r>
        <w:rPr/>
        <w:t>(за</w:t>
      </w:r>
      <w:r>
        <w:rPr>
          <w:spacing w:val="-14"/>
        </w:rPr>
        <w:t> </w:t>
      </w:r>
      <w:r>
        <w:rPr/>
        <w:t>методикою</w:t>
      </w:r>
      <w:r>
        <w:rPr>
          <w:spacing w:val="-13"/>
        </w:rPr>
        <w:t> </w:t>
      </w:r>
      <w:r>
        <w:rPr/>
        <w:t>ВІТ,1978).</w:t>
      </w:r>
      <w:r>
        <w:rPr>
          <w:spacing w:val="-14"/>
        </w:rPr>
        <w:t> </w:t>
      </w:r>
      <w:r>
        <w:rPr/>
        <w:t>Для</w:t>
      </w:r>
      <w:r>
        <w:rPr>
          <w:spacing w:val="-14"/>
        </w:rPr>
        <w:t> </w:t>
      </w:r>
      <w:r>
        <w:rPr/>
        <w:t>забою було відібрано по 5 валашків, типових для своїх груп за живою масою і тіло будовою.Вовнову продуктивність вивчали шляхом зважування рун немитої вовни під час стриження ярок з точністю до 0,1 кг, у вівці </w:t>
      </w:r>
      <w:r>
        <w:rPr>
          <w:spacing w:val="2"/>
        </w:rPr>
        <w:t>14-15 </w:t>
      </w:r>
      <w:r>
        <w:rPr/>
        <w:t>місяців.Фізичні властивості вовни вивчали під час індивідуального бонітування овець, у відповідності з «Інструкцією з бонітування овець» (2003), класування рун [4].Настриг немитої вовни визначили шляхом зважування кожного руна під час стриження овець на весні, довжину, тонину, вирівняність, пружність, жиропітність та блиск вовни </w:t>
      </w:r>
      <w:r>
        <w:rPr>
          <w:spacing w:val="-3"/>
        </w:rPr>
        <w:t>під </w:t>
      </w:r>
      <w:r>
        <w:rPr/>
        <w:t>час бонітування у відповідності до інструкції з бонітування овець розробленої прийнятої у 2003 році. Настриг митої вовни визначили</w:t>
      </w:r>
      <w:r>
        <w:rPr>
          <w:spacing w:val="-14"/>
        </w:rPr>
        <w:t> </w:t>
      </w:r>
      <w:r>
        <w:rPr/>
        <w:t>розрахунковим</w:t>
      </w:r>
      <w:r>
        <w:rPr>
          <w:spacing w:val="-13"/>
        </w:rPr>
        <w:t> </w:t>
      </w:r>
      <w:r>
        <w:rPr/>
        <w:t>методом</w:t>
      </w:r>
      <w:r>
        <w:rPr>
          <w:spacing w:val="-13"/>
        </w:rPr>
        <w:t> </w:t>
      </w:r>
      <w:r>
        <w:rPr/>
        <w:t>по</w:t>
      </w:r>
      <w:r>
        <w:rPr>
          <w:spacing w:val="-14"/>
        </w:rPr>
        <w:t> </w:t>
      </w:r>
      <w:r>
        <w:rPr/>
        <w:t>відношенню</w:t>
      </w:r>
      <w:r>
        <w:rPr>
          <w:spacing w:val="-15"/>
        </w:rPr>
        <w:t> </w:t>
      </w:r>
      <w:r>
        <w:rPr/>
        <w:t>до</w:t>
      </w:r>
      <w:r>
        <w:rPr>
          <w:spacing w:val="-14"/>
        </w:rPr>
        <w:t> </w:t>
      </w:r>
      <w:r>
        <w:rPr/>
        <w:t>немитої. Пружність</w:t>
      </w:r>
      <w:r>
        <w:rPr>
          <w:spacing w:val="-16"/>
        </w:rPr>
        <w:t> </w:t>
      </w:r>
      <w:r>
        <w:rPr/>
        <w:t>вовни та її блиск визначили візуально [3]. Загальну оцінку класу тварин, що визначається за комплексом конституційно – продуктивних ознак і ступенем відповідності до стандарту.Молочну продуктивність вівцематок визначали за першою лактацією методом контрольних доїнь, через кожні 15 днів на</w:t>
      </w:r>
      <w:r>
        <w:rPr>
          <w:spacing w:val="-11"/>
        </w:rPr>
        <w:t> </w:t>
      </w:r>
      <w:r>
        <w:rPr/>
        <w:t>протязі</w:t>
      </w:r>
    </w:p>
    <w:p>
      <w:pPr>
        <w:pStyle w:val="BodyText"/>
        <w:spacing w:before="4"/>
        <w:ind w:right="611"/>
      </w:pPr>
      <w:r>
        <w:rPr/>
        <w:t>153 днів лактації. Цифровий матеріал обробили методом варіаційної статистики.У наших дослідженнях проведена оцінка забійних якостей валашків різних етологічних типів. Для забою з кожної групи було відібрано по 5 голів валашків у віці 8 місяців. У відповідності з ДСТ 1935-55 всі тушки після забою були</w:t>
      </w:r>
      <w:r>
        <w:rPr>
          <w:spacing w:val="-9"/>
        </w:rPr>
        <w:t> </w:t>
      </w:r>
      <w:r>
        <w:rPr/>
        <w:t>віднесені</w:t>
      </w:r>
      <w:r>
        <w:rPr>
          <w:spacing w:val="-14"/>
        </w:rPr>
        <w:t> </w:t>
      </w:r>
      <w:r>
        <w:rPr/>
        <w:t>до</w:t>
      </w:r>
      <w:r>
        <w:rPr>
          <w:spacing w:val="-9"/>
        </w:rPr>
        <w:t> </w:t>
      </w:r>
      <w:r>
        <w:rPr/>
        <w:t>першої</w:t>
      </w:r>
      <w:r>
        <w:rPr>
          <w:spacing w:val="-14"/>
        </w:rPr>
        <w:t> </w:t>
      </w:r>
      <w:r>
        <w:rPr/>
        <w:t>категорії.Результати</w:t>
      </w:r>
      <w:r>
        <w:rPr>
          <w:spacing w:val="-8"/>
        </w:rPr>
        <w:t> </w:t>
      </w:r>
      <w:r>
        <w:rPr/>
        <w:t>контрольного</w:t>
      </w:r>
      <w:r>
        <w:rPr>
          <w:spacing w:val="-9"/>
        </w:rPr>
        <w:t> </w:t>
      </w:r>
      <w:r>
        <w:rPr/>
        <w:t>забою</w:t>
      </w:r>
      <w:r>
        <w:rPr>
          <w:spacing w:val="-10"/>
        </w:rPr>
        <w:t> </w:t>
      </w:r>
      <w:r>
        <w:rPr/>
        <w:t>показали,</w:t>
      </w:r>
      <w:r>
        <w:rPr>
          <w:spacing w:val="-7"/>
        </w:rPr>
        <w:t> </w:t>
      </w:r>
      <w:r>
        <w:rPr/>
        <w:t>що кращими</w:t>
      </w:r>
      <w:r>
        <w:rPr>
          <w:spacing w:val="-16"/>
        </w:rPr>
        <w:t> </w:t>
      </w:r>
      <w:r>
        <w:rPr/>
        <w:t>забійними</w:t>
      </w:r>
      <w:r>
        <w:rPr>
          <w:spacing w:val="-16"/>
        </w:rPr>
        <w:t> </w:t>
      </w:r>
      <w:r>
        <w:rPr/>
        <w:t>якостями</w:t>
      </w:r>
      <w:r>
        <w:rPr>
          <w:spacing w:val="-16"/>
        </w:rPr>
        <w:t> </w:t>
      </w:r>
      <w:r>
        <w:rPr/>
        <w:t>характеризувалися</w:t>
      </w:r>
      <w:r>
        <w:rPr>
          <w:spacing w:val="-15"/>
        </w:rPr>
        <w:t> </w:t>
      </w:r>
      <w:r>
        <w:rPr/>
        <w:t>помісі</w:t>
      </w:r>
      <w:r>
        <w:rPr>
          <w:spacing w:val="-20"/>
        </w:rPr>
        <w:t> </w:t>
      </w:r>
      <w:r>
        <w:rPr/>
        <w:t>дослідних</w:t>
      </w:r>
      <w:r>
        <w:rPr>
          <w:spacing w:val="-20"/>
        </w:rPr>
        <w:t> </w:t>
      </w:r>
      <w:r>
        <w:rPr/>
        <w:t>груп</w:t>
      </w:r>
      <w:r>
        <w:rPr>
          <w:spacing w:val="-16"/>
        </w:rPr>
        <w:t> </w:t>
      </w:r>
      <w:r>
        <w:rPr/>
        <w:t>(таблиця 1).Найбільш активні тварини переважали полохливих та обережних валашків за передзабійною масою, масою туші і забійному виходу. Так, за передзабійною масою різниця на користь активних овець склала: у ІІ групі – 7,5 % (Р&gt;0,95), І групі – 15,4 % (Р&gt;0,99); за забійною масою в ІІ групі – 9,0% (Р&gt;0,95), у І групі – 22,2 % (Р&gt;0,99).</w:t>
      </w:r>
    </w:p>
    <w:p>
      <w:pPr>
        <w:pStyle w:val="BodyText"/>
        <w:spacing w:line="319" w:lineRule="exact" w:after="7"/>
        <w:ind w:left="903"/>
      </w:pPr>
      <w:r>
        <w:rPr/>
        <w:t>Таблиця 1. Забійні якості валашків</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23"/>
        <w:gridCol w:w="1681"/>
        <w:gridCol w:w="1681"/>
        <w:gridCol w:w="1749"/>
      </w:tblGrid>
      <w:tr>
        <w:trPr>
          <w:trHeight w:val="325" w:hRule="atLeast"/>
        </w:trPr>
        <w:tc>
          <w:tcPr>
            <w:tcW w:w="4523" w:type="dxa"/>
            <w:vMerge w:val="restart"/>
          </w:tcPr>
          <w:p>
            <w:pPr>
              <w:pStyle w:val="TableParagraph"/>
              <w:spacing w:line="320" w:lineRule="exact"/>
              <w:ind w:left="584" w:right="461"/>
              <w:jc w:val="center"/>
              <w:rPr>
                <w:sz w:val="28"/>
              </w:rPr>
            </w:pPr>
            <w:r>
              <w:rPr>
                <w:sz w:val="28"/>
              </w:rPr>
              <w:t>Показники</w:t>
            </w:r>
          </w:p>
        </w:tc>
        <w:tc>
          <w:tcPr>
            <w:tcW w:w="5111" w:type="dxa"/>
            <w:gridSpan w:val="3"/>
          </w:tcPr>
          <w:p>
            <w:pPr>
              <w:pStyle w:val="TableParagraph"/>
              <w:spacing w:line="306" w:lineRule="exact"/>
              <w:ind w:left="2233" w:right="2112"/>
              <w:jc w:val="center"/>
              <w:rPr>
                <w:sz w:val="28"/>
              </w:rPr>
            </w:pPr>
            <w:r>
              <w:rPr>
                <w:sz w:val="28"/>
              </w:rPr>
              <w:t>Група</w:t>
            </w:r>
          </w:p>
        </w:tc>
      </w:tr>
      <w:tr>
        <w:trPr>
          <w:trHeight w:val="319" w:hRule="atLeast"/>
        </w:trPr>
        <w:tc>
          <w:tcPr>
            <w:tcW w:w="4523" w:type="dxa"/>
            <w:vMerge/>
            <w:tcBorders>
              <w:top w:val="nil"/>
            </w:tcBorders>
          </w:tcPr>
          <w:p>
            <w:pPr>
              <w:rPr>
                <w:sz w:val="2"/>
                <w:szCs w:val="2"/>
              </w:rPr>
            </w:pPr>
          </w:p>
        </w:tc>
        <w:tc>
          <w:tcPr>
            <w:tcW w:w="1681" w:type="dxa"/>
            <w:tcBorders>
              <w:bottom w:val="single" w:sz="6" w:space="0" w:color="000000"/>
            </w:tcBorders>
          </w:tcPr>
          <w:p>
            <w:pPr>
              <w:pStyle w:val="TableParagraph"/>
              <w:spacing w:line="299" w:lineRule="exact"/>
              <w:ind w:left="131"/>
              <w:jc w:val="center"/>
              <w:rPr>
                <w:sz w:val="28"/>
              </w:rPr>
            </w:pPr>
            <w:r>
              <w:rPr>
                <w:w w:val="99"/>
                <w:sz w:val="28"/>
              </w:rPr>
              <w:t>І</w:t>
            </w:r>
          </w:p>
        </w:tc>
        <w:tc>
          <w:tcPr>
            <w:tcW w:w="1681" w:type="dxa"/>
            <w:tcBorders>
              <w:bottom w:val="single" w:sz="6" w:space="0" w:color="000000"/>
            </w:tcBorders>
          </w:tcPr>
          <w:p>
            <w:pPr>
              <w:pStyle w:val="TableParagraph"/>
              <w:spacing w:line="299" w:lineRule="exact"/>
              <w:ind w:left="169" w:right="46"/>
              <w:jc w:val="center"/>
              <w:rPr>
                <w:sz w:val="28"/>
              </w:rPr>
            </w:pPr>
            <w:r>
              <w:rPr>
                <w:sz w:val="28"/>
              </w:rPr>
              <w:t>ІІ</w:t>
            </w:r>
          </w:p>
        </w:tc>
        <w:tc>
          <w:tcPr>
            <w:tcW w:w="1749" w:type="dxa"/>
            <w:tcBorders>
              <w:bottom w:val="single" w:sz="6" w:space="0" w:color="000000"/>
            </w:tcBorders>
          </w:tcPr>
          <w:p>
            <w:pPr>
              <w:pStyle w:val="TableParagraph"/>
              <w:spacing w:line="299" w:lineRule="exact"/>
              <w:ind w:left="768" w:right="650"/>
              <w:jc w:val="center"/>
              <w:rPr>
                <w:sz w:val="28"/>
              </w:rPr>
            </w:pPr>
            <w:r>
              <w:rPr>
                <w:sz w:val="28"/>
              </w:rPr>
              <w:t>ІІІ</w:t>
            </w:r>
          </w:p>
        </w:tc>
      </w:tr>
      <w:tr>
        <w:trPr>
          <w:trHeight w:val="318" w:hRule="atLeast"/>
        </w:trPr>
        <w:tc>
          <w:tcPr>
            <w:tcW w:w="4523" w:type="dxa"/>
            <w:vMerge/>
            <w:tcBorders>
              <w:top w:val="nil"/>
            </w:tcBorders>
          </w:tcPr>
          <w:p>
            <w:pPr>
              <w:rPr>
                <w:sz w:val="2"/>
                <w:szCs w:val="2"/>
              </w:rPr>
            </w:pPr>
          </w:p>
        </w:tc>
        <w:tc>
          <w:tcPr>
            <w:tcW w:w="1681" w:type="dxa"/>
            <w:tcBorders>
              <w:top w:val="single" w:sz="6" w:space="0" w:color="000000"/>
            </w:tcBorders>
          </w:tcPr>
          <w:p>
            <w:pPr>
              <w:pStyle w:val="TableParagraph"/>
              <w:spacing w:line="299" w:lineRule="exact"/>
              <w:ind w:left="170" w:right="46"/>
              <w:jc w:val="center"/>
              <w:rPr>
                <w:sz w:val="28"/>
              </w:rPr>
            </w:pPr>
            <w:r>
              <w:rPr>
                <w:sz w:val="28"/>
              </w:rPr>
              <w:t>Х±Sх</w:t>
            </w:r>
          </w:p>
        </w:tc>
        <w:tc>
          <w:tcPr>
            <w:tcW w:w="1681" w:type="dxa"/>
            <w:tcBorders>
              <w:top w:val="single" w:sz="6" w:space="0" w:color="000000"/>
            </w:tcBorders>
          </w:tcPr>
          <w:p>
            <w:pPr>
              <w:pStyle w:val="TableParagraph"/>
              <w:spacing w:line="299" w:lineRule="exact"/>
              <w:ind w:left="169" w:right="46"/>
              <w:jc w:val="center"/>
              <w:rPr>
                <w:sz w:val="28"/>
              </w:rPr>
            </w:pPr>
            <w:r>
              <w:rPr>
                <w:sz w:val="28"/>
              </w:rPr>
              <w:t>Х±Sх</w:t>
            </w:r>
          </w:p>
        </w:tc>
        <w:tc>
          <w:tcPr>
            <w:tcW w:w="1749" w:type="dxa"/>
            <w:tcBorders>
              <w:top w:val="single" w:sz="6" w:space="0" w:color="000000"/>
            </w:tcBorders>
          </w:tcPr>
          <w:p>
            <w:pPr>
              <w:pStyle w:val="TableParagraph"/>
              <w:spacing w:line="299" w:lineRule="exact"/>
              <w:ind w:left="604"/>
              <w:rPr>
                <w:sz w:val="28"/>
              </w:rPr>
            </w:pPr>
            <w:r>
              <w:rPr>
                <w:sz w:val="28"/>
              </w:rPr>
              <w:t>Х±Sх</w:t>
            </w:r>
          </w:p>
        </w:tc>
      </w:tr>
      <w:tr>
        <w:trPr>
          <w:trHeight w:val="321" w:hRule="atLeast"/>
        </w:trPr>
        <w:tc>
          <w:tcPr>
            <w:tcW w:w="4523" w:type="dxa"/>
          </w:tcPr>
          <w:p>
            <w:pPr>
              <w:pStyle w:val="TableParagraph"/>
              <w:spacing w:line="301" w:lineRule="exact"/>
              <w:ind w:left="585" w:right="457"/>
              <w:jc w:val="center"/>
              <w:rPr>
                <w:sz w:val="28"/>
              </w:rPr>
            </w:pPr>
            <w:r>
              <w:rPr>
                <w:sz w:val="28"/>
              </w:rPr>
              <w:t>Кількість овець, гол.</w:t>
            </w:r>
          </w:p>
        </w:tc>
        <w:tc>
          <w:tcPr>
            <w:tcW w:w="1681" w:type="dxa"/>
          </w:tcPr>
          <w:p>
            <w:pPr>
              <w:pStyle w:val="TableParagraph"/>
              <w:spacing w:line="301" w:lineRule="exact"/>
              <w:ind w:left="129"/>
              <w:jc w:val="center"/>
              <w:rPr>
                <w:sz w:val="28"/>
              </w:rPr>
            </w:pPr>
            <w:r>
              <w:rPr>
                <w:w w:val="99"/>
                <w:sz w:val="28"/>
              </w:rPr>
              <w:t>5</w:t>
            </w:r>
          </w:p>
        </w:tc>
        <w:tc>
          <w:tcPr>
            <w:tcW w:w="1681" w:type="dxa"/>
          </w:tcPr>
          <w:p>
            <w:pPr>
              <w:pStyle w:val="TableParagraph"/>
              <w:spacing w:line="301" w:lineRule="exact"/>
              <w:ind w:left="118"/>
              <w:jc w:val="center"/>
              <w:rPr>
                <w:sz w:val="28"/>
              </w:rPr>
            </w:pPr>
            <w:r>
              <w:rPr>
                <w:w w:val="99"/>
                <w:sz w:val="28"/>
              </w:rPr>
              <w:t>5</w:t>
            </w:r>
          </w:p>
        </w:tc>
        <w:tc>
          <w:tcPr>
            <w:tcW w:w="1749" w:type="dxa"/>
          </w:tcPr>
          <w:p>
            <w:pPr>
              <w:pStyle w:val="TableParagraph"/>
              <w:spacing w:line="301" w:lineRule="exact"/>
              <w:ind w:left="118"/>
              <w:jc w:val="center"/>
              <w:rPr>
                <w:sz w:val="28"/>
              </w:rPr>
            </w:pPr>
            <w:r>
              <w:rPr>
                <w:w w:val="99"/>
                <w:sz w:val="28"/>
              </w:rPr>
              <w:t>5</w:t>
            </w:r>
          </w:p>
        </w:tc>
      </w:tr>
      <w:tr>
        <w:trPr>
          <w:trHeight w:val="321" w:hRule="atLeast"/>
        </w:trPr>
        <w:tc>
          <w:tcPr>
            <w:tcW w:w="4523" w:type="dxa"/>
          </w:tcPr>
          <w:p>
            <w:pPr>
              <w:pStyle w:val="TableParagraph"/>
              <w:spacing w:line="301" w:lineRule="exact"/>
              <w:ind w:left="585" w:right="458"/>
              <w:jc w:val="center"/>
              <w:rPr>
                <w:sz w:val="28"/>
              </w:rPr>
            </w:pPr>
            <w:r>
              <w:rPr>
                <w:sz w:val="28"/>
              </w:rPr>
              <w:t>Передзабійна жива маса, кг</w:t>
            </w:r>
          </w:p>
        </w:tc>
        <w:tc>
          <w:tcPr>
            <w:tcW w:w="1681" w:type="dxa"/>
          </w:tcPr>
          <w:p>
            <w:pPr>
              <w:pStyle w:val="TableParagraph"/>
              <w:spacing w:line="301" w:lineRule="exact"/>
              <w:ind w:left="170" w:right="41"/>
              <w:jc w:val="center"/>
              <w:rPr>
                <w:sz w:val="28"/>
              </w:rPr>
            </w:pPr>
            <w:r>
              <w:rPr>
                <w:sz w:val="28"/>
              </w:rPr>
              <w:t>36,80±0,91</w:t>
            </w:r>
          </w:p>
        </w:tc>
        <w:tc>
          <w:tcPr>
            <w:tcW w:w="1681" w:type="dxa"/>
          </w:tcPr>
          <w:p>
            <w:pPr>
              <w:pStyle w:val="TableParagraph"/>
              <w:spacing w:line="301" w:lineRule="exact"/>
              <w:ind w:left="169" w:right="46"/>
              <w:jc w:val="center"/>
              <w:rPr>
                <w:sz w:val="28"/>
              </w:rPr>
            </w:pPr>
            <w:r>
              <w:rPr>
                <w:sz w:val="28"/>
              </w:rPr>
              <w:t>34,31±0,5</w:t>
            </w:r>
          </w:p>
        </w:tc>
        <w:tc>
          <w:tcPr>
            <w:tcW w:w="1749" w:type="dxa"/>
          </w:tcPr>
          <w:p>
            <w:pPr>
              <w:pStyle w:val="TableParagraph"/>
              <w:spacing w:line="301" w:lineRule="exact"/>
              <w:ind w:left="292"/>
              <w:rPr>
                <w:sz w:val="28"/>
              </w:rPr>
            </w:pPr>
            <w:r>
              <w:rPr>
                <w:sz w:val="28"/>
              </w:rPr>
              <w:t>31,90±0,62</w:t>
            </w:r>
          </w:p>
        </w:tc>
      </w:tr>
      <w:tr>
        <w:trPr>
          <w:trHeight w:val="321" w:hRule="atLeast"/>
        </w:trPr>
        <w:tc>
          <w:tcPr>
            <w:tcW w:w="4523" w:type="dxa"/>
          </w:tcPr>
          <w:p>
            <w:pPr>
              <w:pStyle w:val="TableParagraph"/>
              <w:spacing w:line="301" w:lineRule="exact"/>
              <w:ind w:left="585" w:right="455"/>
              <w:jc w:val="center"/>
              <w:rPr>
                <w:sz w:val="28"/>
              </w:rPr>
            </w:pPr>
            <w:r>
              <w:rPr>
                <w:sz w:val="28"/>
              </w:rPr>
              <w:t>Забійна маса, кг</w:t>
            </w:r>
          </w:p>
        </w:tc>
        <w:tc>
          <w:tcPr>
            <w:tcW w:w="1681" w:type="dxa"/>
          </w:tcPr>
          <w:p>
            <w:pPr>
              <w:pStyle w:val="TableParagraph"/>
              <w:spacing w:line="301" w:lineRule="exact"/>
              <w:ind w:left="170" w:right="41"/>
              <w:jc w:val="center"/>
              <w:rPr>
                <w:sz w:val="28"/>
              </w:rPr>
            </w:pPr>
            <w:r>
              <w:rPr>
                <w:sz w:val="28"/>
              </w:rPr>
              <w:t>18,19±0,66</w:t>
            </w:r>
          </w:p>
        </w:tc>
        <w:tc>
          <w:tcPr>
            <w:tcW w:w="1681" w:type="dxa"/>
          </w:tcPr>
          <w:p>
            <w:pPr>
              <w:pStyle w:val="TableParagraph"/>
              <w:spacing w:line="301" w:lineRule="exact"/>
              <w:ind w:left="164" w:right="46"/>
              <w:jc w:val="center"/>
              <w:rPr>
                <w:sz w:val="28"/>
              </w:rPr>
            </w:pPr>
            <w:r>
              <w:rPr>
                <w:sz w:val="28"/>
              </w:rPr>
              <w:t>16,23±0,43</w:t>
            </w:r>
          </w:p>
        </w:tc>
        <w:tc>
          <w:tcPr>
            <w:tcW w:w="1749" w:type="dxa"/>
          </w:tcPr>
          <w:p>
            <w:pPr>
              <w:pStyle w:val="TableParagraph"/>
              <w:spacing w:line="301" w:lineRule="exact"/>
              <w:ind w:left="292"/>
              <w:rPr>
                <w:sz w:val="28"/>
              </w:rPr>
            </w:pPr>
            <w:r>
              <w:rPr>
                <w:sz w:val="28"/>
              </w:rPr>
              <w:t>14,89±0,27</w:t>
            </w:r>
          </w:p>
        </w:tc>
      </w:tr>
      <w:tr>
        <w:trPr>
          <w:trHeight w:val="326" w:hRule="atLeast"/>
        </w:trPr>
        <w:tc>
          <w:tcPr>
            <w:tcW w:w="4523" w:type="dxa"/>
          </w:tcPr>
          <w:p>
            <w:pPr>
              <w:pStyle w:val="TableParagraph"/>
              <w:spacing w:line="306" w:lineRule="exact"/>
              <w:ind w:left="585" w:right="459"/>
              <w:jc w:val="center"/>
              <w:rPr>
                <w:sz w:val="28"/>
              </w:rPr>
            </w:pPr>
            <w:r>
              <w:rPr>
                <w:sz w:val="28"/>
              </w:rPr>
              <w:t>Маса туші, кг</w:t>
            </w:r>
          </w:p>
        </w:tc>
        <w:tc>
          <w:tcPr>
            <w:tcW w:w="1681" w:type="dxa"/>
          </w:tcPr>
          <w:p>
            <w:pPr>
              <w:pStyle w:val="TableParagraph"/>
              <w:spacing w:line="306" w:lineRule="exact"/>
              <w:ind w:left="170" w:right="41"/>
              <w:jc w:val="center"/>
              <w:rPr>
                <w:sz w:val="28"/>
              </w:rPr>
            </w:pPr>
            <w:r>
              <w:rPr>
                <w:sz w:val="28"/>
              </w:rPr>
              <w:t>17,60±0,65</w:t>
            </w:r>
          </w:p>
        </w:tc>
        <w:tc>
          <w:tcPr>
            <w:tcW w:w="1681" w:type="dxa"/>
          </w:tcPr>
          <w:p>
            <w:pPr>
              <w:pStyle w:val="TableParagraph"/>
              <w:spacing w:line="306" w:lineRule="exact"/>
              <w:ind w:left="169" w:right="46"/>
              <w:jc w:val="center"/>
              <w:rPr>
                <w:sz w:val="28"/>
              </w:rPr>
            </w:pPr>
            <w:r>
              <w:rPr>
                <w:sz w:val="28"/>
              </w:rPr>
              <w:t>15,7±0,42</w:t>
            </w:r>
          </w:p>
        </w:tc>
        <w:tc>
          <w:tcPr>
            <w:tcW w:w="1749" w:type="dxa"/>
          </w:tcPr>
          <w:p>
            <w:pPr>
              <w:pStyle w:val="TableParagraph"/>
              <w:spacing w:line="306" w:lineRule="exact"/>
              <w:ind w:left="292"/>
              <w:rPr>
                <w:sz w:val="28"/>
              </w:rPr>
            </w:pPr>
            <w:r>
              <w:rPr>
                <w:sz w:val="28"/>
              </w:rPr>
              <w:t>14,42±0,26</w:t>
            </w:r>
          </w:p>
        </w:tc>
      </w:tr>
      <w:tr>
        <w:trPr>
          <w:trHeight w:val="321" w:hRule="atLeast"/>
        </w:trPr>
        <w:tc>
          <w:tcPr>
            <w:tcW w:w="4523" w:type="dxa"/>
          </w:tcPr>
          <w:p>
            <w:pPr>
              <w:pStyle w:val="TableParagraph"/>
              <w:spacing w:line="302" w:lineRule="exact"/>
              <w:ind w:left="585" w:right="461"/>
              <w:jc w:val="center"/>
              <w:rPr>
                <w:sz w:val="28"/>
              </w:rPr>
            </w:pPr>
            <w:r>
              <w:rPr>
                <w:sz w:val="28"/>
              </w:rPr>
              <w:t>Маса внутрішнього жиру, кг</w:t>
            </w:r>
          </w:p>
        </w:tc>
        <w:tc>
          <w:tcPr>
            <w:tcW w:w="1681" w:type="dxa"/>
          </w:tcPr>
          <w:p>
            <w:pPr>
              <w:pStyle w:val="TableParagraph"/>
              <w:spacing w:line="302" w:lineRule="exact"/>
              <w:ind w:left="170" w:right="46"/>
              <w:jc w:val="center"/>
              <w:rPr>
                <w:sz w:val="28"/>
              </w:rPr>
            </w:pPr>
            <w:r>
              <w:rPr>
                <w:sz w:val="28"/>
              </w:rPr>
              <w:t>0,585±0,014</w:t>
            </w:r>
          </w:p>
        </w:tc>
        <w:tc>
          <w:tcPr>
            <w:tcW w:w="1681" w:type="dxa"/>
          </w:tcPr>
          <w:p>
            <w:pPr>
              <w:pStyle w:val="TableParagraph"/>
              <w:spacing w:line="302" w:lineRule="exact"/>
              <w:ind w:left="169" w:right="46"/>
              <w:jc w:val="center"/>
              <w:rPr>
                <w:sz w:val="28"/>
              </w:rPr>
            </w:pPr>
            <w:r>
              <w:rPr>
                <w:sz w:val="28"/>
              </w:rPr>
              <w:t>0,526±0,018</w:t>
            </w:r>
          </w:p>
        </w:tc>
        <w:tc>
          <w:tcPr>
            <w:tcW w:w="1749" w:type="dxa"/>
          </w:tcPr>
          <w:p>
            <w:pPr>
              <w:pStyle w:val="TableParagraph"/>
              <w:spacing w:line="302" w:lineRule="exact"/>
              <w:ind w:left="224"/>
              <w:rPr>
                <w:sz w:val="28"/>
              </w:rPr>
            </w:pPr>
            <w:r>
              <w:rPr>
                <w:sz w:val="28"/>
              </w:rPr>
              <w:t>0,472±0,019</w:t>
            </w:r>
          </w:p>
        </w:tc>
      </w:tr>
      <w:tr>
        <w:trPr>
          <w:trHeight w:val="321" w:hRule="atLeast"/>
        </w:trPr>
        <w:tc>
          <w:tcPr>
            <w:tcW w:w="4523" w:type="dxa"/>
          </w:tcPr>
          <w:p>
            <w:pPr>
              <w:pStyle w:val="TableParagraph"/>
              <w:spacing w:line="301" w:lineRule="exact"/>
              <w:ind w:left="585" w:right="457"/>
              <w:jc w:val="center"/>
              <w:rPr>
                <w:sz w:val="28"/>
              </w:rPr>
            </w:pPr>
            <w:r>
              <w:rPr>
                <w:sz w:val="28"/>
              </w:rPr>
              <w:t>Забійний вихід, %</w:t>
            </w:r>
          </w:p>
        </w:tc>
        <w:tc>
          <w:tcPr>
            <w:tcW w:w="1681" w:type="dxa"/>
          </w:tcPr>
          <w:p>
            <w:pPr>
              <w:pStyle w:val="TableParagraph"/>
              <w:spacing w:line="301" w:lineRule="exact"/>
              <w:ind w:left="170" w:right="41"/>
              <w:jc w:val="center"/>
              <w:rPr>
                <w:sz w:val="28"/>
              </w:rPr>
            </w:pPr>
            <w:r>
              <w:rPr>
                <w:sz w:val="28"/>
              </w:rPr>
              <w:t>49,41±1,28</w:t>
            </w:r>
          </w:p>
        </w:tc>
        <w:tc>
          <w:tcPr>
            <w:tcW w:w="1681" w:type="dxa"/>
          </w:tcPr>
          <w:p>
            <w:pPr>
              <w:pStyle w:val="TableParagraph"/>
              <w:spacing w:line="301" w:lineRule="exact"/>
              <w:ind w:left="164" w:right="46"/>
              <w:jc w:val="center"/>
              <w:rPr>
                <w:sz w:val="28"/>
              </w:rPr>
            </w:pPr>
            <w:r>
              <w:rPr>
                <w:sz w:val="28"/>
              </w:rPr>
              <w:t>47,33±0,49</w:t>
            </w:r>
          </w:p>
        </w:tc>
        <w:tc>
          <w:tcPr>
            <w:tcW w:w="1749" w:type="dxa"/>
          </w:tcPr>
          <w:p>
            <w:pPr>
              <w:pStyle w:val="TableParagraph"/>
              <w:spacing w:line="301" w:lineRule="exact"/>
              <w:ind w:left="292"/>
              <w:rPr>
                <w:sz w:val="28"/>
              </w:rPr>
            </w:pPr>
            <w:r>
              <w:rPr>
                <w:sz w:val="28"/>
              </w:rPr>
              <w:t>46,71±0,80</w:t>
            </w:r>
          </w:p>
        </w:tc>
      </w:tr>
    </w:tbl>
    <w:p>
      <w:pPr>
        <w:pStyle w:val="BodyText"/>
        <w:spacing w:before="4"/>
        <w:ind w:left="0"/>
        <w:jc w:val="left"/>
        <w:rPr>
          <w:sz w:val="27"/>
        </w:rPr>
      </w:pPr>
    </w:p>
    <w:p>
      <w:pPr>
        <w:pStyle w:val="BodyText"/>
        <w:ind w:right="612" w:firstLine="710"/>
      </w:pPr>
      <w:r>
        <w:rPr/>
        <w:t>За</w:t>
      </w:r>
      <w:r>
        <w:rPr>
          <w:spacing w:val="-16"/>
        </w:rPr>
        <w:t> </w:t>
      </w:r>
      <w:r>
        <w:rPr/>
        <w:t>масою</w:t>
      </w:r>
      <w:r>
        <w:rPr>
          <w:spacing w:val="-19"/>
        </w:rPr>
        <w:t> </w:t>
      </w:r>
      <w:r>
        <w:rPr/>
        <w:t>туші</w:t>
      </w:r>
      <w:r>
        <w:rPr>
          <w:spacing w:val="-21"/>
        </w:rPr>
        <w:t> </w:t>
      </w:r>
      <w:r>
        <w:rPr/>
        <w:t>спостерігається</w:t>
      </w:r>
      <w:r>
        <w:rPr>
          <w:spacing w:val="-15"/>
        </w:rPr>
        <w:t> </w:t>
      </w:r>
      <w:r>
        <w:rPr/>
        <w:t>аналогічна</w:t>
      </w:r>
      <w:r>
        <w:rPr>
          <w:spacing w:val="-16"/>
        </w:rPr>
        <w:t> </w:t>
      </w:r>
      <w:r>
        <w:rPr/>
        <w:t>тенденція.</w:t>
      </w:r>
      <w:r>
        <w:rPr>
          <w:spacing w:val="-15"/>
        </w:rPr>
        <w:t> </w:t>
      </w:r>
      <w:r>
        <w:rPr/>
        <w:t>Туші</w:t>
      </w:r>
      <w:r>
        <w:rPr>
          <w:spacing w:val="-21"/>
        </w:rPr>
        <w:t> </w:t>
      </w:r>
      <w:r>
        <w:rPr/>
        <w:t>помісей</w:t>
      </w:r>
      <w:r>
        <w:rPr>
          <w:spacing w:val="-12"/>
        </w:rPr>
        <w:t> </w:t>
      </w:r>
      <w:r>
        <w:rPr/>
        <w:t>ІІ</w:t>
      </w:r>
      <w:r>
        <w:rPr>
          <w:spacing w:val="-18"/>
        </w:rPr>
        <w:t> </w:t>
      </w:r>
      <w:r>
        <w:rPr/>
        <w:t>групи виявилися важчими на 8,9% (Р&gt;0,95), а І групи на 22, 1% (Р&gt;0,99), </w:t>
      </w:r>
      <w:r>
        <w:rPr>
          <w:spacing w:val="-3"/>
        </w:rPr>
        <w:t>ніж </w:t>
      </w:r>
      <w:r>
        <w:rPr/>
        <w:t>туші молодняку</w:t>
      </w:r>
      <w:r>
        <w:rPr>
          <w:spacing w:val="-17"/>
        </w:rPr>
        <w:t> </w:t>
      </w:r>
      <w:r>
        <w:rPr/>
        <w:t>ІІІ</w:t>
      </w:r>
      <w:r>
        <w:rPr>
          <w:spacing w:val="-14"/>
        </w:rPr>
        <w:t> </w:t>
      </w:r>
      <w:r>
        <w:rPr/>
        <w:t>групи.</w:t>
      </w:r>
      <w:r>
        <w:rPr>
          <w:spacing w:val="-11"/>
        </w:rPr>
        <w:t> </w:t>
      </w:r>
      <w:r>
        <w:rPr/>
        <w:t>Туші</w:t>
      </w:r>
      <w:r>
        <w:rPr>
          <w:spacing w:val="-14"/>
        </w:rPr>
        <w:t> </w:t>
      </w:r>
      <w:r>
        <w:rPr/>
        <w:t>ягнят</w:t>
      </w:r>
      <w:r>
        <w:rPr>
          <w:spacing w:val="-14"/>
        </w:rPr>
        <w:t> </w:t>
      </w:r>
      <w:r>
        <w:rPr/>
        <w:t>І</w:t>
      </w:r>
      <w:r>
        <w:rPr>
          <w:spacing w:val="-14"/>
        </w:rPr>
        <w:t> </w:t>
      </w:r>
      <w:r>
        <w:rPr/>
        <w:t>і</w:t>
      </w:r>
      <w:r>
        <w:rPr>
          <w:spacing w:val="-17"/>
        </w:rPr>
        <w:t> </w:t>
      </w:r>
      <w:r>
        <w:rPr/>
        <w:t>ІІ</w:t>
      </w:r>
      <w:r>
        <w:rPr>
          <w:spacing w:val="-14"/>
        </w:rPr>
        <w:t> </w:t>
      </w:r>
      <w:r>
        <w:rPr/>
        <w:t>групи</w:t>
      </w:r>
      <w:r>
        <w:rPr>
          <w:spacing w:val="-12"/>
        </w:rPr>
        <w:t> </w:t>
      </w:r>
      <w:r>
        <w:rPr/>
        <w:t>характеризувалися</w:t>
      </w:r>
      <w:r>
        <w:rPr>
          <w:spacing w:val="-11"/>
        </w:rPr>
        <w:t> </w:t>
      </w:r>
      <w:r>
        <w:rPr/>
        <w:t>високим</w:t>
      </w:r>
      <w:r>
        <w:rPr>
          <w:spacing w:val="-12"/>
        </w:rPr>
        <w:t> </w:t>
      </w:r>
      <w:r>
        <w:rPr/>
        <w:t>забійним виходом. Різниця між групами, що зрівнюються за забійним виходом</w:t>
      </w:r>
      <w:r>
        <w:rPr>
          <w:spacing w:val="24"/>
        </w:rPr>
        <w:t> </w:t>
      </w:r>
      <w:r>
        <w:rPr/>
        <w:t>складає:</w:t>
      </w:r>
    </w:p>
    <w:p>
      <w:pPr>
        <w:spacing w:after="0"/>
        <w:sectPr>
          <w:pgSz w:w="11910" w:h="16840"/>
          <w:pgMar w:header="713" w:footer="778" w:top="1140" w:bottom="960" w:left="940" w:right="520"/>
        </w:sectPr>
      </w:pPr>
    </w:p>
    <w:p>
      <w:pPr>
        <w:pStyle w:val="BodyText"/>
        <w:spacing w:before="92"/>
        <w:ind w:right="611"/>
      </w:pPr>
      <w:r>
        <w:rPr/>
        <w:t>між ІІІ і ІІ – 0,62 абсолютних відсотка на користь ІІ групи; між І і ІІІ – 2,7 абсолютних відсотка на користь І групи. За масою внутрішнього жиру помісі І групи</w:t>
      </w:r>
      <w:r>
        <w:rPr>
          <w:spacing w:val="-7"/>
        </w:rPr>
        <w:t> </w:t>
      </w:r>
      <w:r>
        <w:rPr/>
        <w:t>на</w:t>
      </w:r>
      <w:r>
        <w:rPr>
          <w:spacing w:val="-7"/>
        </w:rPr>
        <w:t> </w:t>
      </w:r>
      <w:r>
        <w:rPr/>
        <w:t>23,9</w:t>
      </w:r>
      <w:r>
        <w:rPr>
          <w:spacing w:val="-7"/>
        </w:rPr>
        <w:t> </w:t>
      </w:r>
      <w:r>
        <w:rPr/>
        <w:t>%</w:t>
      </w:r>
      <w:r>
        <w:rPr>
          <w:spacing w:val="-9"/>
        </w:rPr>
        <w:t> </w:t>
      </w:r>
      <w:r>
        <w:rPr/>
        <w:t>переважали</w:t>
      </w:r>
      <w:r>
        <w:rPr>
          <w:spacing w:val="-7"/>
        </w:rPr>
        <w:t> </w:t>
      </w:r>
      <w:r>
        <w:rPr/>
        <w:t>ровесників</w:t>
      </w:r>
      <w:r>
        <w:rPr>
          <w:spacing w:val="-9"/>
        </w:rPr>
        <w:t> </w:t>
      </w:r>
      <w:r>
        <w:rPr/>
        <w:t>ІІІ</w:t>
      </w:r>
      <w:r>
        <w:rPr>
          <w:spacing w:val="-9"/>
        </w:rPr>
        <w:t> </w:t>
      </w:r>
      <w:r>
        <w:rPr/>
        <w:t>групи,</w:t>
      </w:r>
      <w:r>
        <w:rPr>
          <w:spacing w:val="-5"/>
        </w:rPr>
        <w:t> </w:t>
      </w:r>
      <w:r>
        <w:rPr/>
        <w:t>і</w:t>
      </w:r>
      <w:r>
        <w:rPr>
          <w:spacing w:val="-13"/>
        </w:rPr>
        <w:t> </w:t>
      </w:r>
      <w:r>
        <w:rPr/>
        <w:t>на</w:t>
      </w:r>
      <w:r>
        <w:rPr>
          <w:spacing w:val="-7"/>
        </w:rPr>
        <w:t> </w:t>
      </w:r>
      <w:r>
        <w:rPr/>
        <w:t>11,2</w:t>
      </w:r>
      <w:r>
        <w:rPr>
          <w:spacing w:val="-7"/>
        </w:rPr>
        <w:t> </w:t>
      </w:r>
      <w:r>
        <w:rPr/>
        <w:t>%</w:t>
      </w:r>
      <w:r>
        <w:rPr>
          <w:spacing w:val="-9"/>
        </w:rPr>
        <w:t> </w:t>
      </w:r>
      <w:r>
        <w:rPr/>
        <w:t>помісний</w:t>
      </w:r>
      <w:r>
        <w:rPr>
          <w:spacing w:val="-8"/>
        </w:rPr>
        <w:t> </w:t>
      </w:r>
      <w:r>
        <w:rPr/>
        <w:t>молодняк ІІ</w:t>
      </w:r>
      <w:r>
        <w:rPr>
          <w:spacing w:val="-1"/>
        </w:rPr>
        <w:t> </w:t>
      </w:r>
      <w:r>
        <w:rPr/>
        <w:t>групи.</w:t>
      </w:r>
    </w:p>
    <w:p>
      <w:pPr>
        <w:pStyle w:val="BodyText"/>
        <w:spacing w:line="242" w:lineRule="auto"/>
        <w:ind w:right="617" w:firstLine="710"/>
      </w:pPr>
      <w:r>
        <w:rPr/>
        <w:t>У наших дослідження для вивчення морфологічного складу було проведено обвалювання туш валашків різних типів поведінки (таблиця 2).</w:t>
      </w:r>
    </w:p>
    <w:p>
      <w:pPr>
        <w:pStyle w:val="BodyText"/>
        <w:spacing w:line="320" w:lineRule="exact" w:after="6"/>
        <w:ind w:left="903"/>
      </w:pPr>
      <w:r>
        <w:rPr/>
        <w:t>Таблиця 2. Морфологічний склад</w:t>
      </w:r>
      <w:r>
        <w:rPr>
          <w:spacing w:val="-14"/>
        </w:rPr>
        <w:t> </w:t>
      </w:r>
      <w:r>
        <w:rPr/>
        <w:t>туші</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01"/>
        <w:gridCol w:w="2189"/>
        <w:gridCol w:w="2353"/>
        <w:gridCol w:w="1590"/>
      </w:tblGrid>
      <w:tr>
        <w:trPr>
          <w:trHeight w:val="321" w:hRule="atLeast"/>
        </w:trPr>
        <w:tc>
          <w:tcPr>
            <w:tcW w:w="3501" w:type="dxa"/>
            <w:vMerge w:val="restart"/>
          </w:tcPr>
          <w:p>
            <w:pPr>
              <w:pStyle w:val="TableParagraph"/>
              <w:spacing w:line="315" w:lineRule="exact"/>
              <w:ind w:left="1161"/>
              <w:rPr>
                <w:sz w:val="28"/>
              </w:rPr>
            </w:pPr>
            <w:r>
              <w:rPr>
                <w:sz w:val="28"/>
              </w:rPr>
              <w:t>Показники</w:t>
            </w:r>
          </w:p>
        </w:tc>
        <w:tc>
          <w:tcPr>
            <w:tcW w:w="6132" w:type="dxa"/>
            <w:gridSpan w:val="3"/>
          </w:tcPr>
          <w:p>
            <w:pPr>
              <w:pStyle w:val="TableParagraph"/>
              <w:spacing w:line="301" w:lineRule="exact"/>
              <w:ind w:left="2741" w:right="2624"/>
              <w:jc w:val="center"/>
              <w:rPr>
                <w:sz w:val="28"/>
              </w:rPr>
            </w:pPr>
            <w:r>
              <w:rPr>
                <w:sz w:val="28"/>
              </w:rPr>
              <w:t>Група</w:t>
            </w:r>
          </w:p>
        </w:tc>
      </w:tr>
      <w:tr>
        <w:trPr>
          <w:trHeight w:val="321" w:hRule="atLeast"/>
        </w:trPr>
        <w:tc>
          <w:tcPr>
            <w:tcW w:w="3501" w:type="dxa"/>
            <w:vMerge/>
            <w:tcBorders>
              <w:top w:val="nil"/>
            </w:tcBorders>
          </w:tcPr>
          <w:p>
            <w:pPr>
              <w:rPr>
                <w:sz w:val="2"/>
                <w:szCs w:val="2"/>
              </w:rPr>
            </w:pPr>
          </w:p>
        </w:tc>
        <w:tc>
          <w:tcPr>
            <w:tcW w:w="2189" w:type="dxa"/>
          </w:tcPr>
          <w:p>
            <w:pPr>
              <w:pStyle w:val="TableParagraph"/>
              <w:spacing w:line="301" w:lineRule="exact"/>
              <w:ind w:left="131"/>
              <w:jc w:val="center"/>
              <w:rPr>
                <w:sz w:val="28"/>
              </w:rPr>
            </w:pPr>
            <w:r>
              <w:rPr>
                <w:w w:val="99"/>
                <w:sz w:val="28"/>
              </w:rPr>
              <w:t>І</w:t>
            </w:r>
          </w:p>
        </w:tc>
        <w:tc>
          <w:tcPr>
            <w:tcW w:w="2353" w:type="dxa"/>
          </w:tcPr>
          <w:p>
            <w:pPr>
              <w:pStyle w:val="TableParagraph"/>
              <w:spacing w:line="301" w:lineRule="exact"/>
              <w:ind w:left="574" w:right="450"/>
              <w:jc w:val="center"/>
              <w:rPr>
                <w:sz w:val="28"/>
              </w:rPr>
            </w:pPr>
            <w:r>
              <w:rPr>
                <w:sz w:val="28"/>
              </w:rPr>
              <w:t>ІІ</w:t>
            </w:r>
          </w:p>
        </w:tc>
        <w:tc>
          <w:tcPr>
            <w:tcW w:w="1590" w:type="dxa"/>
          </w:tcPr>
          <w:p>
            <w:pPr>
              <w:pStyle w:val="TableParagraph"/>
              <w:spacing w:line="301" w:lineRule="exact"/>
              <w:ind w:left="194" w:right="70"/>
              <w:jc w:val="center"/>
              <w:rPr>
                <w:sz w:val="28"/>
              </w:rPr>
            </w:pPr>
            <w:r>
              <w:rPr>
                <w:sz w:val="28"/>
              </w:rPr>
              <w:t>ІІІ</w:t>
            </w:r>
          </w:p>
        </w:tc>
      </w:tr>
      <w:tr>
        <w:trPr>
          <w:trHeight w:val="321" w:hRule="atLeast"/>
        </w:trPr>
        <w:tc>
          <w:tcPr>
            <w:tcW w:w="3501" w:type="dxa"/>
          </w:tcPr>
          <w:p>
            <w:pPr>
              <w:pStyle w:val="TableParagraph"/>
              <w:spacing w:line="302" w:lineRule="exact"/>
              <w:ind w:left="463" w:right="333"/>
              <w:jc w:val="center"/>
              <w:rPr>
                <w:sz w:val="28"/>
              </w:rPr>
            </w:pPr>
            <w:r>
              <w:rPr>
                <w:sz w:val="28"/>
              </w:rPr>
              <w:t>Маса туші, кг</w:t>
            </w:r>
          </w:p>
        </w:tc>
        <w:tc>
          <w:tcPr>
            <w:tcW w:w="2189" w:type="dxa"/>
          </w:tcPr>
          <w:p>
            <w:pPr>
              <w:pStyle w:val="TableParagraph"/>
              <w:spacing w:line="302" w:lineRule="exact"/>
              <w:ind w:right="387"/>
              <w:jc w:val="right"/>
              <w:rPr>
                <w:sz w:val="28"/>
              </w:rPr>
            </w:pPr>
            <w:r>
              <w:rPr>
                <w:w w:val="95"/>
                <w:sz w:val="28"/>
              </w:rPr>
              <w:t>17,60±0,65</w:t>
            </w:r>
          </w:p>
        </w:tc>
        <w:tc>
          <w:tcPr>
            <w:tcW w:w="2353" w:type="dxa"/>
          </w:tcPr>
          <w:p>
            <w:pPr>
              <w:pStyle w:val="TableParagraph"/>
              <w:spacing w:line="302" w:lineRule="exact"/>
              <w:ind w:left="578" w:right="450"/>
              <w:jc w:val="center"/>
              <w:rPr>
                <w:sz w:val="28"/>
              </w:rPr>
            </w:pPr>
            <w:r>
              <w:rPr>
                <w:sz w:val="28"/>
              </w:rPr>
              <w:t>15,70±0,42</w:t>
            </w:r>
          </w:p>
        </w:tc>
        <w:tc>
          <w:tcPr>
            <w:tcW w:w="1590" w:type="dxa"/>
          </w:tcPr>
          <w:p>
            <w:pPr>
              <w:pStyle w:val="TableParagraph"/>
              <w:spacing w:line="302" w:lineRule="exact"/>
              <w:ind w:left="194" w:right="72"/>
              <w:jc w:val="center"/>
              <w:rPr>
                <w:sz w:val="28"/>
              </w:rPr>
            </w:pPr>
            <w:r>
              <w:rPr>
                <w:sz w:val="28"/>
              </w:rPr>
              <w:t>14,42±0,26</w:t>
            </w:r>
          </w:p>
        </w:tc>
      </w:tr>
      <w:tr>
        <w:trPr>
          <w:trHeight w:val="642" w:hRule="atLeast"/>
        </w:trPr>
        <w:tc>
          <w:tcPr>
            <w:tcW w:w="3501" w:type="dxa"/>
          </w:tcPr>
          <w:p>
            <w:pPr>
              <w:pStyle w:val="TableParagraph"/>
              <w:spacing w:line="315" w:lineRule="exact"/>
              <w:ind w:left="1008"/>
              <w:rPr>
                <w:sz w:val="28"/>
              </w:rPr>
            </w:pPr>
            <w:r>
              <w:rPr>
                <w:sz w:val="28"/>
              </w:rPr>
              <w:t>Вміст у туші:</w:t>
            </w:r>
          </w:p>
          <w:p>
            <w:pPr>
              <w:pStyle w:val="TableParagraph"/>
              <w:spacing w:line="308" w:lineRule="exact"/>
              <w:ind w:left="1142"/>
              <w:rPr>
                <w:sz w:val="28"/>
              </w:rPr>
            </w:pPr>
            <w:r>
              <w:rPr>
                <w:sz w:val="28"/>
              </w:rPr>
              <w:t>М’якоті, кг</w:t>
            </w:r>
          </w:p>
        </w:tc>
        <w:tc>
          <w:tcPr>
            <w:tcW w:w="2189" w:type="dxa"/>
          </w:tcPr>
          <w:p>
            <w:pPr>
              <w:pStyle w:val="TableParagraph"/>
              <w:spacing w:line="315" w:lineRule="exact"/>
              <w:ind w:right="387"/>
              <w:jc w:val="right"/>
              <w:rPr>
                <w:sz w:val="28"/>
              </w:rPr>
            </w:pPr>
            <w:r>
              <w:rPr>
                <w:w w:val="95"/>
                <w:sz w:val="28"/>
              </w:rPr>
              <w:t>13,66±0,54</w:t>
            </w:r>
          </w:p>
        </w:tc>
        <w:tc>
          <w:tcPr>
            <w:tcW w:w="2353" w:type="dxa"/>
          </w:tcPr>
          <w:p>
            <w:pPr>
              <w:pStyle w:val="TableParagraph"/>
              <w:spacing w:line="315" w:lineRule="exact"/>
              <w:ind w:left="578" w:right="450"/>
              <w:jc w:val="center"/>
              <w:rPr>
                <w:sz w:val="28"/>
              </w:rPr>
            </w:pPr>
            <w:r>
              <w:rPr>
                <w:sz w:val="28"/>
              </w:rPr>
              <w:t>12,04±0,40</w:t>
            </w:r>
          </w:p>
        </w:tc>
        <w:tc>
          <w:tcPr>
            <w:tcW w:w="1590" w:type="dxa"/>
          </w:tcPr>
          <w:p>
            <w:pPr>
              <w:pStyle w:val="TableParagraph"/>
              <w:spacing w:line="315" w:lineRule="exact"/>
              <w:ind w:left="194" w:right="72"/>
              <w:jc w:val="center"/>
              <w:rPr>
                <w:sz w:val="28"/>
              </w:rPr>
            </w:pPr>
            <w:r>
              <w:rPr>
                <w:sz w:val="28"/>
              </w:rPr>
              <w:t>10,84±0,27</w:t>
            </w:r>
          </w:p>
        </w:tc>
      </w:tr>
      <w:tr>
        <w:trPr>
          <w:trHeight w:val="326" w:hRule="atLeast"/>
        </w:trPr>
        <w:tc>
          <w:tcPr>
            <w:tcW w:w="3501" w:type="dxa"/>
          </w:tcPr>
          <w:p>
            <w:pPr>
              <w:pStyle w:val="TableParagraph"/>
              <w:spacing w:line="306" w:lineRule="exact"/>
              <w:ind w:left="130"/>
              <w:jc w:val="center"/>
              <w:rPr>
                <w:sz w:val="28"/>
              </w:rPr>
            </w:pPr>
            <w:r>
              <w:rPr>
                <w:w w:val="99"/>
                <w:sz w:val="28"/>
              </w:rPr>
              <w:t>%</w:t>
            </w:r>
          </w:p>
        </w:tc>
        <w:tc>
          <w:tcPr>
            <w:tcW w:w="2189" w:type="dxa"/>
          </w:tcPr>
          <w:p>
            <w:pPr>
              <w:pStyle w:val="TableParagraph"/>
              <w:spacing w:line="306" w:lineRule="exact"/>
              <w:ind w:left="891" w:right="758"/>
              <w:jc w:val="center"/>
              <w:rPr>
                <w:sz w:val="28"/>
              </w:rPr>
            </w:pPr>
            <w:r>
              <w:rPr>
                <w:sz w:val="28"/>
              </w:rPr>
              <w:t>77,6</w:t>
            </w:r>
          </w:p>
        </w:tc>
        <w:tc>
          <w:tcPr>
            <w:tcW w:w="2353" w:type="dxa"/>
          </w:tcPr>
          <w:p>
            <w:pPr>
              <w:pStyle w:val="TableParagraph"/>
              <w:spacing w:line="306" w:lineRule="exact"/>
              <w:ind w:left="574" w:right="450"/>
              <w:jc w:val="center"/>
              <w:rPr>
                <w:sz w:val="28"/>
              </w:rPr>
            </w:pPr>
            <w:r>
              <w:rPr>
                <w:sz w:val="28"/>
              </w:rPr>
              <w:t>76,7</w:t>
            </w:r>
          </w:p>
        </w:tc>
        <w:tc>
          <w:tcPr>
            <w:tcW w:w="1590" w:type="dxa"/>
          </w:tcPr>
          <w:p>
            <w:pPr>
              <w:pStyle w:val="TableParagraph"/>
              <w:spacing w:line="306" w:lineRule="exact"/>
              <w:ind w:left="194" w:right="66"/>
              <w:jc w:val="center"/>
              <w:rPr>
                <w:sz w:val="28"/>
              </w:rPr>
            </w:pPr>
            <w:r>
              <w:rPr>
                <w:sz w:val="28"/>
              </w:rPr>
              <w:t>75,2</w:t>
            </w:r>
          </w:p>
        </w:tc>
      </w:tr>
      <w:tr>
        <w:trPr>
          <w:trHeight w:val="321" w:hRule="atLeast"/>
        </w:trPr>
        <w:tc>
          <w:tcPr>
            <w:tcW w:w="3501" w:type="dxa"/>
          </w:tcPr>
          <w:p>
            <w:pPr>
              <w:pStyle w:val="TableParagraph"/>
              <w:spacing w:line="301" w:lineRule="exact"/>
              <w:ind w:left="464" w:right="333"/>
              <w:jc w:val="center"/>
              <w:rPr>
                <w:sz w:val="28"/>
              </w:rPr>
            </w:pPr>
            <w:r>
              <w:rPr>
                <w:sz w:val="28"/>
              </w:rPr>
              <w:t>Кісток, кг</w:t>
            </w:r>
          </w:p>
        </w:tc>
        <w:tc>
          <w:tcPr>
            <w:tcW w:w="2189" w:type="dxa"/>
          </w:tcPr>
          <w:p>
            <w:pPr>
              <w:pStyle w:val="TableParagraph"/>
              <w:spacing w:line="301" w:lineRule="exact"/>
              <w:ind w:right="454"/>
              <w:jc w:val="right"/>
              <w:rPr>
                <w:sz w:val="28"/>
              </w:rPr>
            </w:pPr>
            <w:r>
              <w:rPr>
                <w:w w:val="95"/>
                <w:sz w:val="28"/>
              </w:rPr>
              <w:t>3,94±0,11</w:t>
            </w:r>
          </w:p>
        </w:tc>
        <w:tc>
          <w:tcPr>
            <w:tcW w:w="2353" w:type="dxa"/>
          </w:tcPr>
          <w:p>
            <w:pPr>
              <w:pStyle w:val="TableParagraph"/>
              <w:spacing w:line="301" w:lineRule="exact"/>
              <w:ind w:left="573" w:right="450"/>
              <w:jc w:val="center"/>
              <w:rPr>
                <w:sz w:val="28"/>
              </w:rPr>
            </w:pPr>
            <w:r>
              <w:rPr>
                <w:sz w:val="28"/>
              </w:rPr>
              <w:t>3,66±0,03</w:t>
            </w:r>
          </w:p>
        </w:tc>
        <w:tc>
          <w:tcPr>
            <w:tcW w:w="1590" w:type="dxa"/>
          </w:tcPr>
          <w:p>
            <w:pPr>
              <w:pStyle w:val="TableParagraph"/>
              <w:spacing w:line="301" w:lineRule="exact"/>
              <w:ind w:left="194" w:right="66"/>
              <w:jc w:val="center"/>
              <w:rPr>
                <w:sz w:val="28"/>
              </w:rPr>
            </w:pPr>
            <w:r>
              <w:rPr>
                <w:sz w:val="28"/>
              </w:rPr>
              <w:t>3,58±0,02</w:t>
            </w:r>
          </w:p>
        </w:tc>
      </w:tr>
      <w:tr>
        <w:trPr>
          <w:trHeight w:val="321" w:hRule="atLeast"/>
        </w:trPr>
        <w:tc>
          <w:tcPr>
            <w:tcW w:w="3501" w:type="dxa"/>
          </w:tcPr>
          <w:p>
            <w:pPr>
              <w:pStyle w:val="TableParagraph"/>
              <w:spacing w:line="301" w:lineRule="exact"/>
              <w:ind w:left="130"/>
              <w:jc w:val="center"/>
              <w:rPr>
                <w:sz w:val="28"/>
              </w:rPr>
            </w:pPr>
            <w:r>
              <w:rPr>
                <w:w w:val="99"/>
                <w:sz w:val="28"/>
              </w:rPr>
              <w:t>%</w:t>
            </w:r>
          </w:p>
        </w:tc>
        <w:tc>
          <w:tcPr>
            <w:tcW w:w="2189" w:type="dxa"/>
          </w:tcPr>
          <w:p>
            <w:pPr>
              <w:pStyle w:val="TableParagraph"/>
              <w:spacing w:line="301" w:lineRule="exact"/>
              <w:ind w:left="891" w:right="758"/>
              <w:jc w:val="center"/>
              <w:rPr>
                <w:sz w:val="28"/>
              </w:rPr>
            </w:pPr>
            <w:r>
              <w:rPr>
                <w:sz w:val="28"/>
              </w:rPr>
              <w:t>22,4</w:t>
            </w:r>
          </w:p>
        </w:tc>
        <w:tc>
          <w:tcPr>
            <w:tcW w:w="2353" w:type="dxa"/>
          </w:tcPr>
          <w:p>
            <w:pPr>
              <w:pStyle w:val="TableParagraph"/>
              <w:spacing w:line="301" w:lineRule="exact"/>
              <w:ind w:left="574" w:right="450"/>
              <w:jc w:val="center"/>
              <w:rPr>
                <w:sz w:val="28"/>
              </w:rPr>
            </w:pPr>
            <w:r>
              <w:rPr>
                <w:sz w:val="28"/>
              </w:rPr>
              <w:t>23,3</w:t>
            </w:r>
          </w:p>
        </w:tc>
        <w:tc>
          <w:tcPr>
            <w:tcW w:w="1590" w:type="dxa"/>
          </w:tcPr>
          <w:p>
            <w:pPr>
              <w:pStyle w:val="TableParagraph"/>
              <w:spacing w:line="301" w:lineRule="exact"/>
              <w:ind w:left="194" w:right="66"/>
              <w:jc w:val="center"/>
              <w:rPr>
                <w:sz w:val="28"/>
              </w:rPr>
            </w:pPr>
            <w:r>
              <w:rPr>
                <w:sz w:val="28"/>
              </w:rPr>
              <w:t>24,8</w:t>
            </w:r>
          </w:p>
        </w:tc>
      </w:tr>
      <w:tr>
        <w:trPr>
          <w:trHeight w:val="643" w:hRule="atLeast"/>
        </w:trPr>
        <w:tc>
          <w:tcPr>
            <w:tcW w:w="3501" w:type="dxa"/>
          </w:tcPr>
          <w:p>
            <w:pPr>
              <w:pStyle w:val="TableParagraph"/>
              <w:spacing w:line="315" w:lineRule="exact"/>
              <w:ind w:left="467" w:right="333"/>
              <w:jc w:val="center"/>
              <w:rPr>
                <w:sz w:val="28"/>
              </w:rPr>
            </w:pPr>
            <w:r>
              <w:rPr>
                <w:sz w:val="28"/>
              </w:rPr>
              <w:t>На 1 кг перед забійної</w:t>
            </w:r>
          </w:p>
          <w:p>
            <w:pPr>
              <w:pStyle w:val="TableParagraph"/>
              <w:spacing w:line="308" w:lineRule="exact"/>
              <w:ind w:left="430" w:right="333"/>
              <w:jc w:val="center"/>
              <w:rPr>
                <w:sz w:val="28"/>
              </w:rPr>
            </w:pPr>
            <w:r>
              <w:rPr>
                <w:sz w:val="28"/>
              </w:rPr>
              <w:t>живої маси, г</w:t>
            </w:r>
          </w:p>
        </w:tc>
        <w:tc>
          <w:tcPr>
            <w:tcW w:w="2189" w:type="dxa"/>
          </w:tcPr>
          <w:p>
            <w:pPr>
              <w:pStyle w:val="TableParagraph"/>
              <w:spacing w:line="315" w:lineRule="exact"/>
              <w:ind w:left="839"/>
              <w:rPr>
                <w:sz w:val="28"/>
              </w:rPr>
            </w:pPr>
            <w:r>
              <w:rPr>
                <w:sz w:val="28"/>
              </w:rPr>
              <w:t>371,2</w:t>
            </w:r>
          </w:p>
        </w:tc>
        <w:tc>
          <w:tcPr>
            <w:tcW w:w="2353" w:type="dxa"/>
          </w:tcPr>
          <w:p>
            <w:pPr>
              <w:pStyle w:val="TableParagraph"/>
              <w:spacing w:line="315" w:lineRule="exact"/>
              <w:ind w:left="578" w:right="449"/>
              <w:jc w:val="center"/>
              <w:rPr>
                <w:sz w:val="28"/>
              </w:rPr>
            </w:pPr>
            <w:r>
              <w:rPr>
                <w:sz w:val="28"/>
              </w:rPr>
              <w:t>351,0</w:t>
            </w:r>
          </w:p>
        </w:tc>
        <w:tc>
          <w:tcPr>
            <w:tcW w:w="1590" w:type="dxa"/>
          </w:tcPr>
          <w:p>
            <w:pPr>
              <w:pStyle w:val="TableParagraph"/>
              <w:spacing w:line="315" w:lineRule="exact"/>
              <w:ind w:left="194" w:right="70"/>
              <w:jc w:val="center"/>
              <w:rPr>
                <w:sz w:val="28"/>
              </w:rPr>
            </w:pPr>
            <w:r>
              <w:rPr>
                <w:sz w:val="28"/>
              </w:rPr>
              <w:t>398,0</w:t>
            </w:r>
          </w:p>
        </w:tc>
      </w:tr>
      <w:tr>
        <w:trPr>
          <w:trHeight w:val="321" w:hRule="atLeast"/>
        </w:trPr>
        <w:tc>
          <w:tcPr>
            <w:tcW w:w="3501" w:type="dxa"/>
          </w:tcPr>
          <w:p>
            <w:pPr>
              <w:pStyle w:val="TableParagraph"/>
              <w:spacing w:line="301" w:lineRule="exact"/>
              <w:ind w:left="462" w:right="333"/>
              <w:jc w:val="center"/>
              <w:rPr>
                <w:sz w:val="28"/>
              </w:rPr>
            </w:pPr>
            <w:r>
              <w:rPr>
                <w:sz w:val="28"/>
              </w:rPr>
              <w:t>Коефіцієнт м’ясності</w:t>
            </w:r>
          </w:p>
        </w:tc>
        <w:tc>
          <w:tcPr>
            <w:tcW w:w="2189" w:type="dxa"/>
          </w:tcPr>
          <w:p>
            <w:pPr>
              <w:pStyle w:val="TableParagraph"/>
              <w:spacing w:line="301" w:lineRule="exact"/>
              <w:ind w:left="891" w:right="758"/>
              <w:jc w:val="center"/>
              <w:rPr>
                <w:sz w:val="28"/>
              </w:rPr>
            </w:pPr>
            <w:r>
              <w:rPr>
                <w:sz w:val="28"/>
              </w:rPr>
              <w:t>3,47</w:t>
            </w:r>
          </w:p>
        </w:tc>
        <w:tc>
          <w:tcPr>
            <w:tcW w:w="2353" w:type="dxa"/>
          </w:tcPr>
          <w:p>
            <w:pPr>
              <w:pStyle w:val="TableParagraph"/>
              <w:spacing w:line="301" w:lineRule="exact"/>
              <w:ind w:left="574" w:right="450"/>
              <w:jc w:val="center"/>
              <w:rPr>
                <w:sz w:val="28"/>
              </w:rPr>
            </w:pPr>
            <w:r>
              <w:rPr>
                <w:sz w:val="28"/>
              </w:rPr>
              <w:t>3,29</w:t>
            </w:r>
          </w:p>
        </w:tc>
        <w:tc>
          <w:tcPr>
            <w:tcW w:w="1590" w:type="dxa"/>
          </w:tcPr>
          <w:p>
            <w:pPr>
              <w:pStyle w:val="TableParagraph"/>
              <w:spacing w:line="301" w:lineRule="exact"/>
              <w:ind w:left="194" w:right="66"/>
              <w:jc w:val="center"/>
              <w:rPr>
                <w:sz w:val="28"/>
              </w:rPr>
            </w:pPr>
            <w:r>
              <w:rPr>
                <w:sz w:val="28"/>
              </w:rPr>
              <w:t>3,03</w:t>
            </w:r>
          </w:p>
        </w:tc>
      </w:tr>
    </w:tbl>
    <w:p>
      <w:pPr>
        <w:pStyle w:val="BodyText"/>
        <w:spacing w:before="4"/>
        <w:ind w:left="0"/>
        <w:jc w:val="left"/>
        <w:rPr>
          <w:sz w:val="27"/>
        </w:rPr>
      </w:pPr>
    </w:p>
    <w:p>
      <w:pPr>
        <w:pStyle w:val="BodyText"/>
        <w:ind w:right="613" w:firstLine="710"/>
      </w:pPr>
      <w:r>
        <w:rPr/>
        <w:t>З таблиці свідчить, що в тушах найбільш активних та помірної поведінки тварин було більше м’якоті, і менше кісток. Так, м’якоті в тушках помісних валашків ІІ групи було 76,7 %, І – 77,6%, у той час, як у ІІІ групи тільки 75,2%. Молодняк ІІ і І дослідних груп за вмістом м’яса в туші переважав контрольний на І групи на 11,4 % (Р&gt;0,95), і на 26,0% (Р&gt;0,99), відповідно.При оцінці</w:t>
      </w:r>
      <w:r>
        <w:rPr>
          <w:spacing w:val="-42"/>
        </w:rPr>
        <w:t> </w:t>
      </w:r>
      <w:r>
        <w:rPr/>
        <w:t>м’ясної продуктивності необхідно враховувати такий показник, як коефіцієнт</w:t>
      </w:r>
      <w:r>
        <w:rPr>
          <w:spacing w:val="-51"/>
        </w:rPr>
        <w:t> </w:t>
      </w:r>
      <w:r>
        <w:rPr/>
        <w:t>м’ясності. За результатами наших досліджень коефіцієнт м’ясності був вище у валашків обох дослідних груп: ІІ -3,28; І – 3,47, у той час як у тушах ягнят контрольної групи – 3,03.Одним з показників м’ясних якостей овець є площа «м’язового вичка».У наших дослідах нащадки, з різними найбільш активними поведінковими реакціями відрізнялися більшою площею «м’язового вичка» (таблиця 3). Тварини ІІ групи за площею «м’язового вичка» на 14,9% (Р&gt;0,95), а І</w:t>
      </w:r>
      <w:r>
        <w:rPr>
          <w:spacing w:val="-19"/>
        </w:rPr>
        <w:t> </w:t>
      </w:r>
      <w:r>
        <w:rPr/>
        <w:t>групи</w:t>
      </w:r>
      <w:r>
        <w:rPr>
          <w:spacing w:val="-17"/>
        </w:rPr>
        <w:t> </w:t>
      </w:r>
      <w:r>
        <w:rPr/>
        <w:t>–</w:t>
      </w:r>
      <w:r>
        <w:rPr>
          <w:spacing w:val="-17"/>
        </w:rPr>
        <w:t> </w:t>
      </w:r>
      <w:r>
        <w:rPr/>
        <w:t>на</w:t>
      </w:r>
      <w:r>
        <w:rPr>
          <w:spacing w:val="-16"/>
        </w:rPr>
        <w:t> </w:t>
      </w:r>
      <w:r>
        <w:rPr/>
        <w:t>24,9</w:t>
      </w:r>
      <w:r>
        <w:rPr>
          <w:spacing w:val="-17"/>
        </w:rPr>
        <w:t> </w:t>
      </w:r>
      <w:r>
        <w:rPr/>
        <w:t>%</w:t>
      </w:r>
      <w:r>
        <w:rPr>
          <w:spacing w:val="-18"/>
        </w:rPr>
        <w:t> </w:t>
      </w:r>
      <w:r>
        <w:rPr/>
        <w:t>(Р&gt;0,99)</w:t>
      </w:r>
      <w:r>
        <w:rPr>
          <w:spacing w:val="-18"/>
        </w:rPr>
        <w:t> </w:t>
      </w:r>
      <w:r>
        <w:rPr/>
        <w:t>переважали</w:t>
      </w:r>
      <w:r>
        <w:rPr>
          <w:spacing w:val="-17"/>
        </w:rPr>
        <w:t> </w:t>
      </w:r>
      <w:r>
        <w:rPr/>
        <w:t>полохливих</w:t>
      </w:r>
      <w:r>
        <w:rPr>
          <w:spacing w:val="-22"/>
        </w:rPr>
        <w:t> </w:t>
      </w:r>
      <w:r>
        <w:rPr/>
        <w:t>та</w:t>
      </w:r>
      <w:r>
        <w:rPr>
          <w:spacing w:val="-16"/>
        </w:rPr>
        <w:t> </w:t>
      </w:r>
      <w:r>
        <w:rPr/>
        <w:t>обережних</w:t>
      </w:r>
      <w:r>
        <w:rPr>
          <w:spacing w:val="-22"/>
        </w:rPr>
        <w:t> </w:t>
      </w:r>
      <w:r>
        <w:rPr/>
        <w:t>тварин.У</w:t>
      </w:r>
      <w:r>
        <w:rPr>
          <w:spacing w:val="-17"/>
        </w:rPr>
        <w:t> </w:t>
      </w:r>
      <w:r>
        <w:rPr/>
        <w:t>свою чергу, площа «м’язового вичка» в тушах валашків І групи на 8,7% (Р&gt;0,95), більше цього показника ровесників ІІ</w:t>
      </w:r>
      <w:r>
        <w:rPr>
          <w:spacing w:val="1"/>
        </w:rPr>
        <w:t> </w:t>
      </w:r>
      <w:r>
        <w:rPr/>
        <w:t>групи.</w:t>
      </w:r>
    </w:p>
    <w:p>
      <w:pPr>
        <w:pStyle w:val="BodyText"/>
        <w:spacing w:before="5" w:after="7"/>
        <w:ind w:left="754"/>
      </w:pPr>
      <w:r>
        <w:rPr/>
        <w:t>Таблиця 3. М’ясні якості овець</w:t>
      </w: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3"/>
        <w:gridCol w:w="1821"/>
        <w:gridCol w:w="2291"/>
        <w:gridCol w:w="2128"/>
        <w:gridCol w:w="1427"/>
      </w:tblGrid>
      <w:tr>
        <w:trPr>
          <w:trHeight w:val="964" w:hRule="atLeast"/>
        </w:trPr>
        <w:tc>
          <w:tcPr>
            <w:tcW w:w="1633" w:type="dxa"/>
          </w:tcPr>
          <w:p>
            <w:pPr>
              <w:pStyle w:val="TableParagraph"/>
              <w:spacing w:line="315" w:lineRule="exact"/>
              <w:ind w:left="489" w:right="377"/>
              <w:jc w:val="center"/>
              <w:rPr>
                <w:sz w:val="28"/>
              </w:rPr>
            </w:pPr>
            <w:r>
              <w:rPr>
                <w:sz w:val="28"/>
              </w:rPr>
              <w:t>Група</w:t>
            </w:r>
          </w:p>
        </w:tc>
        <w:tc>
          <w:tcPr>
            <w:tcW w:w="1821" w:type="dxa"/>
          </w:tcPr>
          <w:p>
            <w:pPr>
              <w:pStyle w:val="TableParagraph"/>
              <w:ind w:left="398" w:hanging="250"/>
              <w:rPr>
                <w:sz w:val="28"/>
              </w:rPr>
            </w:pPr>
            <w:r>
              <w:rPr>
                <w:sz w:val="28"/>
              </w:rPr>
              <w:t>Вихід м’якоті з туші, %</w:t>
            </w:r>
          </w:p>
        </w:tc>
        <w:tc>
          <w:tcPr>
            <w:tcW w:w="2291" w:type="dxa"/>
          </w:tcPr>
          <w:p>
            <w:pPr>
              <w:pStyle w:val="TableParagraph"/>
              <w:ind w:left="329" w:right="79" w:hanging="111"/>
              <w:rPr>
                <w:sz w:val="28"/>
              </w:rPr>
            </w:pPr>
            <w:r>
              <w:rPr>
                <w:sz w:val="28"/>
              </w:rPr>
              <w:t>Маса найдовшої м’язи спини, г</w:t>
            </w:r>
          </w:p>
        </w:tc>
        <w:tc>
          <w:tcPr>
            <w:tcW w:w="2128" w:type="dxa"/>
          </w:tcPr>
          <w:p>
            <w:pPr>
              <w:pStyle w:val="TableParagraph"/>
              <w:spacing w:line="315" w:lineRule="exact"/>
              <w:ind w:left="291" w:right="169"/>
              <w:jc w:val="center"/>
              <w:rPr>
                <w:sz w:val="28"/>
              </w:rPr>
            </w:pPr>
            <w:r>
              <w:rPr>
                <w:sz w:val="28"/>
              </w:rPr>
              <w:t>Площа</w:t>
            </w:r>
          </w:p>
          <w:p>
            <w:pPr>
              <w:pStyle w:val="TableParagraph"/>
              <w:spacing w:line="322" w:lineRule="exact" w:before="3"/>
              <w:ind w:left="291" w:right="200"/>
              <w:jc w:val="center"/>
              <w:rPr>
                <w:sz w:val="28"/>
              </w:rPr>
            </w:pPr>
            <w:r>
              <w:rPr>
                <w:w w:val="95"/>
                <w:sz w:val="28"/>
              </w:rPr>
              <w:t>«мускульного </w:t>
            </w:r>
            <w:r>
              <w:rPr>
                <w:sz w:val="28"/>
              </w:rPr>
              <w:t>вічка», см2</w:t>
            </w:r>
          </w:p>
        </w:tc>
        <w:tc>
          <w:tcPr>
            <w:tcW w:w="1427" w:type="dxa"/>
          </w:tcPr>
          <w:p>
            <w:pPr>
              <w:pStyle w:val="TableParagraph"/>
              <w:ind w:left="251" w:hanging="20"/>
              <w:rPr>
                <w:sz w:val="28"/>
              </w:rPr>
            </w:pPr>
            <w:r>
              <w:rPr>
                <w:w w:val="95"/>
                <w:sz w:val="28"/>
              </w:rPr>
              <w:t>Довжина </w:t>
            </w:r>
            <w:r>
              <w:rPr>
                <w:sz w:val="28"/>
              </w:rPr>
              <w:t>туші, см</w:t>
            </w:r>
          </w:p>
        </w:tc>
      </w:tr>
      <w:tr>
        <w:trPr>
          <w:trHeight w:val="321" w:hRule="atLeast"/>
        </w:trPr>
        <w:tc>
          <w:tcPr>
            <w:tcW w:w="1633" w:type="dxa"/>
          </w:tcPr>
          <w:p>
            <w:pPr>
              <w:pStyle w:val="TableParagraph"/>
              <w:spacing w:line="301" w:lineRule="exact"/>
              <w:ind w:left="121"/>
              <w:jc w:val="center"/>
              <w:rPr>
                <w:sz w:val="28"/>
              </w:rPr>
            </w:pPr>
            <w:r>
              <w:rPr>
                <w:w w:val="99"/>
                <w:sz w:val="28"/>
              </w:rPr>
              <w:t>І</w:t>
            </w:r>
          </w:p>
        </w:tc>
        <w:tc>
          <w:tcPr>
            <w:tcW w:w="1821" w:type="dxa"/>
          </w:tcPr>
          <w:p>
            <w:pPr>
              <w:pStyle w:val="TableParagraph"/>
              <w:spacing w:line="301" w:lineRule="exact"/>
              <w:ind w:right="595"/>
              <w:jc w:val="right"/>
              <w:rPr>
                <w:sz w:val="28"/>
              </w:rPr>
            </w:pPr>
            <w:r>
              <w:rPr>
                <w:w w:val="95"/>
                <w:sz w:val="28"/>
              </w:rPr>
              <w:t>77,6</w:t>
            </w:r>
          </w:p>
        </w:tc>
        <w:tc>
          <w:tcPr>
            <w:tcW w:w="2291" w:type="dxa"/>
          </w:tcPr>
          <w:p>
            <w:pPr>
              <w:pStyle w:val="TableParagraph"/>
              <w:spacing w:line="301" w:lineRule="exact"/>
              <w:ind w:left="137"/>
              <w:rPr>
                <w:sz w:val="28"/>
              </w:rPr>
            </w:pPr>
            <w:r>
              <w:rPr>
                <w:sz w:val="28"/>
              </w:rPr>
              <w:t>1208±39,3</w:t>
            </w:r>
          </w:p>
        </w:tc>
        <w:tc>
          <w:tcPr>
            <w:tcW w:w="2128" w:type="dxa"/>
          </w:tcPr>
          <w:p>
            <w:pPr>
              <w:pStyle w:val="TableParagraph"/>
              <w:spacing w:line="301" w:lineRule="exact"/>
              <w:ind w:left="141"/>
              <w:rPr>
                <w:sz w:val="28"/>
              </w:rPr>
            </w:pPr>
            <w:r>
              <w:rPr>
                <w:sz w:val="28"/>
              </w:rPr>
              <w:t>16,12±0,46</w:t>
            </w:r>
          </w:p>
        </w:tc>
        <w:tc>
          <w:tcPr>
            <w:tcW w:w="1427" w:type="dxa"/>
          </w:tcPr>
          <w:p>
            <w:pPr>
              <w:pStyle w:val="TableParagraph"/>
              <w:spacing w:line="301" w:lineRule="exact"/>
              <w:ind w:left="121" w:right="121"/>
              <w:jc w:val="center"/>
              <w:rPr>
                <w:sz w:val="28"/>
              </w:rPr>
            </w:pPr>
            <w:r>
              <w:rPr>
                <w:sz w:val="28"/>
              </w:rPr>
              <w:t>81,5±0,88</w:t>
            </w:r>
          </w:p>
        </w:tc>
      </w:tr>
      <w:tr>
        <w:trPr>
          <w:trHeight w:val="321" w:hRule="atLeast"/>
        </w:trPr>
        <w:tc>
          <w:tcPr>
            <w:tcW w:w="1633" w:type="dxa"/>
          </w:tcPr>
          <w:p>
            <w:pPr>
              <w:pStyle w:val="TableParagraph"/>
              <w:spacing w:line="301" w:lineRule="exact"/>
              <w:ind w:left="489" w:right="374"/>
              <w:jc w:val="center"/>
              <w:rPr>
                <w:sz w:val="28"/>
              </w:rPr>
            </w:pPr>
            <w:r>
              <w:rPr>
                <w:sz w:val="28"/>
              </w:rPr>
              <w:t>ІІ</w:t>
            </w:r>
          </w:p>
        </w:tc>
        <w:tc>
          <w:tcPr>
            <w:tcW w:w="1821" w:type="dxa"/>
          </w:tcPr>
          <w:p>
            <w:pPr>
              <w:pStyle w:val="TableParagraph"/>
              <w:spacing w:line="301" w:lineRule="exact"/>
              <w:ind w:right="595"/>
              <w:jc w:val="right"/>
              <w:rPr>
                <w:sz w:val="28"/>
              </w:rPr>
            </w:pPr>
            <w:r>
              <w:rPr>
                <w:w w:val="95"/>
                <w:sz w:val="28"/>
              </w:rPr>
              <w:t>76,7</w:t>
            </w:r>
          </w:p>
        </w:tc>
        <w:tc>
          <w:tcPr>
            <w:tcW w:w="2291" w:type="dxa"/>
          </w:tcPr>
          <w:p>
            <w:pPr>
              <w:pStyle w:val="TableParagraph"/>
              <w:spacing w:line="301" w:lineRule="exact"/>
              <w:ind w:left="137"/>
              <w:rPr>
                <w:sz w:val="28"/>
              </w:rPr>
            </w:pPr>
            <w:r>
              <w:rPr>
                <w:sz w:val="28"/>
              </w:rPr>
              <w:t>1122±63,4</w:t>
            </w:r>
          </w:p>
        </w:tc>
        <w:tc>
          <w:tcPr>
            <w:tcW w:w="2128" w:type="dxa"/>
          </w:tcPr>
          <w:p>
            <w:pPr>
              <w:pStyle w:val="TableParagraph"/>
              <w:spacing w:line="301" w:lineRule="exact"/>
              <w:ind w:left="141"/>
              <w:rPr>
                <w:sz w:val="28"/>
              </w:rPr>
            </w:pPr>
            <w:r>
              <w:rPr>
                <w:sz w:val="28"/>
              </w:rPr>
              <w:t>14,83±0,60</w:t>
            </w:r>
          </w:p>
        </w:tc>
        <w:tc>
          <w:tcPr>
            <w:tcW w:w="1427" w:type="dxa"/>
          </w:tcPr>
          <w:p>
            <w:pPr>
              <w:pStyle w:val="TableParagraph"/>
              <w:spacing w:line="301" w:lineRule="exact"/>
              <w:ind w:left="121" w:right="121"/>
              <w:jc w:val="center"/>
              <w:rPr>
                <w:sz w:val="28"/>
              </w:rPr>
            </w:pPr>
            <w:r>
              <w:rPr>
                <w:sz w:val="28"/>
              </w:rPr>
              <w:t>79,2±0,98</w:t>
            </w:r>
          </w:p>
        </w:tc>
      </w:tr>
      <w:tr>
        <w:trPr>
          <w:trHeight w:val="325" w:hRule="atLeast"/>
        </w:trPr>
        <w:tc>
          <w:tcPr>
            <w:tcW w:w="1633" w:type="dxa"/>
          </w:tcPr>
          <w:p>
            <w:pPr>
              <w:pStyle w:val="TableParagraph"/>
              <w:spacing w:line="306" w:lineRule="exact"/>
              <w:ind w:left="489" w:right="369"/>
              <w:jc w:val="center"/>
              <w:rPr>
                <w:sz w:val="28"/>
              </w:rPr>
            </w:pPr>
            <w:r>
              <w:rPr>
                <w:sz w:val="28"/>
              </w:rPr>
              <w:t>ІІІ</w:t>
            </w:r>
          </w:p>
        </w:tc>
        <w:tc>
          <w:tcPr>
            <w:tcW w:w="1821" w:type="dxa"/>
          </w:tcPr>
          <w:p>
            <w:pPr>
              <w:pStyle w:val="TableParagraph"/>
              <w:spacing w:line="306" w:lineRule="exact"/>
              <w:ind w:right="595"/>
              <w:jc w:val="right"/>
              <w:rPr>
                <w:sz w:val="28"/>
              </w:rPr>
            </w:pPr>
            <w:r>
              <w:rPr>
                <w:w w:val="95"/>
                <w:sz w:val="28"/>
              </w:rPr>
              <w:t>75,2</w:t>
            </w:r>
          </w:p>
        </w:tc>
        <w:tc>
          <w:tcPr>
            <w:tcW w:w="2291" w:type="dxa"/>
          </w:tcPr>
          <w:p>
            <w:pPr>
              <w:pStyle w:val="TableParagraph"/>
              <w:spacing w:line="306" w:lineRule="exact"/>
              <w:ind w:left="137"/>
              <w:rPr>
                <w:sz w:val="28"/>
              </w:rPr>
            </w:pPr>
            <w:r>
              <w:rPr>
                <w:sz w:val="28"/>
              </w:rPr>
              <w:t>934±53,2</w:t>
            </w:r>
          </w:p>
        </w:tc>
        <w:tc>
          <w:tcPr>
            <w:tcW w:w="2128" w:type="dxa"/>
          </w:tcPr>
          <w:p>
            <w:pPr>
              <w:pStyle w:val="TableParagraph"/>
              <w:spacing w:line="306" w:lineRule="exact"/>
              <w:ind w:left="141"/>
              <w:rPr>
                <w:sz w:val="28"/>
              </w:rPr>
            </w:pPr>
            <w:r>
              <w:rPr>
                <w:sz w:val="28"/>
              </w:rPr>
              <w:t>12,91±0,57</w:t>
            </w:r>
          </w:p>
        </w:tc>
        <w:tc>
          <w:tcPr>
            <w:tcW w:w="1427" w:type="dxa"/>
          </w:tcPr>
          <w:p>
            <w:pPr>
              <w:pStyle w:val="TableParagraph"/>
              <w:spacing w:line="306" w:lineRule="exact"/>
              <w:ind w:left="121" w:right="121"/>
              <w:jc w:val="center"/>
              <w:rPr>
                <w:sz w:val="28"/>
              </w:rPr>
            </w:pPr>
            <w:r>
              <w:rPr>
                <w:sz w:val="28"/>
              </w:rPr>
              <w:t>76,7±0,96</w:t>
            </w:r>
          </w:p>
        </w:tc>
      </w:tr>
    </w:tbl>
    <w:p>
      <w:pPr>
        <w:pStyle w:val="BodyText"/>
        <w:spacing w:before="4"/>
        <w:ind w:left="0"/>
        <w:jc w:val="left"/>
        <w:rPr>
          <w:sz w:val="27"/>
        </w:rPr>
      </w:pPr>
    </w:p>
    <w:p>
      <w:pPr>
        <w:pStyle w:val="BodyText"/>
        <w:ind w:right="616" w:firstLine="710"/>
      </w:pPr>
      <w:r>
        <w:rPr/>
        <w:t>Валашки ІІ і І груп характеризувалися кращим розвитком найдовшої м’язової</w:t>
      </w:r>
      <w:r>
        <w:rPr>
          <w:spacing w:val="-18"/>
        </w:rPr>
        <w:t> </w:t>
      </w:r>
      <w:r>
        <w:rPr/>
        <w:t>тканини</w:t>
      </w:r>
      <w:r>
        <w:rPr>
          <w:spacing w:val="-13"/>
        </w:rPr>
        <w:t> </w:t>
      </w:r>
      <w:r>
        <w:rPr/>
        <w:t>спини.</w:t>
      </w:r>
      <w:r>
        <w:rPr>
          <w:spacing w:val="-12"/>
        </w:rPr>
        <w:t> </w:t>
      </w:r>
      <w:r>
        <w:rPr/>
        <w:t>Так,</w:t>
      </w:r>
      <w:r>
        <w:rPr>
          <w:spacing w:val="-11"/>
        </w:rPr>
        <w:t> </w:t>
      </w:r>
      <w:r>
        <w:rPr/>
        <w:t>за</w:t>
      </w:r>
      <w:r>
        <w:rPr>
          <w:spacing w:val="-12"/>
        </w:rPr>
        <w:t> </w:t>
      </w:r>
      <w:r>
        <w:rPr/>
        <w:t>масою</w:t>
      </w:r>
      <w:r>
        <w:rPr>
          <w:spacing w:val="-15"/>
        </w:rPr>
        <w:t> </w:t>
      </w:r>
      <w:r>
        <w:rPr/>
        <w:t>найдовшої</w:t>
      </w:r>
      <w:r>
        <w:rPr>
          <w:spacing w:val="-17"/>
        </w:rPr>
        <w:t> </w:t>
      </w:r>
      <w:r>
        <w:rPr/>
        <w:t>м’язової</w:t>
      </w:r>
      <w:r>
        <w:rPr>
          <w:spacing w:val="-18"/>
        </w:rPr>
        <w:t> </w:t>
      </w:r>
      <w:r>
        <w:rPr/>
        <w:t>тканини</w:t>
      </w:r>
      <w:r>
        <w:rPr>
          <w:spacing w:val="-14"/>
        </w:rPr>
        <w:t> </w:t>
      </w:r>
      <w:r>
        <w:rPr/>
        <w:t>вівці</w:t>
      </w:r>
      <w:r>
        <w:rPr>
          <w:spacing w:val="-17"/>
        </w:rPr>
        <w:t> </w:t>
      </w:r>
      <w:r>
        <w:rPr/>
        <w:t>ІІ</w:t>
      </w:r>
      <w:r>
        <w:rPr>
          <w:spacing w:val="-15"/>
        </w:rPr>
        <w:t> </w:t>
      </w:r>
      <w:r>
        <w:rPr/>
        <w:t>групи</w:t>
      </w:r>
    </w:p>
    <w:p>
      <w:pPr>
        <w:spacing w:after="0"/>
        <w:sectPr>
          <w:pgSz w:w="11910" w:h="16840"/>
          <w:pgMar w:header="713" w:footer="778" w:top="1140" w:bottom="960" w:left="940" w:right="520"/>
        </w:sectPr>
      </w:pPr>
    </w:p>
    <w:p>
      <w:pPr>
        <w:pStyle w:val="BodyText"/>
        <w:spacing w:before="92"/>
        <w:ind w:right="614"/>
      </w:pPr>
      <w:r>
        <w:rPr/>
        <w:t>переважали ровесників ІІІ групи на 20,1 % (Р&gt;0,95), а І – на 29,3 % (Р&gt;0,999). З даних</w:t>
      </w:r>
      <w:r>
        <w:rPr>
          <w:spacing w:val="-7"/>
        </w:rPr>
        <w:t> </w:t>
      </w:r>
      <w:r>
        <w:rPr/>
        <w:t>таблиці</w:t>
      </w:r>
      <w:r>
        <w:rPr>
          <w:spacing w:val="-7"/>
        </w:rPr>
        <w:t> </w:t>
      </w:r>
      <w:r>
        <w:rPr/>
        <w:t>видно,</w:t>
      </w:r>
      <w:r>
        <w:rPr>
          <w:spacing w:val="-4"/>
        </w:rPr>
        <w:t> </w:t>
      </w:r>
      <w:r>
        <w:rPr/>
        <w:t>що</w:t>
      </w:r>
      <w:r>
        <w:rPr>
          <w:spacing w:val="-6"/>
        </w:rPr>
        <w:t> </w:t>
      </w:r>
      <w:r>
        <w:rPr/>
        <w:t>за</w:t>
      </w:r>
      <w:r>
        <w:rPr>
          <w:spacing w:val="-5"/>
        </w:rPr>
        <w:t> </w:t>
      </w:r>
      <w:r>
        <w:rPr/>
        <w:t>довжиною</w:t>
      </w:r>
      <w:r>
        <w:rPr>
          <w:spacing w:val="-3"/>
        </w:rPr>
        <w:t> </w:t>
      </w:r>
      <w:r>
        <w:rPr/>
        <w:t>тушки</w:t>
      </w:r>
      <w:r>
        <w:rPr>
          <w:spacing w:val="-6"/>
        </w:rPr>
        <w:t> </w:t>
      </w:r>
      <w:r>
        <w:rPr/>
        <w:t>різниця</w:t>
      </w:r>
      <w:r>
        <w:rPr>
          <w:spacing w:val="-5"/>
        </w:rPr>
        <w:t> </w:t>
      </w:r>
      <w:r>
        <w:rPr/>
        <w:t>на</w:t>
      </w:r>
      <w:r>
        <w:rPr>
          <w:spacing w:val="-6"/>
        </w:rPr>
        <w:t> </w:t>
      </w:r>
      <w:r>
        <w:rPr/>
        <w:t>користь</w:t>
      </w:r>
      <w:r>
        <w:rPr>
          <w:spacing w:val="-3"/>
        </w:rPr>
        <w:t> </w:t>
      </w:r>
      <w:r>
        <w:rPr/>
        <w:t>тварин</w:t>
      </w:r>
      <w:r>
        <w:rPr>
          <w:spacing w:val="-7"/>
        </w:rPr>
        <w:t> </w:t>
      </w:r>
      <w:r>
        <w:rPr/>
        <w:t>ІІ</w:t>
      </w:r>
      <w:r>
        <w:rPr>
          <w:spacing w:val="-8"/>
        </w:rPr>
        <w:t> </w:t>
      </w:r>
      <w:r>
        <w:rPr/>
        <w:t>групи складає 3,3%, а тварин І групи – 6,3%. Таким чином, кращими м’ясними якостями характеризувалися туші найбільш активних та помірної поведінки, а серед них туші І групи. Одна з основних оцінок вовнової продуктивності є маса руна. Дані настригу вовни представлені в таблиці</w:t>
      </w:r>
      <w:r>
        <w:rPr>
          <w:spacing w:val="-8"/>
        </w:rPr>
        <w:t> </w:t>
      </w:r>
      <w:r>
        <w:rPr/>
        <w:t>4.</w:t>
      </w:r>
    </w:p>
    <w:p>
      <w:pPr>
        <w:pStyle w:val="BodyText"/>
        <w:spacing w:before="3"/>
        <w:ind w:right="611" w:firstLine="710"/>
      </w:pPr>
      <w:r>
        <w:rPr/>
        <w:t>З наведених даних видно, що настриг вовни змінюється залежно від поведінки. Середній настриг як митої так і не митої найбільш високий у ярок найбільш активних та помірної поведінки. Різниця між ІІІ і ІІ групами за цими показниками, відповідно 17,9 % і 26,4%, статистично вірогідна (td= 13.1; Р&gt;0,999).</w:t>
      </w:r>
    </w:p>
    <w:p>
      <w:pPr>
        <w:pStyle w:val="BodyText"/>
        <w:spacing w:line="321" w:lineRule="exact" w:after="7"/>
        <w:ind w:left="903"/>
      </w:pPr>
      <w:r>
        <w:rPr/>
        <w:t>Таблиця 4. Вовнова продуктивність ярок</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1"/>
        <w:gridCol w:w="941"/>
        <w:gridCol w:w="1532"/>
        <w:gridCol w:w="1729"/>
        <w:gridCol w:w="1556"/>
        <w:gridCol w:w="2685"/>
      </w:tblGrid>
      <w:tr>
        <w:trPr>
          <w:trHeight w:val="321" w:hRule="atLeast"/>
        </w:trPr>
        <w:tc>
          <w:tcPr>
            <w:tcW w:w="1191" w:type="dxa"/>
            <w:vMerge w:val="restart"/>
          </w:tcPr>
          <w:p>
            <w:pPr>
              <w:pStyle w:val="TableParagraph"/>
              <w:spacing w:line="315" w:lineRule="exact"/>
              <w:ind w:left="297"/>
              <w:rPr>
                <w:sz w:val="28"/>
              </w:rPr>
            </w:pPr>
            <w:r>
              <w:rPr>
                <w:sz w:val="28"/>
              </w:rPr>
              <w:t>Група</w:t>
            </w:r>
          </w:p>
        </w:tc>
        <w:tc>
          <w:tcPr>
            <w:tcW w:w="941" w:type="dxa"/>
            <w:vMerge w:val="restart"/>
            <w:textDirection w:val="btLr"/>
          </w:tcPr>
          <w:p>
            <w:pPr>
              <w:pStyle w:val="TableParagraph"/>
              <w:spacing w:before="108"/>
              <w:ind w:left="110"/>
              <w:jc w:val="center"/>
              <w:rPr>
                <w:sz w:val="28"/>
              </w:rPr>
            </w:pPr>
            <w:r>
              <w:rPr>
                <w:w w:val="99"/>
                <w:sz w:val="28"/>
              </w:rPr>
              <w:t>n</w:t>
            </w:r>
          </w:p>
        </w:tc>
        <w:tc>
          <w:tcPr>
            <w:tcW w:w="4817" w:type="dxa"/>
            <w:gridSpan w:val="3"/>
          </w:tcPr>
          <w:p>
            <w:pPr>
              <w:pStyle w:val="TableParagraph"/>
              <w:spacing w:line="301" w:lineRule="exact"/>
              <w:ind w:left="1402"/>
              <w:rPr>
                <w:sz w:val="28"/>
              </w:rPr>
            </w:pPr>
            <w:r>
              <w:rPr>
                <w:sz w:val="28"/>
              </w:rPr>
              <w:t>Настриг вовни, кг</w:t>
            </w:r>
          </w:p>
        </w:tc>
        <w:tc>
          <w:tcPr>
            <w:tcW w:w="2685" w:type="dxa"/>
            <w:vMerge w:val="restart"/>
          </w:tcPr>
          <w:p>
            <w:pPr>
              <w:pStyle w:val="TableParagraph"/>
              <w:spacing w:line="315" w:lineRule="exact"/>
              <w:ind w:left="599"/>
              <w:rPr>
                <w:sz w:val="28"/>
              </w:rPr>
            </w:pPr>
            <w:r>
              <w:rPr>
                <w:sz w:val="28"/>
              </w:rPr>
              <w:t>Вихід митого</w:t>
            </w:r>
          </w:p>
          <w:p>
            <w:pPr>
              <w:pStyle w:val="TableParagraph"/>
              <w:spacing w:line="318" w:lineRule="exact"/>
              <w:ind w:left="719"/>
              <w:rPr>
                <w:sz w:val="28"/>
              </w:rPr>
            </w:pPr>
            <w:r>
              <w:rPr>
                <w:sz w:val="28"/>
              </w:rPr>
              <w:t>волокна, %</w:t>
            </w:r>
          </w:p>
        </w:tc>
      </w:tr>
      <w:tr>
        <w:trPr>
          <w:trHeight w:val="321" w:hRule="atLeast"/>
        </w:trPr>
        <w:tc>
          <w:tcPr>
            <w:tcW w:w="1191" w:type="dxa"/>
            <w:vMerge/>
            <w:tcBorders>
              <w:top w:val="nil"/>
            </w:tcBorders>
          </w:tcPr>
          <w:p>
            <w:pPr>
              <w:rPr>
                <w:sz w:val="2"/>
                <w:szCs w:val="2"/>
              </w:rPr>
            </w:pPr>
          </w:p>
        </w:tc>
        <w:tc>
          <w:tcPr>
            <w:tcW w:w="941" w:type="dxa"/>
            <w:vMerge/>
            <w:tcBorders>
              <w:top w:val="nil"/>
            </w:tcBorders>
            <w:textDirection w:val="btLr"/>
          </w:tcPr>
          <w:p>
            <w:pPr>
              <w:rPr>
                <w:sz w:val="2"/>
                <w:szCs w:val="2"/>
              </w:rPr>
            </w:pPr>
          </w:p>
        </w:tc>
        <w:tc>
          <w:tcPr>
            <w:tcW w:w="3261" w:type="dxa"/>
            <w:gridSpan w:val="2"/>
          </w:tcPr>
          <w:p>
            <w:pPr>
              <w:pStyle w:val="TableParagraph"/>
              <w:spacing w:line="301" w:lineRule="exact"/>
              <w:ind w:left="1203" w:right="1065"/>
              <w:jc w:val="center"/>
              <w:rPr>
                <w:sz w:val="28"/>
              </w:rPr>
            </w:pPr>
            <w:r>
              <w:rPr>
                <w:sz w:val="28"/>
              </w:rPr>
              <w:t>немитої</w:t>
            </w:r>
          </w:p>
        </w:tc>
        <w:tc>
          <w:tcPr>
            <w:tcW w:w="1556" w:type="dxa"/>
          </w:tcPr>
          <w:p>
            <w:pPr>
              <w:pStyle w:val="TableParagraph"/>
              <w:spacing w:line="301" w:lineRule="exact"/>
              <w:ind w:left="154" w:right="7"/>
              <w:jc w:val="center"/>
              <w:rPr>
                <w:sz w:val="28"/>
              </w:rPr>
            </w:pPr>
            <w:r>
              <w:rPr>
                <w:sz w:val="28"/>
              </w:rPr>
              <w:t>митої</w:t>
            </w:r>
          </w:p>
        </w:tc>
        <w:tc>
          <w:tcPr>
            <w:tcW w:w="2685" w:type="dxa"/>
            <w:vMerge/>
            <w:tcBorders>
              <w:top w:val="nil"/>
            </w:tcBorders>
          </w:tcPr>
          <w:p>
            <w:pPr>
              <w:rPr>
                <w:sz w:val="2"/>
                <w:szCs w:val="2"/>
              </w:rPr>
            </w:pPr>
          </w:p>
        </w:tc>
      </w:tr>
      <w:tr>
        <w:trPr>
          <w:trHeight w:val="325" w:hRule="atLeast"/>
        </w:trPr>
        <w:tc>
          <w:tcPr>
            <w:tcW w:w="1191" w:type="dxa"/>
            <w:vMerge/>
            <w:tcBorders>
              <w:top w:val="nil"/>
            </w:tcBorders>
          </w:tcPr>
          <w:p>
            <w:pPr>
              <w:rPr>
                <w:sz w:val="2"/>
                <w:szCs w:val="2"/>
              </w:rPr>
            </w:pPr>
          </w:p>
        </w:tc>
        <w:tc>
          <w:tcPr>
            <w:tcW w:w="941" w:type="dxa"/>
            <w:vMerge/>
            <w:tcBorders>
              <w:top w:val="nil"/>
            </w:tcBorders>
            <w:textDirection w:val="btLr"/>
          </w:tcPr>
          <w:p>
            <w:pPr>
              <w:rPr>
                <w:sz w:val="2"/>
                <w:szCs w:val="2"/>
              </w:rPr>
            </w:pPr>
          </w:p>
        </w:tc>
        <w:tc>
          <w:tcPr>
            <w:tcW w:w="1532" w:type="dxa"/>
          </w:tcPr>
          <w:p>
            <w:pPr>
              <w:pStyle w:val="TableParagraph"/>
              <w:spacing w:line="306" w:lineRule="exact"/>
              <w:ind w:left="238" w:right="110"/>
              <w:jc w:val="center"/>
              <w:rPr>
                <w:sz w:val="28"/>
              </w:rPr>
            </w:pPr>
            <w:r>
              <w:rPr>
                <w:sz w:val="28"/>
              </w:rPr>
              <w:t>Х±Sх</w:t>
            </w:r>
          </w:p>
        </w:tc>
        <w:tc>
          <w:tcPr>
            <w:tcW w:w="1729" w:type="dxa"/>
          </w:tcPr>
          <w:p>
            <w:pPr>
              <w:pStyle w:val="TableParagraph"/>
              <w:spacing w:line="306" w:lineRule="exact"/>
              <w:ind w:left="549" w:right="430"/>
              <w:jc w:val="center"/>
              <w:rPr>
                <w:sz w:val="28"/>
              </w:rPr>
            </w:pPr>
            <w:r>
              <w:rPr>
                <w:sz w:val="28"/>
              </w:rPr>
              <w:t>Сv, %</w:t>
            </w:r>
          </w:p>
        </w:tc>
        <w:tc>
          <w:tcPr>
            <w:tcW w:w="1556" w:type="dxa"/>
          </w:tcPr>
          <w:p>
            <w:pPr>
              <w:pStyle w:val="TableParagraph"/>
              <w:spacing w:line="306" w:lineRule="exact"/>
              <w:ind w:left="154" w:right="32"/>
              <w:jc w:val="center"/>
              <w:rPr>
                <w:sz w:val="28"/>
              </w:rPr>
            </w:pPr>
            <w:r>
              <w:rPr>
                <w:sz w:val="28"/>
              </w:rPr>
              <w:t>Х±Sх</w:t>
            </w:r>
          </w:p>
        </w:tc>
        <w:tc>
          <w:tcPr>
            <w:tcW w:w="2685" w:type="dxa"/>
          </w:tcPr>
          <w:p>
            <w:pPr>
              <w:pStyle w:val="TableParagraph"/>
              <w:rPr>
                <w:sz w:val="24"/>
              </w:rPr>
            </w:pPr>
          </w:p>
        </w:tc>
      </w:tr>
      <w:tr>
        <w:trPr>
          <w:trHeight w:val="321" w:hRule="atLeast"/>
        </w:trPr>
        <w:tc>
          <w:tcPr>
            <w:tcW w:w="1191" w:type="dxa"/>
          </w:tcPr>
          <w:p>
            <w:pPr>
              <w:pStyle w:val="TableParagraph"/>
              <w:spacing w:line="302" w:lineRule="exact"/>
              <w:ind w:left="609"/>
              <w:rPr>
                <w:sz w:val="28"/>
              </w:rPr>
            </w:pPr>
            <w:r>
              <w:rPr>
                <w:w w:val="99"/>
                <w:sz w:val="28"/>
              </w:rPr>
              <w:t>І</w:t>
            </w:r>
          </w:p>
        </w:tc>
        <w:tc>
          <w:tcPr>
            <w:tcW w:w="941" w:type="dxa"/>
          </w:tcPr>
          <w:p>
            <w:pPr>
              <w:pStyle w:val="TableParagraph"/>
              <w:spacing w:line="302" w:lineRule="exact"/>
              <w:ind w:right="262"/>
              <w:jc w:val="right"/>
              <w:rPr>
                <w:sz w:val="28"/>
              </w:rPr>
            </w:pPr>
            <w:r>
              <w:rPr>
                <w:w w:val="95"/>
                <w:sz w:val="28"/>
              </w:rPr>
              <w:t>30</w:t>
            </w:r>
          </w:p>
        </w:tc>
        <w:tc>
          <w:tcPr>
            <w:tcW w:w="1532" w:type="dxa"/>
          </w:tcPr>
          <w:p>
            <w:pPr>
              <w:pStyle w:val="TableParagraph"/>
              <w:spacing w:line="302" w:lineRule="exact"/>
              <w:ind w:left="238" w:right="110"/>
              <w:jc w:val="center"/>
              <w:rPr>
                <w:sz w:val="28"/>
              </w:rPr>
            </w:pPr>
            <w:r>
              <w:rPr>
                <w:sz w:val="28"/>
              </w:rPr>
              <w:t>4,58±0,09</w:t>
            </w:r>
          </w:p>
        </w:tc>
        <w:tc>
          <w:tcPr>
            <w:tcW w:w="1729" w:type="dxa"/>
          </w:tcPr>
          <w:p>
            <w:pPr>
              <w:pStyle w:val="TableParagraph"/>
              <w:spacing w:line="302" w:lineRule="exact"/>
              <w:ind w:left="549" w:right="426"/>
              <w:jc w:val="center"/>
              <w:rPr>
                <w:sz w:val="28"/>
              </w:rPr>
            </w:pPr>
            <w:r>
              <w:rPr>
                <w:sz w:val="28"/>
              </w:rPr>
              <w:t>29,7</w:t>
            </w:r>
          </w:p>
        </w:tc>
        <w:tc>
          <w:tcPr>
            <w:tcW w:w="1556" w:type="dxa"/>
          </w:tcPr>
          <w:p>
            <w:pPr>
              <w:pStyle w:val="TableParagraph"/>
              <w:spacing w:line="302" w:lineRule="exact"/>
              <w:ind w:left="154" w:right="32"/>
              <w:jc w:val="center"/>
              <w:rPr>
                <w:sz w:val="28"/>
              </w:rPr>
            </w:pPr>
            <w:r>
              <w:rPr>
                <w:sz w:val="28"/>
              </w:rPr>
              <w:t>2,79±0,14</w:t>
            </w:r>
          </w:p>
        </w:tc>
        <w:tc>
          <w:tcPr>
            <w:tcW w:w="2685" w:type="dxa"/>
          </w:tcPr>
          <w:p>
            <w:pPr>
              <w:pStyle w:val="TableParagraph"/>
              <w:spacing w:line="302" w:lineRule="exact"/>
              <w:ind w:right="1027"/>
              <w:jc w:val="right"/>
              <w:rPr>
                <w:sz w:val="28"/>
              </w:rPr>
            </w:pPr>
            <w:r>
              <w:rPr>
                <w:w w:val="95"/>
                <w:sz w:val="28"/>
              </w:rPr>
              <w:t>60,9</w:t>
            </w:r>
          </w:p>
        </w:tc>
      </w:tr>
      <w:tr>
        <w:trPr>
          <w:trHeight w:val="321" w:hRule="atLeast"/>
        </w:trPr>
        <w:tc>
          <w:tcPr>
            <w:tcW w:w="1191" w:type="dxa"/>
          </w:tcPr>
          <w:p>
            <w:pPr>
              <w:pStyle w:val="TableParagraph"/>
              <w:spacing w:line="301" w:lineRule="exact"/>
              <w:ind w:left="561"/>
              <w:rPr>
                <w:sz w:val="28"/>
              </w:rPr>
            </w:pPr>
            <w:r>
              <w:rPr>
                <w:sz w:val="28"/>
              </w:rPr>
              <w:t>ІІ</w:t>
            </w:r>
          </w:p>
        </w:tc>
        <w:tc>
          <w:tcPr>
            <w:tcW w:w="941" w:type="dxa"/>
          </w:tcPr>
          <w:p>
            <w:pPr>
              <w:pStyle w:val="TableParagraph"/>
              <w:spacing w:line="301" w:lineRule="exact"/>
              <w:ind w:right="262"/>
              <w:jc w:val="right"/>
              <w:rPr>
                <w:sz w:val="28"/>
              </w:rPr>
            </w:pPr>
            <w:r>
              <w:rPr>
                <w:w w:val="95"/>
                <w:sz w:val="28"/>
              </w:rPr>
              <w:t>30</w:t>
            </w:r>
          </w:p>
        </w:tc>
        <w:tc>
          <w:tcPr>
            <w:tcW w:w="1532" w:type="dxa"/>
          </w:tcPr>
          <w:p>
            <w:pPr>
              <w:pStyle w:val="TableParagraph"/>
              <w:spacing w:line="301" w:lineRule="exact"/>
              <w:ind w:left="238" w:right="110"/>
              <w:jc w:val="center"/>
              <w:rPr>
                <w:sz w:val="28"/>
              </w:rPr>
            </w:pPr>
            <w:r>
              <w:rPr>
                <w:sz w:val="28"/>
              </w:rPr>
              <w:t>5,01±0,05</w:t>
            </w:r>
          </w:p>
        </w:tc>
        <w:tc>
          <w:tcPr>
            <w:tcW w:w="1729" w:type="dxa"/>
          </w:tcPr>
          <w:p>
            <w:pPr>
              <w:pStyle w:val="TableParagraph"/>
              <w:spacing w:line="301" w:lineRule="exact"/>
              <w:ind w:left="549" w:right="426"/>
              <w:jc w:val="center"/>
              <w:rPr>
                <w:sz w:val="28"/>
              </w:rPr>
            </w:pPr>
            <w:r>
              <w:rPr>
                <w:sz w:val="28"/>
              </w:rPr>
              <w:t>26,6</w:t>
            </w:r>
          </w:p>
        </w:tc>
        <w:tc>
          <w:tcPr>
            <w:tcW w:w="1556" w:type="dxa"/>
          </w:tcPr>
          <w:p>
            <w:pPr>
              <w:pStyle w:val="TableParagraph"/>
              <w:spacing w:line="301" w:lineRule="exact"/>
              <w:ind w:left="154" w:right="32"/>
              <w:jc w:val="center"/>
              <w:rPr>
                <w:sz w:val="28"/>
              </w:rPr>
            </w:pPr>
            <w:r>
              <w:rPr>
                <w:sz w:val="28"/>
              </w:rPr>
              <w:t>3,11±0,12</w:t>
            </w:r>
          </w:p>
        </w:tc>
        <w:tc>
          <w:tcPr>
            <w:tcW w:w="2685" w:type="dxa"/>
          </w:tcPr>
          <w:p>
            <w:pPr>
              <w:pStyle w:val="TableParagraph"/>
              <w:spacing w:line="301" w:lineRule="exact"/>
              <w:ind w:right="1027"/>
              <w:jc w:val="right"/>
              <w:rPr>
                <w:sz w:val="28"/>
              </w:rPr>
            </w:pPr>
            <w:r>
              <w:rPr>
                <w:w w:val="95"/>
                <w:sz w:val="28"/>
              </w:rPr>
              <w:t>62,1</w:t>
            </w:r>
          </w:p>
        </w:tc>
      </w:tr>
      <w:tr>
        <w:trPr>
          <w:trHeight w:val="321" w:hRule="atLeast"/>
        </w:trPr>
        <w:tc>
          <w:tcPr>
            <w:tcW w:w="1191" w:type="dxa"/>
          </w:tcPr>
          <w:p>
            <w:pPr>
              <w:pStyle w:val="TableParagraph"/>
              <w:spacing w:line="301" w:lineRule="exact"/>
              <w:ind w:left="513"/>
              <w:rPr>
                <w:sz w:val="28"/>
              </w:rPr>
            </w:pPr>
            <w:r>
              <w:rPr>
                <w:sz w:val="28"/>
              </w:rPr>
              <w:t>ІІІ</w:t>
            </w:r>
          </w:p>
        </w:tc>
        <w:tc>
          <w:tcPr>
            <w:tcW w:w="941" w:type="dxa"/>
          </w:tcPr>
          <w:p>
            <w:pPr>
              <w:pStyle w:val="TableParagraph"/>
              <w:spacing w:line="301" w:lineRule="exact"/>
              <w:ind w:right="262"/>
              <w:jc w:val="right"/>
              <w:rPr>
                <w:sz w:val="28"/>
              </w:rPr>
            </w:pPr>
            <w:r>
              <w:rPr>
                <w:w w:val="95"/>
                <w:sz w:val="28"/>
              </w:rPr>
              <w:t>30</w:t>
            </w:r>
          </w:p>
        </w:tc>
        <w:tc>
          <w:tcPr>
            <w:tcW w:w="1532" w:type="dxa"/>
          </w:tcPr>
          <w:p>
            <w:pPr>
              <w:pStyle w:val="TableParagraph"/>
              <w:spacing w:line="301" w:lineRule="exact"/>
              <w:ind w:left="238" w:right="110"/>
              <w:jc w:val="center"/>
              <w:rPr>
                <w:sz w:val="28"/>
              </w:rPr>
            </w:pPr>
            <w:r>
              <w:rPr>
                <w:sz w:val="28"/>
              </w:rPr>
              <w:t>4,25±0,03</w:t>
            </w:r>
          </w:p>
        </w:tc>
        <w:tc>
          <w:tcPr>
            <w:tcW w:w="1729" w:type="dxa"/>
          </w:tcPr>
          <w:p>
            <w:pPr>
              <w:pStyle w:val="TableParagraph"/>
              <w:spacing w:line="301" w:lineRule="exact"/>
              <w:ind w:left="549" w:right="426"/>
              <w:jc w:val="center"/>
              <w:rPr>
                <w:sz w:val="28"/>
              </w:rPr>
            </w:pPr>
            <w:r>
              <w:rPr>
                <w:sz w:val="28"/>
              </w:rPr>
              <w:t>14,8</w:t>
            </w:r>
          </w:p>
        </w:tc>
        <w:tc>
          <w:tcPr>
            <w:tcW w:w="1556" w:type="dxa"/>
          </w:tcPr>
          <w:p>
            <w:pPr>
              <w:pStyle w:val="TableParagraph"/>
              <w:spacing w:line="301" w:lineRule="exact"/>
              <w:ind w:left="154" w:right="32"/>
              <w:jc w:val="center"/>
              <w:rPr>
                <w:sz w:val="28"/>
              </w:rPr>
            </w:pPr>
            <w:r>
              <w:rPr>
                <w:sz w:val="28"/>
              </w:rPr>
              <w:t>2,46±0,05</w:t>
            </w:r>
          </w:p>
        </w:tc>
        <w:tc>
          <w:tcPr>
            <w:tcW w:w="2685" w:type="dxa"/>
          </w:tcPr>
          <w:p>
            <w:pPr>
              <w:pStyle w:val="TableParagraph"/>
              <w:spacing w:line="301" w:lineRule="exact"/>
              <w:ind w:right="1027"/>
              <w:jc w:val="right"/>
              <w:rPr>
                <w:sz w:val="28"/>
              </w:rPr>
            </w:pPr>
            <w:r>
              <w:rPr>
                <w:w w:val="95"/>
                <w:sz w:val="28"/>
              </w:rPr>
              <w:t>57,9</w:t>
            </w:r>
          </w:p>
        </w:tc>
      </w:tr>
    </w:tbl>
    <w:p>
      <w:pPr>
        <w:pStyle w:val="BodyText"/>
        <w:spacing w:before="4"/>
        <w:ind w:left="0"/>
        <w:jc w:val="left"/>
        <w:rPr>
          <w:sz w:val="27"/>
        </w:rPr>
      </w:pPr>
    </w:p>
    <w:p>
      <w:pPr>
        <w:pStyle w:val="BodyText"/>
        <w:ind w:right="611" w:firstLine="710"/>
      </w:pPr>
      <w:r>
        <w:rPr/>
        <w:t>За настригом вовни (як немитої так і митої) ярки І групи перевершують ярок ІІІ групи на 7,8 % і 13,4%, різниця між групами досить достовірна (td= 3.7; Р&gt;0,99). При порівнянні за цими показниками ярок ІІ і І груп відзначається перевага</w:t>
      </w:r>
      <w:r>
        <w:rPr>
          <w:spacing w:val="-12"/>
        </w:rPr>
        <w:t> </w:t>
      </w:r>
      <w:r>
        <w:rPr/>
        <w:t>ярок</w:t>
      </w:r>
      <w:r>
        <w:rPr>
          <w:spacing w:val="-13"/>
        </w:rPr>
        <w:t> </w:t>
      </w:r>
      <w:r>
        <w:rPr/>
        <w:t>ІІ</w:t>
      </w:r>
      <w:r>
        <w:rPr>
          <w:spacing w:val="-14"/>
        </w:rPr>
        <w:t> </w:t>
      </w:r>
      <w:r>
        <w:rPr/>
        <w:t>групи</w:t>
      </w:r>
      <w:r>
        <w:rPr>
          <w:spacing w:val="-13"/>
        </w:rPr>
        <w:t> </w:t>
      </w:r>
      <w:r>
        <w:rPr/>
        <w:t>на</w:t>
      </w:r>
      <w:r>
        <w:rPr>
          <w:spacing w:val="-11"/>
        </w:rPr>
        <w:t> </w:t>
      </w:r>
      <w:r>
        <w:rPr/>
        <w:t>9,4</w:t>
      </w:r>
      <w:r>
        <w:rPr>
          <w:spacing w:val="-13"/>
        </w:rPr>
        <w:t> </w:t>
      </w:r>
      <w:r>
        <w:rPr/>
        <w:t>%</w:t>
      </w:r>
      <w:r>
        <w:rPr>
          <w:spacing w:val="-14"/>
        </w:rPr>
        <w:t> </w:t>
      </w:r>
      <w:r>
        <w:rPr/>
        <w:t>і</w:t>
      </w:r>
      <w:r>
        <w:rPr>
          <w:spacing w:val="-17"/>
        </w:rPr>
        <w:t> </w:t>
      </w:r>
      <w:r>
        <w:rPr/>
        <w:t>11,5%</w:t>
      </w:r>
      <w:r>
        <w:rPr>
          <w:spacing w:val="-14"/>
        </w:rPr>
        <w:t> </w:t>
      </w:r>
      <w:r>
        <w:rPr/>
        <w:t>відповідно</w:t>
      </w:r>
      <w:r>
        <w:rPr>
          <w:spacing w:val="-12"/>
        </w:rPr>
        <w:t> </w:t>
      </w:r>
      <w:r>
        <w:rPr/>
        <w:t>(td=</w:t>
      </w:r>
      <w:r>
        <w:rPr>
          <w:spacing w:val="-12"/>
        </w:rPr>
        <w:t> </w:t>
      </w:r>
      <w:r>
        <w:rPr/>
        <w:t>4.5;</w:t>
      </w:r>
      <w:r>
        <w:rPr>
          <w:spacing w:val="-13"/>
        </w:rPr>
        <w:t> </w:t>
      </w:r>
      <w:r>
        <w:rPr/>
        <w:t>Р&gt;0,99).</w:t>
      </w:r>
      <w:r>
        <w:rPr>
          <w:spacing w:val="-11"/>
        </w:rPr>
        <w:t> </w:t>
      </w:r>
      <w:r>
        <w:rPr/>
        <w:t>Вихід</w:t>
      </w:r>
      <w:r>
        <w:rPr>
          <w:spacing w:val="-10"/>
        </w:rPr>
        <w:t> </w:t>
      </w:r>
      <w:r>
        <w:rPr/>
        <w:t>митого волокна у ІІ і І груп склав відповідно, 62,1 % і 60,9%, що на 4,0 і 3,0</w:t>
      </w:r>
      <w:r>
        <w:rPr>
          <w:spacing w:val="-46"/>
        </w:rPr>
        <w:t> </w:t>
      </w:r>
      <w:r>
        <w:rPr/>
        <w:t>абсолютних відсотка вище, </w:t>
      </w:r>
      <w:r>
        <w:rPr>
          <w:spacing w:val="-3"/>
        </w:rPr>
        <w:t>ніж </w:t>
      </w:r>
      <w:r>
        <w:rPr/>
        <w:t>у ярок ІІІ групи. Всі групи вівцематок характеризуються досить високою молочністю, що ми пов’язуємо з спадково-обумовленим високим рівнем молочної продуктивності овець одеського типу асканійської м'ясо-вовнової породи з кросбредною вовною. </w:t>
      </w:r>
      <w:r>
        <w:rPr>
          <w:spacing w:val="3"/>
        </w:rPr>
        <w:t>Дані </w:t>
      </w:r>
      <w:r>
        <w:rPr/>
        <w:t>наведено в таблиці</w:t>
      </w:r>
      <w:r>
        <w:rPr>
          <w:spacing w:val="-25"/>
        </w:rPr>
        <w:t> </w:t>
      </w:r>
      <w:r>
        <w:rPr/>
        <w:t>5.</w:t>
      </w:r>
    </w:p>
    <w:p>
      <w:pPr>
        <w:pStyle w:val="BodyText"/>
        <w:spacing w:before="2" w:after="7"/>
        <w:ind w:left="903"/>
      </w:pPr>
      <w:r>
        <w:rPr/>
        <w:t>Таблиця 5 . Молочна продуктивність вівцематок</w:t>
      </w:r>
    </w:p>
    <w:tbl>
      <w:tblPr>
        <w:tblW w:w="0" w:type="auto"/>
        <w:jc w:val="left"/>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5"/>
        <w:gridCol w:w="1359"/>
        <w:gridCol w:w="1700"/>
        <w:gridCol w:w="1277"/>
        <w:gridCol w:w="1560"/>
        <w:gridCol w:w="2016"/>
      </w:tblGrid>
      <w:tr>
        <w:trPr>
          <w:trHeight w:val="321" w:hRule="atLeast"/>
        </w:trPr>
        <w:tc>
          <w:tcPr>
            <w:tcW w:w="1585" w:type="dxa"/>
          </w:tcPr>
          <w:p>
            <w:pPr>
              <w:pStyle w:val="TableParagraph"/>
              <w:spacing w:line="301" w:lineRule="exact"/>
              <w:ind w:left="139"/>
              <w:rPr>
                <w:sz w:val="28"/>
              </w:rPr>
            </w:pPr>
            <w:r>
              <w:rPr>
                <w:sz w:val="28"/>
              </w:rPr>
              <w:t>Група</w:t>
            </w:r>
          </w:p>
        </w:tc>
        <w:tc>
          <w:tcPr>
            <w:tcW w:w="1359" w:type="dxa"/>
          </w:tcPr>
          <w:p>
            <w:pPr>
              <w:pStyle w:val="TableParagraph"/>
              <w:spacing w:line="301" w:lineRule="exact"/>
              <w:ind w:left="143"/>
              <w:rPr>
                <w:sz w:val="28"/>
              </w:rPr>
            </w:pPr>
            <w:r>
              <w:rPr>
                <w:sz w:val="28"/>
              </w:rPr>
              <w:t>n, голів</w:t>
            </w:r>
          </w:p>
        </w:tc>
        <w:tc>
          <w:tcPr>
            <w:tcW w:w="1700" w:type="dxa"/>
          </w:tcPr>
          <w:p>
            <w:pPr>
              <w:pStyle w:val="TableParagraph"/>
              <w:spacing w:line="301" w:lineRule="exact"/>
              <w:ind w:left="138"/>
              <w:rPr>
                <w:sz w:val="28"/>
              </w:rPr>
            </w:pPr>
            <w:r>
              <w:rPr>
                <w:sz w:val="28"/>
              </w:rPr>
              <w:t>Х±Sх</w:t>
            </w:r>
          </w:p>
        </w:tc>
        <w:tc>
          <w:tcPr>
            <w:tcW w:w="1277" w:type="dxa"/>
          </w:tcPr>
          <w:p>
            <w:pPr>
              <w:pStyle w:val="TableParagraph"/>
              <w:spacing w:line="301" w:lineRule="exact"/>
              <w:ind w:left="143"/>
              <w:rPr>
                <w:sz w:val="28"/>
              </w:rPr>
            </w:pPr>
            <w:r>
              <w:rPr>
                <w:w w:val="99"/>
                <w:sz w:val="28"/>
              </w:rPr>
              <w:t>G</w:t>
            </w:r>
          </w:p>
        </w:tc>
        <w:tc>
          <w:tcPr>
            <w:tcW w:w="1560" w:type="dxa"/>
          </w:tcPr>
          <w:p>
            <w:pPr>
              <w:pStyle w:val="TableParagraph"/>
              <w:spacing w:line="301" w:lineRule="exact"/>
              <w:ind w:left="143"/>
              <w:rPr>
                <w:sz w:val="28"/>
              </w:rPr>
            </w:pPr>
            <w:r>
              <w:rPr>
                <w:sz w:val="28"/>
              </w:rPr>
              <w:t>Сv, %</w:t>
            </w:r>
          </w:p>
        </w:tc>
        <w:tc>
          <w:tcPr>
            <w:tcW w:w="2016" w:type="dxa"/>
          </w:tcPr>
          <w:p>
            <w:pPr>
              <w:pStyle w:val="TableParagraph"/>
              <w:spacing w:line="301" w:lineRule="exact"/>
              <w:ind w:left="139"/>
              <w:rPr>
                <w:sz w:val="28"/>
              </w:rPr>
            </w:pPr>
            <w:r>
              <w:rPr>
                <w:sz w:val="28"/>
              </w:rPr>
              <w:t>Lim</w:t>
            </w:r>
          </w:p>
        </w:tc>
      </w:tr>
      <w:tr>
        <w:trPr>
          <w:trHeight w:val="321" w:hRule="atLeast"/>
        </w:trPr>
        <w:tc>
          <w:tcPr>
            <w:tcW w:w="1585" w:type="dxa"/>
          </w:tcPr>
          <w:p>
            <w:pPr>
              <w:pStyle w:val="TableParagraph"/>
              <w:spacing w:line="301" w:lineRule="exact"/>
              <w:ind w:left="139"/>
              <w:rPr>
                <w:sz w:val="28"/>
              </w:rPr>
            </w:pPr>
            <w:r>
              <w:rPr>
                <w:w w:val="99"/>
                <w:sz w:val="28"/>
              </w:rPr>
              <w:t>І</w:t>
            </w:r>
          </w:p>
        </w:tc>
        <w:tc>
          <w:tcPr>
            <w:tcW w:w="1359" w:type="dxa"/>
          </w:tcPr>
          <w:p>
            <w:pPr>
              <w:pStyle w:val="TableParagraph"/>
              <w:spacing w:line="301" w:lineRule="exact"/>
              <w:ind w:left="143"/>
              <w:rPr>
                <w:sz w:val="28"/>
              </w:rPr>
            </w:pPr>
            <w:r>
              <w:rPr>
                <w:sz w:val="28"/>
              </w:rPr>
              <w:t>30</w:t>
            </w:r>
          </w:p>
        </w:tc>
        <w:tc>
          <w:tcPr>
            <w:tcW w:w="1700" w:type="dxa"/>
          </w:tcPr>
          <w:p>
            <w:pPr>
              <w:pStyle w:val="TableParagraph"/>
              <w:spacing w:line="301" w:lineRule="exact"/>
              <w:ind w:left="138"/>
              <w:rPr>
                <w:sz w:val="28"/>
              </w:rPr>
            </w:pPr>
            <w:r>
              <w:rPr>
                <w:sz w:val="28"/>
              </w:rPr>
              <w:t>130,23±8,54</w:t>
            </w:r>
          </w:p>
        </w:tc>
        <w:tc>
          <w:tcPr>
            <w:tcW w:w="1277" w:type="dxa"/>
          </w:tcPr>
          <w:p>
            <w:pPr>
              <w:pStyle w:val="TableParagraph"/>
              <w:spacing w:line="301" w:lineRule="exact"/>
              <w:ind w:left="143"/>
              <w:rPr>
                <w:sz w:val="28"/>
              </w:rPr>
            </w:pPr>
            <w:r>
              <w:rPr>
                <w:sz w:val="28"/>
              </w:rPr>
              <w:t>33,09</w:t>
            </w:r>
          </w:p>
        </w:tc>
        <w:tc>
          <w:tcPr>
            <w:tcW w:w="1560" w:type="dxa"/>
          </w:tcPr>
          <w:p>
            <w:pPr>
              <w:pStyle w:val="TableParagraph"/>
              <w:spacing w:line="301" w:lineRule="exact"/>
              <w:ind w:left="143"/>
              <w:rPr>
                <w:sz w:val="28"/>
              </w:rPr>
            </w:pPr>
            <w:r>
              <w:rPr>
                <w:sz w:val="28"/>
              </w:rPr>
              <w:t>25,41</w:t>
            </w:r>
          </w:p>
        </w:tc>
        <w:tc>
          <w:tcPr>
            <w:tcW w:w="2016" w:type="dxa"/>
          </w:tcPr>
          <w:p>
            <w:pPr>
              <w:pStyle w:val="TableParagraph"/>
              <w:spacing w:line="301" w:lineRule="exact"/>
              <w:ind w:left="139"/>
              <w:rPr>
                <w:sz w:val="28"/>
              </w:rPr>
            </w:pPr>
            <w:r>
              <w:rPr>
                <w:sz w:val="28"/>
              </w:rPr>
              <w:t>86,88-183,64</w:t>
            </w:r>
          </w:p>
        </w:tc>
      </w:tr>
      <w:tr>
        <w:trPr>
          <w:trHeight w:val="321" w:hRule="atLeast"/>
        </w:trPr>
        <w:tc>
          <w:tcPr>
            <w:tcW w:w="1585" w:type="dxa"/>
          </w:tcPr>
          <w:p>
            <w:pPr>
              <w:pStyle w:val="TableParagraph"/>
              <w:spacing w:line="302" w:lineRule="exact"/>
              <w:ind w:left="139"/>
              <w:rPr>
                <w:sz w:val="28"/>
              </w:rPr>
            </w:pPr>
            <w:r>
              <w:rPr>
                <w:sz w:val="28"/>
              </w:rPr>
              <w:t>ІІ</w:t>
            </w:r>
          </w:p>
        </w:tc>
        <w:tc>
          <w:tcPr>
            <w:tcW w:w="1359" w:type="dxa"/>
          </w:tcPr>
          <w:p>
            <w:pPr>
              <w:pStyle w:val="TableParagraph"/>
              <w:spacing w:line="302" w:lineRule="exact"/>
              <w:ind w:left="143"/>
              <w:rPr>
                <w:sz w:val="28"/>
              </w:rPr>
            </w:pPr>
            <w:r>
              <w:rPr>
                <w:sz w:val="28"/>
              </w:rPr>
              <w:t>30</w:t>
            </w:r>
          </w:p>
        </w:tc>
        <w:tc>
          <w:tcPr>
            <w:tcW w:w="1700" w:type="dxa"/>
          </w:tcPr>
          <w:p>
            <w:pPr>
              <w:pStyle w:val="TableParagraph"/>
              <w:spacing w:line="302" w:lineRule="exact"/>
              <w:ind w:left="138"/>
              <w:rPr>
                <w:sz w:val="28"/>
              </w:rPr>
            </w:pPr>
            <w:r>
              <w:rPr>
                <w:sz w:val="28"/>
              </w:rPr>
              <w:t>141,09±7,65</w:t>
            </w:r>
          </w:p>
        </w:tc>
        <w:tc>
          <w:tcPr>
            <w:tcW w:w="1277" w:type="dxa"/>
          </w:tcPr>
          <w:p>
            <w:pPr>
              <w:pStyle w:val="TableParagraph"/>
              <w:spacing w:line="302" w:lineRule="exact"/>
              <w:ind w:left="143"/>
              <w:rPr>
                <w:sz w:val="28"/>
              </w:rPr>
            </w:pPr>
            <w:r>
              <w:rPr>
                <w:sz w:val="28"/>
              </w:rPr>
              <w:t>26,94</w:t>
            </w:r>
          </w:p>
        </w:tc>
        <w:tc>
          <w:tcPr>
            <w:tcW w:w="1560" w:type="dxa"/>
          </w:tcPr>
          <w:p>
            <w:pPr>
              <w:pStyle w:val="TableParagraph"/>
              <w:spacing w:line="302" w:lineRule="exact"/>
              <w:ind w:left="143"/>
              <w:rPr>
                <w:sz w:val="28"/>
              </w:rPr>
            </w:pPr>
            <w:r>
              <w:rPr>
                <w:sz w:val="28"/>
              </w:rPr>
              <w:t>21,00</w:t>
            </w:r>
          </w:p>
        </w:tc>
        <w:tc>
          <w:tcPr>
            <w:tcW w:w="2016" w:type="dxa"/>
          </w:tcPr>
          <w:p>
            <w:pPr>
              <w:pStyle w:val="TableParagraph"/>
              <w:spacing w:line="302" w:lineRule="exact"/>
              <w:ind w:left="139"/>
              <w:rPr>
                <w:sz w:val="28"/>
              </w:rPr>
            </w:pPr>
            <w:r>
              <w:rPr>
                <w:sz w:val="28"/>
              </w:rPr>
              <w:t>94,78-186,91</w:t>
            </w:r>
          </w:p>
        </w:tc>
      </w:tr>
      <w:tr>
        <w:trPr>
          <w:trHeight w:val="325" w:hRule="atLeast"/>
        </w:trPr>
        <w:tc>
          <w:tcPr>
            <w:tcW w:w="1585" w:type="dxa"/>
          </w:tcPr>
          <w:p>
            <w:pPr>
              <w:pStyle w:val="TableParagraph"/>
              <w:spacing w:line="306" w:lineRule="exact"/>
              <w:ind w:left="139"/>
              <w:rPr>
                <w:sz w:val="28"/>
              </w:rPr>
            </w:pPr>
            <w:r>
              <w:rPr>
                <w:sz w:val="28"/>
              </w:rPr>
              <w:t>ІІІ</w:t>
            </w:r>
          </w:p>
        </w:tc>
        <w:tc>
          <w:tcPr>
            <w:tcW w:w="1359" w:type="dxa"/>
          </w:tcPr>
          <w:p>
            <w:pPr>
              <w:pStyle w:val="TableParagraph"/>
              <w:spacing w:line="306" w:lineRule="exact"/>
              <w:ind w:left="143"/>
              <w:rPr>
                <w:sz w:val="28"/>
              </w:rPr>
            </w:pPr>
            <w:r>
              <w:rPr>
                <w:sz w:val="28"/>
              </w:rPr>
              <w:t>30</w:t>
            </w:r>
          </w:p>
        </w:tc>
        <w:tc>
          <w:tcPr>
            <w:tcW w:w="1700" w:type="dxa"/>
          </w:tcPr>
          <w:p>
            <w:pPr>
              <w:pStyle w:val="TableParagraph"/>
              <w:spacing w:line="306" w:lineRule="exact"/>
              <w:ind w:left="138"/>
              <w:rPr>
                <w:sz w:val="28"/>
              </w:rPr>
            </w:pPr>
            <w:r>
              <w:rPr>
                <w:sz w:val="28"/>
              </w:rPr>
              <w:t>116,05±6,91</w:t>
            </w:r>
          </w:p>
        </w:tc>
        <w:tc>
          <w:tcPr>
            <w:tcW w:w="1277" w:type="dxa"/>
          </w:tcPr>
          <w:p>
            <w:pPr>
              <w:pStyle w:val="TableParagraph"/>
              <w:spacing w:line="306" w:lineRule="exact"/>
              <w:ind w:left="143"/>
              <w:rPr>
                <w:sz w:val="28"/>
              </w:rPr>
            </w:pPr>
            <w:r>
              <w:rPr>
                <w:sz w:val="28"/>
              </w:rPr>
              <w:t>26,76</w:t>
            </w:r>
          </w:p>
        </w:tc>
        <w:tc>
          <w:tcPr>
            <w:tcW w:w="1560" w:type="dxa"/>
          </w:tcPr>
          <w:p>
            <w:pPr>
              <w:pStyle w:val="TableParagraph"/>
              <w:spacing w:line="306" w:lineRule="exact"/>
              <w:ind w:left="143"/>
              <w:rPr>
                <w:sz w:val="28"/>
              </w:rPr>
            </w:pPr>
            <w:r>
              <w:rPr>
                <w:sz w:val="28"/>
              </w:rPr>
              <w:t>23,06</w:t>
            </w:r>
          </w:p>
        </w:tc>
        <w:tc>
          <w:tcPr>
            <w:tcW w:w="2016" w:type="dxa"/>
          </w:tcPr>
          <w:p>
            <w:pPr>
              <w:pStyle w:val="TableParagraph"/>
              <w:spacing w:line="306" w:lineRule="exact"/>
              <w:ind w:left="139"/>
              <w:rPr>
                <w:sz w:val="28"/>
              </w:rPr>
            </w:pPr>
            <w:r>
              <w:rPr>
                <w:sz w:val="28"/>
              </w:rPr>
              <w:t>78,94-160,03</w:t>
            </w:r>
          </w:p>
        </w:tc>
      </w:tr>
    </w:tbl>
    <w:p>
      <w:pPr>
        <w:pStyle w:val="BodyText"/>
        <w:spacing w:before="4"/>
        <w:ind w:left="0"/>
        <w:jc w:val="left"/>
        <w:rPr>
          <w:sz w:val="27"/>
        </w:rPr>
      </w:pPr>
    </w:p>
    <w:p>
      <w:pPr>
        <w:pStyle w:val="BodyText"/>
        <w:ind w:right="607" w:firstLine="710"/>
      </w:pPr>
      <w:r>
        <w:rPr/>
        <w:t>Перевага вівцематок ІІ дослідної групи над вівцематками І контрольної складає</w:t>
      </w:r>
      <w:r>
        <w:rPr>
          <w:spacing w:val="-7"/>
        </w:rPr>
        <w:t> </w:t>
      </w:r>
      <w:r>
        <w:rPr/>
        <w:t>10,86</w:t>
      </w:r>
      <w:r>
        <w:rPr>
          <w:spacing w:val="-11"/>
        </w:rPr>
        <w:t> </w:t>
      </w:r>
      <w:r>
        <w:rPr/>
        <w:t>кг,</w:t>
      </w:r>
      <w:r>
        <w:rPr>
          <w:spacing w:val="-9"/>
        </w:rPr>
        <w:t> </w:t>
      </w:r>
      <w:r>
        <w:rPr/>
        <w:t>або</w:t>
      </w:r>
      <w:r>
        <w:rPr>
          <w:spacing w:val="-7"/>
        </w:rPr>
        <w:t> </w:t>
      </w:r>
      <w:r>
        <w:rPr/>
        <w:t>8</w:t>
      </w:r>
      <w:r>
        <w:rPr>
          <w:spacing w:val="-11"/>
        </w:rPr>
        <w:t> </w:t>
      </w:r>
      <w:r>
        <w:rPr/>
        <w:t>%</w:t>
      </w:r>
      <w:r>
        <w:rPr>
          <w:spacing w:val="-8"/>
        </w:rPr>
        <w:t> </w:t>
      </w:r>
      <w:r>
        <w:rPr/>
        <w:t>(Р&gt;0,95),</w:t>
      </w:r>
      <w:r>
        <w:rPr>
          <w:spacing w:val="-5"/>
        </w:rPr>
        <w:t> </w:t>
      </w:r>
      <w:r>
        <w:rPr/>
        <w:t>а</w:t>
      </w:r>
      <w:r>
        <w:rPr>
          <w:spacing w:val="-10"/>
        </w:rPr>
        <w:t> </w:t>
      </w:r>
      <w:r>
        <w:rPr/>
        <w:t>над</w:t>
      </w:r>
      <w:r>
        <w:rPr>
          <w:spacing w:val="-14"/>
        </w:rPr>
        <w:t> </w:t>
      </w:r>
      <w:r>
        <w:rPr/>
        <w:t>вівцематками</w:t>
      </w:r>
      <w:r>
        <w:rPr>
          <w:spacing w:val="-6"/>
        </w:rPr>
        <w:t> </w:t>
      </w:r>
      <w:r>
        <w:rPr/>
        <w:t>ІІІ</w:t>
      </w:r>
      <w:r>
        <w:rPr>
          <w:spacing w:val="-8"/>
        </w:rPr>
        <w:t> </w:t>
      </w:r>
      <w:r>
        <w:rPr/>
        <w:t>дослідної</w:t>
      </w:r>
      <w:r>
        <w:rPr>
          <w:spacing w:val="-12"/>
        </w:rPr>
        <w:t> </w:t>
      </w:r>
      <w:r>
        <w:rPr/>
        <w:t>групи</w:t>
      </w:r>
      <w:r>
        <w:rPr>
          <w:spacing w:val="2"/>
        </w:rPr>
        <w:t> </w:t>
      </w:r>
      <w:r>
        <w:rPr/>
        <w:t>–</w:t>
      </w:r>
      <w:r>
        <w:rPr>
          <w:spacing w:val="-7"/>
        </w:rPr>
        <w:t> </w:t>
      </w:r>
      <w:r>
        <w:rPr/>
        <w:t>25,04 кг, або 21,6 % (Р&gt;0,95). Протягом лактації спостерігається зниження молочності у всіх груп вівцематок. Максимальний удій відмічається на першому місяці лактації, а мінімальний – на останньому. Характеризуючи мінливість рівня молочної продуктивності можна зробити висновок, що вона досить висока, і складає 21,0 -25 %. </w:t>
      </w:r>
      <w:r>
        <w:rPr>
          <w:spacing w:val="-3"/>
        </w:rPr>
        <w:t>Це </w:t>
      </w:r>
      <w:r>
        <w:rPr/>
        <w:t>свідчить про те, що в череді є тварини з досить різноманітною молочною продуктивністю ( min – 78,94 кг, mах – 186,91 кг), і це дає можливість відбору високомолочних маток для подальшого використання</w:t>
      </w:r>
      <w:r>
        <w:rPr>
          <w:spacing w:val="-50"/>
        </w:rPr>
        <w:t> </w:t>
      </w:r>
      <w:r>
        <w:rPr/>
        <w:t>їх у селекційно-племінній</w:t>
      </w:r>
      <w:r>
        <w:rPr>
          <w:spacing w:val="-3"/>
        </w:rPr>
        <w:t> </w:t>
      </w:r>
      <w:r>
        <w:rPr/>
        <w:t>роботі.</w:t>
      </w:r>
    </w:p>
    <w:p>
      <w:pPr>
        <w:spacing w:after="0"/>
        <w:sectPr>
          <w:pgSz w:w="11910" w:h="16840"/>
          <w:pgMar w:header="713" w:footer="778" w:top="1140" w:bottom="960" w:left="940" w:right="520"/>
        </w:sectPr>
      </w:pPr>
    </w:p>
    <w:p>
      <w:pPr>
        <w:pStyle w:val="BodyText"/>
        <w:spacing w:before="92"/>
        <w:ind w:right="608" w:firstLine="710"/>
      </w:pPr>
      <w:r>
        <w:rPr>
          <w:b/>
        </w:rPr>
        <w:t>Висновки. </w:t>
      </w:r>
      <w:r>
        <w:rPr/>
        <w:t>1.Кращими відгодівельними, забійними і м’ясними якостями характеризувався молодняк найбільш активної і помірної поведінки. Валашки цих груп за період відгодівлі мали більшу енергію росту. При забої ці валашки за забійною масою, масою туші, коефіцієнтом м’ясності достовірно переважали полохливих та обережних тварин. 2.При розведенні ярок І та ІІ групи встановлена більша їх вовнова продуктивність, як настриг вовни в оригіналі так і вмитому волокні, відповідно на 7,8 - 17,9 % та 13,4 – 26,4 % у порівняні з однолітками ІІІ групи. 3. За молочною продуктивністю перевага вівцематок ІІ дослідної групи над вівцематками І контрольної складає 10,86 кг, або 8 % (Р&gt;0,95), а над вівцематками ІІІ дослідної групи – 25,04 кг, або 21,6 % (Р&gt;0,95).</w:t>
      </w:r>
    </w:p>
    <w:p>
      <w:pPr>
        <w:pStyle w:val="BodyText"/>
        <w:spacing w:before="6"/>
        <w:ind w:left="0"/>
        <w:jc w:val="left"/>
      </w:pPr>
    </w:p>
    <w:p>
      <w:pPr>
        <w:pStyle w:val="Heading1"/>
        <w:spacing w:line="319" w:lineRule="exact"/>
        <w:ind w:left="894"/>
      </w:pPr>
      <w:r>
        <w:rPr/>
        <w:t>ЛІТЕРАТУРА</w:t>
      </w:r>
    </w:p>
    <w:p>
      <w:pPr>
        <w:pStyle w:val="ListParagraph"/>
        <w:numPr>
          <w:ilvl w:val="0"/>
          <w:numId w:val="18"/>
        </w:numPr>
        <w:tabs>
          <w:tab w:pos="1212" w:val="left" w:leader="none"/>
        </w:tabs>
        <w:spacing w:line="240" w:lineRule="auto" w:before="0" w:after="0"/>
        <w:ind w:left="193" w:right="607" w:firstLine="710"/>
        <w:jc w:val="both"/>
        <w:rPr>
          <w:sz w:val="28"/>
        </w:rPr>
      </w:pPr>
      <w:r>
        <w:rPr>
          <w:sz w:val="28"/>
        </w:rPr>
        <w:t>Барановський Д.І., Герасимов В.І., Нагаєвич А.М. Генофонд свійських тварин України: Навчальний посібник. – Харків: «Еспада» 2005. – 217 с.</w:t>
      </w:r>
    </w:p>
    <w:p>
      <w:pPr>
        <w:pStyle w:val="ListParagraph"/>
        <w:numPr>
          <w:ilvl w:val="0"/>
          <w:numId w:val="18"/>
        </w:numPr>
        <w:tabs>
          <w:tab w:pos="1322" w:val="left" w:leader="none"/>
        </w:tabs>
        <w:spacing w:line="240" w:lineRule="auto" w:before="0" w:after="0"/>
        <w:ind w:left="193" w:right="607" w:firstLine="710"/>
        <w:jc w:val="both"/>
        <w:rPr>
          <w:sz w:val="28"/>
        </w:rPr>
      </w:pPr>
      <w:r>
        <w:rPr>
          <w:sz w:val="28"/>
        </w:rPr>
        <w:t>Вінничук Д. Т. Генетичний потенціал продуктивності тварин // Проблеми розвитку тваринництва: Зб. </w:t>
      </w:r>
      <w:r>
        <w:rPr>
          <w:spacing w:val="-3"/>
          <w:sz w:val="28"/>
        </w:rPr>
        <w:t>наук. </w:t>
      </w:r>
      <w:r>
        <w:rPr>
          <w:sz w:val="28"/>
        </w:rPr>
        <w:t>праць. – К.: Аграрна наука, 2000. – Вип.2. –</w:t>
      </w:r>
      <w:r>
        <w:rPr>
          <w:spacing w:val="6"/>
          <w:sz w:val="28"/>
        </w:rPr>
        <w:t> </w:t>
      </w:r>
      <w:r>
        <w:rPr>
          <w:sz w:val="28"/>
        </w:rPr>
        <w:t>40с.</w:t>
      </w:r>
    </w:p>
    <w:p>
      <w:pPr>
        <w:pStyle w:val="ListParagraph"/>
        <w:numPr>
          <w:ilvl w:val="0"/>
          <w:numId w:val="18"/>
        </w:numPr>
        <w:tabs>
          <w:tab w:pos="1265" w:val="left" w:leader="none"/>
        </w:tabs>
        <w:spacing w:line="242" w:lineRule="auto" w:before="0" w:after="0"/>
        <w:ind w:left="193" w:right="616" w:firstLine="710"/>
        <w:jc w:val="both"/>
        <w:rPr>
          <w:sz w:val="28"/>
        </w:rPr>
      </w:pPr>
      <w:r>
        <w:rPr>
          <w:sz w:val="28"/>
        </w:rPr>
        <w:t>«Інструкція з бонітування овець». Інструкція з ведення племінного обліку у вівчарстві і козівництві. Київ – 2003. – 154</w:t>
      </w:r>
      <w:r>
        <w:rPr>
          <w:spacing w:val="14"/>
          <w:sz w:val="28"/>
        </w:rPr>
        <w:t> </w:t>
      </w:r>
      <w:r>
        <w:rPr>
          <w:sz w:val="28"/>
        </w:rPr>
        <w:t>С.</w:t>
      </w:r>
    </w:p>
    <w:p>
      <w:pPr>
        <w:pStyle w:val="ListParagraph"/>
        <w:numPr>
          <w:ilvl w:val="0"/>
          <w:numId w:val="18"/>
        </w:numPr>
        <w:tabs>
          <w:tab w:pos="1341" w:val="left" w:leader="none"/>
        </w:tabs>
        <w:spacing w:line="240" w:lineRule="auto" w:before="0" w:after="0"/>
        <w:ind w:left="193" w:right="622" w:firstLine="710"/>
        <w:jc w:val="both"/>
        <w:rPr>
          <w:sz w:val="28"/>
        </w:rPr>
      </w:pPr>
      <w:r>
        <w:rPr>
          <w:sz w:val="28"/>
        </w:rPr>
        <w:t>Чігірьов В.О., Чепур В.К. Оцінка основних селекційних ознак продуктивності овець одеського внутрішньо породного типу асканійської</w:t>
      </w:r>
      <w:r>
        <w:rPr>
          <w:spacing w:val="40"/>
          <w:sz w:val="28"/>
        </w:rPr>
        <w:t> </w:t>
      </w:r>
      <w:r>
        <w:rPr>
          <w:sz w:val="28"/>
        </w:rPr>
        <w:t>м'ясо</w:t>
      </w:r>
    </w:p>
    <w:p>
      <w:pPr>
        <w:pStyle w:val="ListParagraph"/>
        <w:numPr>
          <w:ilvl w:val="0"/>
          <w:numId w:val="14"/>
        </w:numPr>
        <w:tabs>
          <w:tab w:pos="391" w:val="left" w:leader="none"/>
        </w:tabs>
        <w:spacing w:line="240" w:lineRule="auto" w:before="0" w:after="0"/>
        <w:ind w:left="193" w:right="615" w:firstLine="0"/>
        <w:jc w:val="both"/>
        <w:rPr>
          <w:sz w:val="28"/>
        </w:rPr>
      </w:pPr>
      <w:r>
        <w:rPr>
          <w:sz w:val="28"/>
        </w:rPr>
        <w:t>вовнової</w:t>
      </w:r>
      <w:r>
        <w:rPr>
          <w:spacing w:val="-25"/>
          <w:sz w:val="28"/>
        </w:rPr>
        <w:t> </w:t>
      </w:r>
      <w:r>
        <w:rPr>
          <w:sz w:val="28"/>
        </w:rPr>
        <w:t>породи.</w:t>
      </w:r>
      <w:r>
        <w:rPr>
          <w:spacing w:val="-18"/>
          <w:sz w:val="28"/>
        </w:rPr>
        <w:t> </w:t>
      </w:r>
      <w:r>
        <w:rPr>
          <w:sz w:val="28"/>
        </w:rPr>
        <w:t>/Матеріали</w:t>
      </w:r>
      <w:r>
        <w:rPr>
          <w:spacing w:val="-16"/>
          <w:sz w:val="28"/>
        </w:rPr>
        <w:t> </w:t>
      </w:r>
      <w:r>
        <w:rPr>
          <w:sz w:val="28"/>
        </w:rPr>
        <w:t>VII</w:t>
      </w:r>
      <w:r>
        <w:rPr>
          <w:spacing w:val="-21"/>
          <w:sz w:val="28"/>
        </w:rPr>
        <w:t> </w:t>
      </w:r>
      <w:r>
        <w:rPr>
          <w:sz w:val="28"/>
        </w:rPr>
        <w:t>міжнародної</w:t>
      </w:r>
      <w:r>
        <w:rPr>
          <w:spacing w:val="-24"/>
          <w:sz w:val="28"/>
        </w:rPr>
        <w:t> </w:t>
      </w:r>
      <w:r>
        <w:rPr>
          <w:sz w:val="28"/>
        </w:rPr>
        <w:t>науково-практичної</w:t>
      </w:r>
      <w:r>
        <w:rPr>
          <w:spacing w:val="-24"/>
          <w:sz w:val="28"/>
        </w:rPr>
        <w:t> </w:t>
      </w:r>
      <w:r>
        <w:rPr>
          <w:sz w:val="28"/>
        </w:rPr>
        <w:t>конференції. Зоотехнічна наука: історія, проблеми, перспективи.-Камянець-Подільський, 2017. – 68-71</w:t>
      </w:r>
      <w:r>
        <w:rPr>
          <w:spacing w:val="6"/>
          <w:sz w:val="28"/>
        </w:rPr>
        <w:t> </w:t>
      </w:r>
      <w:r>
        <w:rPr>
          <w:sz w:val="28"/>
        </w:rPr>
        <w:t>С.</w:t>
      </w:r>
    </w:p>
    <w:p>
      <w:pPr>
        <w:pStyle w:val="ListParagraph"/>
        <w:numPr>
          <w:ilvl w:val="0"/>
          <w:numId w:val="18"/>
        </w:numPr>
        <w:tabs>
          <w:tab w:pos="1188" w:val="left" w:leader="none"/>
        </w:tabs>
        <w:spacing w:line="240" w:lineRule="auto" w:before="0" w:after="0"/>
        <w:ind w:left="193" w:right="616" w:firstLine="710"/>
        <w:jc w:val="both"/>
        <w:rPr>
          <w:sz w:val="28"/>
        </w:rPr>
      </w:pPr>
      <w:r>
        <w:rPr>
          <w:sz w:val="28"/>
        </w:rPr>
        <w:t>Stanford M. S. Characterizing aggressive behavior / Stanford M. S., Houston R. J., Mathias C. W. et al. // Assessment. – 2003. – V.10, № 2. – P.</w:t>
      </w:r>
      <w:r>
        <w:rPr>
          <w:spacing w:val="11"/>
          <w:sz w:val="28"/>
        </w:rPr>
        <w:t> </w:t>
      </w:r>
      <w:r>
        <w:rPr>
          <w:sz w:val="28"/>
        </w:rPr>
        <w:t>183–190.</w:t>
      </w:r>
    </w:p>
    <w:p>
      <w:pPr>
        <w:pStyle w:val="ListParagraph"/>
        <w:numPr>
          <w:ilvl w:val="0"/>
          <w:numId w:val="18"/>
        </w:numPr>
        <w:tabs>
          <w:tab w:pos="1193" w:val="left" w:leader="none"/>
        </w:tabs>
        <w:spacing w:line="321" w:lineRule="exact" w:before="0" w:after="0"/>
        <w:ind w:left="1192" w:right="0" w:hanging="290"/>
        <w:jc w:val="both"/>
        <w:rPr>
          <w:sz w:val="28"/>
        </w:rPr>
      </w:pPr>
      <w:r>
        <w:rPr>
          <w:sz w:val="28"/>
        </w:rPr>
        <w:t>Tecott </w:t>
      </w:r>
      <w:r>
        <w:rPr>
          <w:spacing w:val="-4"/>
          <w:sz w:val="28"/>
        </w:rPr>
        <w:t>L. </w:t>
      </w:r>
      <w:r>
        <w:rPr>
          <w:spacing w:val="-3"/>
          <w:sz w:val="28"/>
        </w:rPr>
        <w:t>H. </w:t>
      </w:r>
      <w:r>
        <w:rPr>
          <w:sz w:val="28"/>
        </w:rPr>
        <w:t>Genes and aggressiveness / </w:t>
      </w:r>
      <w:r>
        <w:rPr>
          <w:spacing w:val="-4"/>
          <w:sz w:val="28"/>
        </w:rPr>
        <w:t>L. </w:t>
      </w:r>
      <w:r>
        <w:rPr>
          <w:spacing w:val="-3"/>
          <w:sz w:val="28"/>
        </w:rPr>
        <w:t>H. </w:t>
      </w:r>
      <w:r>
        <w:rPr>
          <w:sz w:val="28"/>
        </w:rPr>
        <w:t>Tecott, S. </w:t>
      </w:r>
      <w:r>
        <w:rPr>
          <w:spacing w:val="-3"/>
          <w:sz w:val="28"/>
        </w:rPr>
        <w:t>H. </w:t>
      </w:r>
      <w:r>
        <w:rPr>
          <w:sz w:val="28"/>
        </w:rPr>
        <w:t>Barondes–</w:t>
      </w:r>
      <w:r>
        <w:rPr>
          <w:spacing w:val="3"/>
          <w:sz w:val="28"/>
        </w:rPr>
        <w:t> </w:t>
      </w:r>
      <w:r>
        <w:rPr>
          <w:sz w:val="28"/>
        </w:rPr>
        <w:t>1996.</w:t>
      </w:r>
    </w:p>
    <w:p>
      <w:pPr>
        <w:pStyle w:val="BodyText"/>
      </w:pPr>
      <w:r>
        <w:rPr/>
        <w:t>– V. 6, № 3. – P. 238-240.</w:t>
      </w:r>
    </w:p>
    <w:p>
      <w:pPr>
        <w:pStyle w:val="BodyText"/>
        <w:spacing w:before="8"/>
        <w:ind w:left="0"/>
        <w:jc w:val="left"/>
        <w:rPr>
          <w:sz w:val="27"/>
        </w:rPr>
      </w:pPr>
    </w:p>
    <w:p>
      <w:pPr>
        <w:pStyle w:val="Heading1"/>
        <w:ind w:left="836" w:right="1111" w:firstLine="581"/>
        <w:jc w:val="left"/>
      </w:pPr>
      <w:r>
        <w:rPr/>
        <w:t>ОЦЕНКА ОСНОВНЫХ СЕЛЕКЦИОННО-ГЕНЕТИЧЕСКИХ ПРИЗНАКОВ ПРОДУКТИВНОСТИ ОВЕЦ ОДЕССКОГО ТИПА</w:t>
      </w:r>
    </w:p>
    <w:p>
      <w:pPr>
        <w:spacing w:before="4"/>
        <w:ind w:left="3146" w:right="1608" w:hanging="1940"/>
        <w:jc w:val="left"/>
        <w:rPr>
          <w:b/>
          <w:sz w:val="28"/>
        </w:rPr>
      </w:pPr>
      <w:r>
        <w:rPr>
          <w:b/>
          <w:sz w:val="28"/>
        </w:rPr>
        <w:t>АСКАНИЙСКОЙ МЯСОШЕРСТНОЙ ПОРОДЫ РАЗНЫХ ЭТОЛОГИЧЕСКИХ ТИПОВ</w:t>
      </w:r>
    </w:p>
    <w:p>
      <w:pPr>
        <w:pStyle w:val="BodyText"/>
        <w:spacing w:line="317" w:lineRule="exact"/>
        <w:ind w:left="2171"/>
      </w:pPr>
      <w:r>
        <w:rPr/>
        <w:t>Чигирёв В., Бесягина С., Мажиловская К, Тихонов Д.</w:t>
      </w:r>
    </w:p>
    <w:p>
      <w:pPr>
        <w:spacing w:before="0"/>
        <w:ind w:left="193" w:right="615" w:firstLine="710"/>
        <w:jc w:val="both"/>
        <w:rPr>
          <w:i/>
          <w:sz w:val="28"/>
        </w:rPr>
      </w:pPr>
      <w:r>
        <w:rPr>
          <w:i/>
          <w:sz w:val="28"/>
        </w:rPr>
        <w:t>Исследовали забойные качества ягнят, их морфологический состав туш, </w:t>
      </w:r>
      <w:r>
        <w:rPr>
          <w:i/>
          <w:sz w:val="28"/>
        </w:rPr>
        <w:t>мясные качества овец, шерстную продуктивность ярок, продуктивность овцематок. Установлено, что за мясной, шерстной и молочной продуктивностью овцы наиболее активные и умеренного поведения превосходили более осторожных и пугливых животных.</w:t>
      </w:r>
    </w:p>
    <w:p>
      <w:pPr>
        <w:spacing w:before="0"/>
        <w:ind w:left="193" w:right="620" w:firstLine="710"/>
        <w:jc w:val="both"/>
        <w:rPr>
          <w:i/>
          <w:sz w:val="28"/>
        </w:rPr>
      </w:pPr>
      <w:r>
        <w:rPr>
          <w:b/>
          <w:i/>
          <w:sz w:val="28"/>
        </w:rPr>
        <w:t>Ключевые слова: </w:t>
      </w:r>
      <w:r>
        <w:rPr>
          <w:i/>
          <w:sz w:val="28"/>
        </w:rPr>
        <w:t>овцы, поведение, мясная продуктивность, шерстной </w:t>
      </w:r>
      <w:r>
        <w:rPr>
          <w:i/>
          <w:sz w:val="28"/>
        </w:rPr>
        <w:t>продуктивность, молочная продуктивность.</w:t>
      </w:r>
    </w:p>
    <w:p>
      <w:pPr>
        <w:spacing w:after="0"/>
        <w:jc w:val="both"/>
        <w:rPr>
          <w:sz w:val="28"/>
        </w:rPr>
        <w:sectPr>
          <w:pgSz w:w="11910" w:h="16840"/>
          <w:pgMar w:header="713" w:footer="778" w:top="1140" w:bottom="960" w:left="940" w:right="520"/>
        </w:sectPr>
      </w:pPr>
    </w:p>
    <w:p>
      <w:pPr>
        <w:pStyle w:val="Heading1"/>
        <w:spacing w:before="96"/>
        <w:ind w:left="481" w:right="894" w:firstLine="749"/>
        <w:jc w:val="left"/>
      </w:pPr>
      <w:r>
        <w:rPr/>
        <w:t>ASSESSMENT OF THE MAIN SELECTION-GENETIC SIGNS OF THE PRODUCTIVITY OF THE SHEEP OF THE ODESA TYPE OF THE</w:t>
      </w:r>
    </w:p>
    <w:p>
      <w:pPr>
        <w:spacing w:before="0"/>
        <w:ind w:left="4562" w:right="0" w:hanging="4260"/>
        <w:jc w:val="left"/>
        <w:rPr>
          <w:b/>
          <w:sz w:val="28"/>
        </w:rPr>
      </w:pPr>
      <w:r>
        <w:rPr>
          <w:b/>
          <w:sz w:val="28"/>
        </w:rPr>
        <w:t>ASCANIAN MEAT AND WOOL BREED OF DIFFERENT ETHOLOGICAL TYPES</w:t>
      </w:r>
    </w:p>
    <w:p>
      <w:pPr>
        <w:pStyle w:val="BodyText"/>
        <w:spacing w:line="317" w:lineRule="exact"/>
        <w:ind w:left="1945"/>
      </w:pPr>
      <w:r>
        <w:rPr/>
        <w:t>Chigiryov V., Besyagina S., Mazhilovskaya K., Tikhonov D.</w:t>
      </w:r>
    </w:p>
    <w:p>
      <w:pPr>
        <w:pStyle w:val="BodyText"/>
        <w:spacing w:before="4"/>
        <w:ind w:right="609" w:firstLine="710"/>
      </w:pPr>
      <w:r>
        <w:rPr/>
        <w:t>They studied the slaughtering qualities of cornflowers, their morphological composition of carcasses, meat qualities of sheep, bright wool productivity, dairy productivity of ewes. Sheep, wool and dairy productivity were found to be the most active and moderate behavior of the sheep outweighed the more cautious and timid animals.</w:t>
      </w:r>
    </w:p>
    <w:p>
      <w:pPr>
        <w:pStyle w:val="BodyText"/>
        <w:ind w:right="617" w:firstLine="710"/>
      </w:pPr>
      <w:r>
        <w:rPr>
          <w:b/>
        </w:rPr>
        <w:t>Key words: </w:t>
      </w:r>
      <w:r>
        <w:rPr/>
        <w:t>sheep, behavior, meat productivity, wool productivity, dairy productivity.</w:t>
      </w:r>
    </w:p>
    <w:p>
      <w:pPr>
        <w:spacing w:after="0"/>
        <w:sectPr>
          <w:pgSz w:w="11910" w:h="16840"/>
          <w:pgMar w:header="713" w:footer="778" w:top="1140" w:bottom="960" w:left="940" w:right="520"/>
        </w:sectPr>
      </w:pPr>
    </w:p>
    <w:p>
      <w:pPr>
        <w:pStyle w:val="Heading1"/>
        <w:tabs>
          <w:tab w:pos="5859" w:val="left" w:leader="none"/>
        </w:tabs>
        <w:spacing w:before="96"/>
        <w:ind w:right="0"/>
        <w:jc w:val="left"/>
      </w:pPr>
      <w:r>
        <w:rPr/>
        <w:t>УДК</w:t>
      </w:r>
      <w:r>
        <w:rPr>
          <w:spacing w:val="-1"/>
        </w:rPr>
        <w:t> </w:t>
      </w:r>
      <w:r>
        <w:rPr/>
        <w:t>636.4.082</w:t>
        <w:tab/>
        <w:t>DOI:</w:t>
      </w:r>
      <w:r>
        <w:rPr>
          <w:spacing w:val="-1"/>
        </w:rPr>
        <w:t> </w:t>
      </w:r>
      <w:r>
        <w:rPr/>
        <w:t>10.37000/abbsl.2020.96.12</w:t>
      </w:r>
    </w:p>
    <w:p>
      <w:pPr>
        <w:pStyle w:val="BodyText"/>
        <w:spacing w:before="11"/>
        <w:ind w:left="0"/>
        <w:jc w:val="left"/>
        <w:rPr>
          <w:b/>
          <w:sz w:val="27"/>
        </w:rPr>
      </w:pPr>
    </w:p>
    <w:p>
      <w:pPr>
        <w:spacing w:before="0"/>
        <w:ind w:left="2949" w:right="608" w:hanging="2181"/>
        <w:jc w:val="left"/>
        <w:rPr>
          <w:b/>
          <w:sz w:val="28"/>
        </w:rPr>
      </w:pPr>
      <w:r>
        <w:rPr>
          <w:b/>
          <w:sz w:val="28"/>
        </w:rPr>
        <w:t>ГОСПОДАРСЬКО-КОРИСНІ ОЗНАКИ СВИНЕЙ ПОРОДИ П’ЄТРЕН В УМОВАХ ПІВДНЯ УКРАЇНИ</w:t>
      </w:r>
    </w:p>
    <w:p>
      <w:pPr>
        <w:spacing w:line="322" w:lineRule="exact" w:before="0"/>
        <w:ind w:left="746" w:right="603" w:firstLine="0"/>
        <w:jc w:val="center"/>
        <w:rPr>
          <w:b/>
          <w:sz w:val="28"/>
        </w:rPr>
      </w:pPr>
      <w:r>
        <w:rPr>
          <w:b/>
          <w:sz w:val="28"/>
        </w:rPr>
        <w:t>Р. Сусол, О. Тацій</w:t>
      </w:r>
    </w:p>
    <w:p>
      <w:pPr>
        <w:spacing w:before="0"/>
        <w:ind w:left="742" w:right="603" w:firstLine="0"/>
        <w:jc w:val="center"/>
        <w:rPr>
          <w:i/>
          <w:sz w:val="28"/>
        </w:rPr>
      </w:pPr>
      <w:r>
        <w:rPr>
          <w:i/>
          <w:sz w:val="28"/>
        </w:rPr>
        <w:t>Одеський державний аграрний університет</w:t>
      </w:r>
    </w:p>
    <w:p>
      <w:pPr>
        <w:pStyle w:val="BodyText"/>
        <w:spacing w:before="11"/>
        <w:ind w:left="0"/>
        <w:jc w:val="left"/>
        <w:rPr>
          <w:i/>
          <w:sz w:val="27"/>
        </w:rPr>
      </w:pPr>
    </w:p>
    <w:p>
      <w:pPr>
        <w:spacing w:line="240" w:lineRule="auto" w:before="0"/>
        <w:ind w:left="193" w:right="608" w:firstLine="710"/>
        <w:jc w:val="both"/>
        <w:rPr>
          <w:i/>
          <w:sz w:val="28"/>
        </w:rPr>
      </w:pPr>
      <w:r>
        <w:rPr>
          <w:i/>
          <w:sz w:val="28"/>
        </w:rPr>
        <w:t>Досліджено господарсько-корисні ознаки свиней породи п’єтрен в умовах </w:t>
      </w:r>
      <w:r>
        <w:rPr>
          <w:i/>
          <w:sz w:val="28"/>
        </w:rPr>
        <w:t>півдня України на сучасному етапі розвитку даного генотипу. Так, свині породи п’єтрен французького походження відзначаються специфічними продуктивними характеристиками: помірними репродуктивними ознаками (середня багатоплідність свиноматок основного стада 9,5 голів, а тварин провідної групи – 10,4 голів, тобто селекційний ефект – 0,9 голів) та високими відгодівельними ознаками (молодняк даної породи має середній вік досягнення живої</w:t>
      </w:r>
      <w:r>
        <w:rPr>
          <w:i/>
          <w:spacing w:val="-8"/>
          <w:sz w:val="28"/>
        </w:rPr>
        <w:t> </w:t>
      </w:r>
      <w:r>
        <w:rPr>
          <w:i/>
          <w:sz w:val="28"/>
        </w:rPr>
        <w:t>маси</w:t>
      </w:r>
      <w:r>
        <w:rPr>
          <w:i/>
          <w:spacing w:val="-3"/>
          <w:sz w:val="28"/>
        </w:rPr>
        <w:t> </w:t>
      </w:r>
      <w:r>
        <w:rPr>
          <w:i/>
          <w:sz w:val="28"/>
        </w:rPr>
        <w:t>100</w:t>
      </w:r>
      <w:r>
        <w:rPr>
          <w:i/>
          <w:spacing w:val="-5"/>
          <w:sz w:val="28"/>
        </w:rPr>
        <w:t> </w:t>
      </w:r>
      <w:r>
        <w:rPr>
          <w:i/>
          <w:sz w:val="28"/>
        </w:rPr>
        <w:t>кг</w:t>
      </w:r>
      <w:r>
        <w:rPr>
          <w:i/>
          <w:spacing w:val="-5"/>
          <w:sz w:val="28"/>
        </w:rPr>
        <w:t> </w:t>
      </w:r>
      <w:r>
        <w:rPr>
          <w:i/>
          <w:sz w:val="28"/>
        </w:rPr>
        <w:t>156</w:t>
      </w:r>
      <w:r>
        <w:rPr>
          <w:i/>
          <w:spacing w:val="-3"/>
          <w:sz w:val="28"/>
        </w:rPr>
        <w:t> </w:t>
      </w:r>
      <w:r>
        <w:rPr>
          <w:i/>
          <w:sz w:val="28"/>
        </w:rPr>
        <w:t>днів</w:t>
      </w:r>
      <w:r>
        <w:rPr>
          <w:i/>
          <w:spacing w:val="-7"/>
          <w:sz w:val="28"/>
        </w:rPr>
        <w:t> </w:t>
      </w:r>
      <w:r>
        <w:rPr>
          <w:i/>
          <w:sz w:val="28"/>
        </w:rPr>
        <w:t>при</w:t>
      </w:r>
      <w:r>
        <w:rPr>
          <w:i/>
          <w:spacing w:val="-3"/>
          <w:sz w:val="28"/>
        </w:rPr>
        <w:t> </w:t>
      </w:r>
      <w:r>
        <w:rPr>
          <w:i/>
          <w:sz w:val="28"/>
        </w:rPr>
        <w:t>витратах</w:t>
      </w:r>
      <w:r>
        <w:rPr>
          <w:i/>
          <w:spacing w:val="-6"/>
          <w:sz w:val="28"/>
        </w:rPr>
        <w:t> </w:t>
      </w:r>
      <w:r>
        <w:rPr>
          <w:i/>
          <w:sz w:val="28"/>
        </w:rPr>
        <w:t>корму</w:t>
      </w:r>
      <w:r>
        <w:rPr>
          <w:i/>
          <w:spacing w:val="-6"/>
          <w:sz w:val="28"/>
        </w:rPr>
        <w:t> </w:t>
      </w:r>
      <w:r>
        <w:rPr>
          <w:i/>
          <w:sz w:val="28"/>
        </w:rPr>
        <w:t>3,1</w:t>
      </w:r>
      <w:r>
        <w:rPr>
          <w:i/>
          <w:spacing w:val="-6"/>
          <w:sz w:val="28"/>
        </w:rPr>
        <w:t> </w:t>
      </w:r>
      <w:r>
        <w:rPr>
          <w:i/>
          <w:sz w:val="28"/>
        </w:rPr>
        <w:t>корм.</w:t>
      </w:r>
      <w:r>
        <w:rPr>
          <w:i/>
          <w:spacing w:val="-5"/>
          <w:sz w:val="28"/>
        </w:rPr>
        <w:t> </w:t>
      </w:r>
      <w:r>
        <w:rPr>
          <w:i/>
          <w:sz w:val="28"/>
        </w:rPr>
        <w:t>од.</w:t>
      </w:r>
      <w:r>
        <w:rPr>
          <w:i/>
          <w:spacing w:val="-4"/>
          <w:sz w:val="28"/>
        </w:rPr>
        <w:t> </w:t>
      </w:r>
      <w:r>
        <w:rPr>
          <w:i/>
          <w:sz w:val="28"/>
        </w:rPr>
        <w:t>на</w:t>
      </w:r>
      <w:r>
        <w:rPr>
          <w:i/>
          <w:spacing w:val="-6"/>
          <w:sz w:val="28"/>
        </w:rPr>
        <w:t> </w:t>
      </w:r>
      <w:r>
        <w:rPr>
          <w:i/>
          <w:sz w:val="28"/>
        </w:rPr>
        <w:t>1</w:t>
      </w:r>
      <w:r>
        <w:rPr>
          <w:i/>
          <w:spacing w:val="-5"/>
          <w:sz w:val="28"/>
        </w:rPr>
        <w:t> </w:t>
      </w:r>
      <w:r>
        <w:rPr>
          <w:i/>
          <w:sz w:val="28"/>
        </w:rPr>
        <w:t>кг</w:t>
      </w:r>
      <w:r>
        <w:rPr>
          <w:i/>
          <w:spacing w:val="-5"/>
          <w:sz w:val="28"/>
        </w:rPr>
        <w:t> </w:t>
      </w:r>
      <w:r>
        <w:rPr>
          <w:i/>
          <w:sz w:val="28"/>
        </w:rPr>
        <w:t>приросту)</w:t>
      </w:r>
      <w:r>
        <w:rPr>
          <w:i/>
          <w:spacing w:val="-8"/>
          <w:sz w:val="28"/>
        </w:rPr>
        <w:t> </w:t>
      </w:r>
      <w:r>
        <w:rPr>
          <w:i/>
          <w:sz w:val="28"/>
        </w:rPr>
        <w:t>і відмінними</w:t>
      </w:r>
      <w:r>
        <w:rPr>
          <w:i/>
          <w:spacing w:val="-9"/>
          <w:sz w:val="28"/>
        </w:rPr>
        <w:t> </w:t>
      </w:r>
      <w:r>
        <w:rPr>
          <w:i/>
          <w:sz w:val="28"/>
        </w:rPr>
        <w:t>м’ясними</w:t>
      </w:r>
      <w:r>
        <w:rPr>
          <w:i/>
          <w:spacing w:val="-8"/>
          <w:sz w:val="28"/>
        </w:rPr>
        <w:t> </w:t>
      </w:r>
      <w:r>
        <w:rPr>
          <w:i/>
          <w:sz w:val="28"/>
        </w:rPr>
        <w:t>якостями</w:t>
      </w:r>
      <w:r>
        <w:rPr>
          <w:i/>
          <w:spacing w:val="-4"/>
          <w:sz w:val="28"/>
        </w:rPr>
        <w:t> </w:t>
      </w:r>
      <w:r>
        <w:rPr>
          <w:i/>
          <w:sz w:val="28"/>
        </w:rPr>
        <w:t>(довжині</w:t>
      </w:r>
      <w:r>
        <w:rPr>
          <w:i/>
          <w:spacing w:val="-9"/>
          <w:sz w:val="28"/>
        </w:rPr>
        <w:t> </w:t>
      </w:r>
      <w:r>
        <w:rPr>
          <w:i/>
          <w:sz w:val="28"/>
        </w:rPr>
        <w:t>туші</w:t>
      </w:r>
      <w:r>
        <w:rPr>
          <w:i/>
          <w:spacing w:val="-10"/>
          <w:sz w:val="28"/>
        </w:rPr>
        <w:t> </w:t>
      </w:r>
      <w:r>
        <w:rPr>
          <w:i/>
          <w:sz w:val="28"/>
        </w:rPr>
        <w:t>94</w:t>
      </w:r>
      <w:r>
        <w:rPr>
          <w:i/>
          <w:spacing w:val="-8"/>
          <w:sz w:val="28"/>
        </w:rPr>
        <w:t> </w:t>
      </w:r>
      <w:r>
        <w:rPr>
          <w:i/>
          <w:sz w:val="28"/>
        </w:rPr>
        <w:t>см,</w:t>
      </w:r>
      <w:r>
        <w:rPr>
          <w:i/>
          <w:spacing w:val="-11"/>
          <w:sz w:val="28"/>
        </w:rPr>
        <w:t> </w:t>
      </w:r>
      <w:r>
        <w:rPr>
          <w:i/>
          <w:sz w:val="28"/>
        </w:rPr>
        <w:t>товщина</w:t>
      </w:r>
      <w:r>
        <w:rPr>
          <w:i/>
          <w:spacing w:val="-9"/>
          <w:sz w:val="28"/>
        </w:rPr>
        <w:t> </w:t>
      </w:r>
      <w:r>
        <w:rPr>
          <w:i/>
          <w:sz w:val="28"/>
        </w:rPr>
        <w:t>шпику</w:t>
      </w:r>
      <w:r>
        <w:rPr>
          <w:i/>
          <w:spacing w:val="-8"/>
          <w:sz w:val="28"/>
        </w:rPr>
        <w:t> </w:t>
      </w:r>
      <w:r>
        <w:rPr>
          <w:i/>
          <w:sz w:val="28"/>
        </w:rPr>
        <w:t>на</w:t>
      </w:r>
      <w:r>
        <w:rPr>
          <w:i/>
          <w:spacing w:val="-9"/>
          <w:sz w:val="28"/>
        </w:rPr>
        <w:t> </w:t>
      </w:r>
      <w:r>
        <w:rPr>
          <w:i/>
          <w:sz w:val="28"/>
        </w:rPr>
        <w:t>рівні</w:t>
      </w:r>
      <w:r>
        <w:rPr>
          <w:i/>
          <w:spacing w:val="-9"/>
          <w:sz w:val="28"/>
        </w:rPr>
        <w:t> </w:t>
      </w:r>
      <w:r>
        <w:rPr>
          <w:i/>
          <w:spacing w:val="4"/>
          <w:sz w:val="28"/>
        </w:rPr>
        <w:t>6- </w:t>
      </w:r>
      <w:r>
        <w:rPr>
          <w:i/>
          <w:sz w:val="28"/>
        </w:rPr>
        <w:t>7 грудних хребців 8 мм; вміст м’яса </w:t>
      </w:r>
      <w:r>
        <w:rPr>
          <w:i/>
          <w:spacing w:val="2"/>
          <w:sz w:val="28"/>
        </w:rPr>
        <w:t>76,8% </w:t>
      </w:r>
      <w:r>
        <w:rPr>
          <w:i/>
          <w:sz w:val="28"/>
        </w:rPr>
        <w:t>та </w:t>
      </w:r>
      <w:r>
        <w:rPr>
          <w:i/>
          <w:spacing w:val="2"/>
          <w:sz w:val="28"/>
        </w:rPr>
        <w:t>75,5% </w:t>
      </w:r>
      <w:r>
        <w:rPr>
          <w:i/>
          <w:sz w:val="28"/>
        </w:rPr>
        <w:t>відповідно за живої маси молодняку</w:t>
      </w:r>
      <w:r>
        <w:rPr>
          <w:i/>
          <w:spacing w:val="-9"/>
          <w:sz w:val="28"/>
        </w:rPr>
        <w:t> </w:t>
      </w:r>
      <w:r>
        <w:rPr>
          <w:i/>
          <w:sz w:val="28"/>
        </w:rPr>
        <w:t>100</w:t>
      </w:r>
      <w:r>
        <w:rPr>
          <w:i/>
          <w:spacing w:val="-9"/>
          <w:sz w:val="28"/>
        </w:rPr>
        <w:t> </w:t>
      </w:r>
      <w:r>
        <w:rPr>
          <w:i/>
          <w:sz w:val="28"/>
        </w:rPr>
        <w:t>кг</w:t>
      </w:r>
      <w:r>
        <w:rPr>
          <w:i/>
          <w:spacing w:val="-8"/>
          <w:sz w:val="28"/>
        </w:rPr>
        <w:t> </w:t>
      </w:r>
      <w:r>
        <w:rPr>
          <w:i/>
          <w:sz w:val="28"/>
        </w:rPr>
        <w:t>та</w:t>
      </w:r>
      <w:r>
        <w:rPr>
          <w:i/>
          <w:spacing w:val="-14"/>
          <w:sz w:val="28"/>
        </w:rPr>
        <w:t> </w:t>
      </w:r>
      <w:r>
        <w:rPr>
          <w:i/>
          <w:sz w:val="28"/>
        </w:rPr>
        <w:t>120</w:t>
      </w:r>
      <w:r>
        <w:rPr>
          <w:i/>
          <w:spacing w:val="-9"/>
          <w:sz w:val="28"/>
        </w:rPr>
        <w:t> </w:t>
      </w:r>
      <w:r>
        <w:rPr>
          <w:i/>
          <w:sz w:val="28"/>
        </w:rPr>
        <w:t>кг).</w:t>
      </w:r>
      <w:r>
        <w:rPr>
          <w:i/>
          <w:spacing w:val="-12"/>
          <w:sz w:val="28"/>
        </w:rPr>
        <w:t> </w:t>
      </w:r>
      <w:r>
        <w:rPr>
          <w:i/>
          <w:sz w:val="28"/>
        </w:rPr>
        <w:t>Результати</w:t>
      </w:r>
      <w:r>
        <w:rPr>
          <w:i/>
          <w:spacing w:val="-9"/>
          <w:sz w:val="28"/>
        </w:rPr>
        <w:t> </w:t>
      </w:r>
      <w:r>
        <w:rPr>
          <w:i/>
          <w:sz w:val="28"/>
        </w:rPr>
        <w:t>досліджень</w:t>
      </w:r>
      <w:r>
        <w:rPr>
          <w:i/>
          <w:spacing w:val="-11"/>
          <w:sz w:val="28"/>
        </w:rPr>
        <w:t> </w:t>
      </w:r>
      <w:r>
        <w:rPr>
          <w:i/>
          <w:sz w:val="28"/>
        </w:rPr>
        <w:t>доводять,</w:t>
      </w:r>
      <w:r>
        <w:rPr>
          <w:i/>
          <w:spacing w:val="-8"/>
          <w:sz w:val="28"/>
        </w:rPr>
        <w:t> </w:t>
      </w:r>
      <w:r>
        <w:rPr>
          <w:i/>
          <w:sz w:val="28"/>
        </w:rPr>
        <w:t>що</w:t>
      </w:r>
      <w:r>
        <w:rPr>
          <w:i/>
          <w:spacing w:val="-9"/>
          <w:sz w:val="28"/>
        </w:rPr>
        <w:t> </w:t>
      </w:r>
      <w:r>
        <w:rPr>
          <w:i/>
          <w:sz w:val="28"/>
        </w:rPr>
        <w:t>свині</w:t>
      </w:r>
      <w:r>
        <w:rPr>
          <w:i/>
          <w:spacing w:val="-10"/>
          <w:sz w:val="28"/>
        </w:rPr>
        <w:t> </w:t>
      </w:r>
      <w:r>
        <w:rPr>
          <w:i/>
          <w:sz w:val="28"/>
        </w:rPr>
        <w:t>породи п’єтрен перевищують існуючі вимоги класу еліта діючої інструкції з бонітування свиней (2003 р.), що висуваються до ІІ групи порід за середніми показниками живої маси, проте за показником довжини тулубу встановлена відповідність вимогам переважно ІІ класу бонітувальної шкали, що можна цілком пояснити специфічністю екстер’єру даної породи порівняно з іншими м’ясними породами (ландрас, дюрок та</w:t>
      </w:r>
      <w:r>
        <w:rPr>
          <w:i/>
          <w:spacing w:val="10"/>
          <w:sz w:val="28"/>
        </w:rPr>
        <w:t> </w:t>
      </w:r>
      <w:r>
        <w:rPr>
          <w:i/>
          <w:sz w:val="28"/>
        </w:rPr>
        <w:t>іншими).</w:t>
      </w:r>
    </w:p>
    <w:p>
      <w:pPr>
        <w:spacing w:before="0"/>
        <w:ind w:left="193" w:right="620" w:firstLine="710"/>
        <w:jc w:val="both"/>
        <w:rPr>
          <w:i/>
          <w:sz w:val="28"/>
        </w:rPr>
      </w:pPr>
      <w:r>
        <w:rPr>
          <w:b/>
          <w:i/>
          <w:sz w:val="28"/>
        </w:rPr>
        <w:t>Ключові</w:t>
      </w:r>
      <w:r>
        <w:rPr>
          <w:b/>
          <w:i/>
          <w:spacing w:val="-20"/>
          <w:sz w:val="28"/>
        </w:rPr>
        <w:t> </w:t>
      </w:r>
      <w:r>
        <w:rPr>
          <w:b/>
          <w:i/>
          <w:sz w:val="28"/>
        </w:rPr>
        <w:t>слова:</w:t>
      </w:r>
      <w:r>
        <w:rPr>
          <w:b/>
          <w:i/>
          <w:spacing w:val="-19"/>
          <w:sz w:val="28"/>
        </w:rPr>
        <w:t> </w:t>
      </w:r>
      <w:r>
        <w:rPr>
          <w:i/>
          <w:sz w:val="28"/>
        </w:rPr>
        <w:t>продуктивність,</w:t>
      </w:r>
      <w:r>
        <w:rPr>
          <w:i/>
          <w:spacing w:val="-17"/>
          <w:sz w:val="28"/>
        </w:rPr>
        <w:t> </w:t>
      </w:r>
      <w:r>
        <w:rPr>
          <w:i/>
          <w:sz w:val="28"/>
        </w:rPr>
        <w:t>основне</w:t>
      </w:r>
      <w:r>
        <w:rPr>
          <w:i/>
          <w:spacing w:val="-19"/>
          <w:sz w:val="28"/>
        </w:rPr>
        <w:t> </w:t>
      </w:r>
      <w:r>
        <w:rPr>
          <w:i/>
          <w:sz w:val="28"/>
        </w:rPr>
        <w:t>стадо,</w:t>
      </w:r>
      <w:r>
        <w:rPr>
          <w:i/>
          <w:spacing w:val="-18"/>
          <w:sz w:val="28"/>
        </w:rPr>
        <w:t> </w:t>
      </w:r>
      <w:r>
        <w:rPr>
          <w:i/>
          <w:sz w:val="28"/>
        </w:rPr>
        <w:t>молодняк,</w:t>
      </w:r>
      <w:r>
        <w:rPr>
          <w:i/>
          <w:spacing w:val="-17"/>
          <w:sz w:val="28"/>
        </w:rPr>
        <w:t> </w:t>
      </w:r>
      <w:r>
        <w:rPr>
          <w:i/>
          <w:sz w:val="28"/>
        </w:rPr>
        <w:t>репродуктивні, </w:t>
      </w:r>
      <w:r>
        <w:rPr>
          <w:i/>
          <w:sz w:val="28"/>
        </w:rPr>
        <w:t>відгодівельні, м’ясні якості, екстер’єр, порода</w:t>
      </w:r>
      <w:r>
        <w:rPr>
          <w:i/>
          <w:spacing w:val="7"/>
          <w:sz w:val="28"/>
        </w:rPr>
        <w:t> </w:t>
      </w:r>
      <w:r>
        <w:rPr>
          <w:i/>
          <w:sz w:val="28"/>
        </w:rPr>
        <w:t>п’єтрен.</w:t>
      </w:r>
    </w:p>
    <w:p>
      <w:pPr>
        <w:pStyle w:val="BodyText"/>
        <w:spacing w:before="10"/>
        <w:ind w:left="0"/>
        <w:jc w:val="left"/>
        <w:rPr>
          <w:i/>
          <w:sz w:val="27"/>
        </w:rPr>
      </w:pPr>
    </w:p>
    <w:p>
      <w:pPr>
        <w:pStyle w:val="BodyText"/>
        <w:ind w:right="607" w:firstLine="710"/>
      </w:pPr>
      <w:r>
        <w:rPr>
          <w:b/>
        </w:rPr>
        <w:t>Постановка проблеми. </w:t>
      </w:r>
      <w:r>
        <w:rPr/>
        <w:t>За даними офіційних статистичних повідомлень світове виробництво свинини щорічно збільшується на 2-3% у забійній вазі, рушійною силою такого зростання поряд зі збільшенням чисельності свиней, покращення умов годівлі та утримання тварин є селекція [7]. Останнім часом в Україні спостерігається стала тенденція збільшення питомої ваги м’ясних порід свиней на фоні зменшення питомої частки великої білої породи. Так, зокрема спостерігається збільшення кількості стад та чисельності племінного поголів’я породи ландрас – тенденція останніх років, яка свідчить про підвищену зацікавленість у виробників до впровадження промислового схрещування і гібридизації (провідні вітчизняні племрепродуктори виробляють свинок гібридного походження </w:t>
      </w:r>
      <w:r>
        <w:rPr>
          <w:spacing w:val="-3"/>
        </w:rPr>
        <w:t>F</w:t>
      </w:r>
      <w:r>
        <w:rPr>
          <w:spacing w:val="-3"/>
          <w:vertAlign w:val="subscript"/>
        </w:rPr>
        <w:t>1</w:t>
      </w:r>
      <w:r>
        <w:rPr>
          <w:spacing w:val="-3"/>
          <w:vertAlign w:val="baseline"/>
        </w:rPr>
        <w:t> </w:t>
      </w:r>
      <w:r>
        <w:rPr>
          <w:vertAlign w:val="baseline"/>
        </w:rPr>
        <w:t>½ (ВБ + Л). Слід зазначити, що в Україні стабільно функціонує низка племінних підприємств з розведення свиней порід п’єтрен, дюрок</w:t>
      </w:r>
      <w:r>
        <w:rPr>
          <w:spacing w:val="-16"/>
          <w:vertAlign w:val="baseline"/>
        </w:rPr>
        <w:t> </w:t>
      </w:r>
      <w:r>
        <w:rPr>
          <w:vertAlign w:val="baseline"/>
        </w:rPr>
        <w:t>з</w:t>
      </w:r>
      <w:r>
        <w:rPr>
          <w:spacing w:val="-15"/>
          <w:vertAlign w:val="baseline"/>
        </w:rPr>
        <w:t> </w:t>
      </w:r>
      <w:r>
        <w:rPr>
          <w:vertAlign w:val="baseline"/>
        </w:rPr>
        <w:t>їх</w:t>
      </w:r>
      <w:r>
        <w:rPr>
          <w:spacing w:val="-19"/>
          <w:vertAlign w:val="baseline"/>
        </w:rPr>
        <w:t> </w:t>
      </w:r>
      <w:r>
        <w:rPr>
          <w:vertAlign w:val="baseline"/>
        </w:rPr>
        <w:t>подальшим</w:t>
      </w:r>
      <w:r>
        <w:rPr>
          <w:spacing w:val="-13"/>
          <w:vertAlign w:val="baseline"/>
        </w:rPr>
        <w:t> </w:t>
      </w:r>
      <w:r>
        <w:rPr>
          <w:vertAlign w:val="baseline"/>
        </w:rPr>
        <w:t>інтенсивним</w:t>
      </w:r>
      <w:r>
        <w:rPr>
          <w:spacing w:val="-14"/>
          <w:vertAlign w:val="baseline"/>
        </w:rPr>
        <w:t> </w:t>
      </w:r>
      <w:r>
        <w:rPr>
          <w:vertAlign w:val="baseline"/>
        </w:rPr>
        <w:t>використанням</w:t>
      </w:r>
      <w:r>
        <w:rPr>
          <w:spacing w:val="-14"/>
          <w:vertAlign w:val="baseline"/>
        </w:rPr>
        <w:t> </w:t>
      </w:r>
      <w:r>
        <w:rPr>
          <w:vertAlign w:val="baseline"/>
        </w:rPr>
        <w:t>в</w:t>
      </w:r>
      <w:r>
        <w:rPr>
          <w:spacing w:val="-16"/>
          <w:vertAlign w:val="baseline"/>
        </w:rPr>
        <w:t> </w:t>
      </w:r>
      <w:r>
        <w:rPr>
          <w:vertAlign w:val="baseline"/>
        </w:rPr>
        <w:t>системі</w:t>
      </w:r>
      <w:r>
        <w:rPr>
          <w:spacing w:val="-19"/>
          <w:vertAlign w:val="baseline"/>
        </w:rPr>
        <w:t> </w:t>
      </w:r>
      <w:r>
        <w:rPr>
          <w:vertAlign w:val="baseline"/>
        </w:rPr>
        <w:t>гібридизації</w:t>
      </w:r>
      <w:r>
        <w:rPr>
          <w:spacing w:val="-20"/>
          <w:vertAlign w:val="baseline"/>
        </w:rPr>
        <w:t> </w:t>
      </w:r>
      <w:r>
        <w:rPr>
          <w:vertAlign w:val="baseline"/>
        </w:rPr>
        <w:t>свиней у товарному виробництві свинини [2, 5,</w:t>
      </w:r>
      <w:r>
        <w:rPr>
          <w:spacing w:val="-5"/>
          <w:vertAlign w:val="baseline"/>
        </w:rPr>
        <w:t> </w:t>
      </w:r>
      <w:r>
        <w:rPr>
          <w:vertAlign w:val="baseline"/>
        </w:rPr>
        <w:t>6].</w:t>
      </w:r>
    </w:p>
    <w:p>
      <w:pPr>
        <w:pStyle w:val="BodyText"/>
        <w:spacing w:before="1"/>
        <w:ind w:right="613" w:firstLine="710"/>
      </w:pPr>
      <w:r>
        <w:rPr>
          <w:b/>
        </w:rPr>
        <w:t>Аналіз</w:t>
      </w:r>
      <w:r>
        <w:rPr>
          <w:b/>
          <w:spacing w:val="-21"/>
        </w:rPr>
        <w:t> </w:t>
      </w:r>
      <w:r>
        <w:rPr>
          <w:b/>
        </w:rPr>
        <w:t>останніх</w:t>
      </w:r>
      <w:r>
        <w:rPr>
          <w:b/>
          <w:spacing w:val="-27"/>
        </w:rPr>
        <w:t> </w:t>
      </w:r>
      <w:r>
        <w:rPr>
          <w:b/>
        </w:rPr>
        <w:t>досліджень</w:t>
      </w:r>
      <w:r>
        <w:rPr>
          <w:b/>
          <w:spacing w:val="-26"/>
        </w:rPr>
        <w:t> </w:t>
      </w:r>
      <w:r>
        <w:rPr>
          <w:b/>
        </w:rPr>
        <w:t>і</w:t>
      </w:r>
      <w:r>
        <w:rPr>
          <w:b/>
          <w:spacing w:val="-19"/>
        </w:rPr>
        <w:t> </w:t>
      </w:r>
      <w:r>
        <w:rPr>
          <w:b/>
        </w:rPr>
        <w:t>публікацій.</w:t>
      </w:r>
      <w:r>
        <w:rPr>
          <w:b/>
          <w:spacing w:val="-16"/>
        </w:rPr>
        <w:t> </w:t>
      </w:r>
      <w:r>
        <w:rPr/>
        <w:t>Розглядаючи</w:t>
      </w:r>
      <w:r>
        <w:rPr>
          <w:spacing w:val="-19"/>
        </w:rPr>
        <w:t> </w:t>
      </w:r>
      <w:r>
        <w:rPr/>
        <w:t>історичний</w:t>
      </w:r>
      <w:r>
        <w:rPr>
          <w:spacing w:val="-23"/>
        </w:rPr>
        <w:t> </w:t>
      </w:r>
      <w:r>
        <w:rPr/>
        <w:t>аспект розведення свиней породи п’єтрен в Україні слід зазначити, що ще у 1964 </w:t>
      </w:r>
      <w:r>
        <w:rPr>
          <w:spacing w:val="2"/>
        </w:rPr>
        <w:t>році </w:t>
      </w:r>
      <w:r>
        <w:rPr/>
        <w:t>були</w:t>
      </w:r>
      <w:r>
        <w:rPr>
          <w:spacing w:val="-9"/>
        </w:rPr>
        <w:t> </w:t>
      </w:r>
      <w:r>
        <w:rPr/>
        <w:t>перші</w:t>
      </w:r>
      <w:r>
        <w:rPr>
          <w:spacing w:val="-13"/>
        </w:rPr>
        <w:t> </w:t>
      </w:r>
      <w:r>
        <w:rPr/>
        <w:t>спроби</w:t>
      </w:r>
      <w:r>
        <w:rPr>
          <w:spacing w:val="-8"/>
        </w:rPr>
        <w:t> </w:t>
      </w:r>
      <w:r>
        <w:rPr/>
        <w:t>чистопородного</w:t>
      </w:r>
      <w:r>
        <w:rPr>
          <w:spacing w:val="-8"/>
        </w:rPr>
        <w:t> </w:t>
      </w:r>
      <w:r>
        <w:rPr/>
        <w:t>розведення</w:t>
      </w:r>
      <w:r>
        <w:rPr>
          <w:spacing w:val="-8"/>
        </w:rPr>
        <w:t> </w:t>
      </w:r>
      <w:r>
        <w:rPr/>
        <w:t>свиней</w:t>
      </w:r>
      <w:r>
        <w:rPr>
          <w:spacing w:val="-8"/>
        </w:rPr>
        <w:t> </w:t>
      </w:r>
      <w:r>
        <w:rPr/>
        <w:t>даної</w:t>
      </w:r>
      <w:r>
        <w:rPr>
          <w:spacing w:val="-14"/>
        </w:rPr>
        <w:t> </w:t>
      </w:r>
      <w:r>
        <w:rPr/>
        <w:t>породи,</w:t>
      </w:r>
      <w:r>
        <w:rPr>
          <w:spacing w:val="-6"/>
        </w:rPr>
        <w:t> </w:t>
      </w:r>
      <w:r>
        <w:rPr/>
        <w:t>проте</w:t>
      </w:r>
      <w:r>
        <w:rPr>
          <w:spacing w:val="-8"/>
        </w:rPr>
        <w:t> </w:t>
      </w:r>
      <w:r>
        <w:rPr/>
        <w:t>вони</w:t>
      </w:r>
    </w:p>
    <w:p>
      <w:pPr>
        <w:spacing w:after="0"/>
        <w:sectPr>
          <w:pgSz w:w="11910" w:h="16840"/>
          <w:pgMar w:header="713" w:footer="778" w:top="1140" w:bottom="960" w:left="940" w:right="520"/>
        </w:sectPr>
      </w:pPr>
    </w:p>
    <w:p>
      <w:pPr>
        <w:pStyle w:val="BodyText"/>
        <w:spacing w:before="92"/>
        <w:ind w:right="614"/>
      </w:pPr>
      <w:r>
        <w:rPr/>
        <w:t>були практично невдалими через низьку адаптаційну здатність свиней до задовільних</w:t>
      </w:r>
      <w:r>
        <w:rPr>
          <w:spacing w:val="-22"/>
        </w:rPr>
        <w:t> </w:t>
      </w:r>
      <w:r>
        <w:rPr/>
        <w:t>технологічних</w:t>
      </w:r>
      <w:r>
        <w:rPr>
          <w:spacing w:val="-17"/>
        </w:rPr>
        <w:t> </w:t>
      </w:r>
      <w:r>
        <w:rPr/>
        <w:t>умов</w:t>
      </w:r>
      <w:r>
        <w:rPr>
          <w:spacing w:val="-19"/>
        </w:rPr>
        <w:t> </w:t>
      </w:r>
      <w:r>
        <w:rPr/>
        <w:t>вітчизняних</w:t>
      </w:r>
      <w:r>
        <w:rPr>
          <w:spacing w:val="-22"/>
        </w:rPr>
        <w:t> </w:t>
      </w:r>
      <w:r>
        <w:rPr/>
        <w:t>господарств</w:t>
      </w:r>
      <w:r>
        <w:rPr>
          <w:spacing w:val="-19"/>
        </w:rPr>
        <w:t> </w:t>
      </w:r>
      <w:r>
        <w:rPr/>
        <w:t>того</w:t>
      </w:r>
      <w:r>
        <w:rPr>
          <w:spacing w:val="-17"/>
        </w:rPr>
        <w:t> </w:t>
      </w:r>
      <w:r>
        <w:rPr/>
        <w:t>часу.</w:t>
      </w:r>
      <w:r>
        <w:rPr>
          <w:spacing w:val="-15"/>
        </w:rPr>
        <w:t> </w:t>
      </w:r>
      <w:r>
        <w:rPr/>
        <w:t>В</w:t>
      </w:r>
      <w:r>
        <w:rPr>
          <w:spacing w:val="-20"/>
        </w:rPr>
        <w:t> </w:t>
      </w:r>
      <w:r>
        <w:rPr/>
        <w:t>той</w:t>
      </w:r>
      <w:r>
        <w:rPr>
          <w:spacing w:val="-17"/>
        </w:rPr>
        <w:t> </w:t>
      </w:r>
      <w:r>
        <w:rPr/>
        <w:t>же</w:t>
      </w:r>
      <w:r>
        <w:rPr>
          <w:spacing w:val="-16"/>
        </w:rPr>
        <w:t> </w:t>
      </w:r>
      <w:r>
        <w:rPr/>
        <w:t>час кнурів породи п’єтрен використовували у процесі породоутворення при створенні полтавської та української м’ясних порід, червоної білопоясої породи м’ясних</w:t>
      </w:r>
      <w:r>
        <w:rPr>
          <w:spacing w:val="-19"/>
        </w:rPr>
        <w:t> </w:t>
      </w:r>
      <w:r>
        <w:rPr/>
        <w:t>свиней,</w:t>
      </w:r>
      <w:r>
        <w:rPr>
          <w:spacing w:val="-11"/>
        </w:rPr>
        <w:t> </w:t>
      </w:r>
      <w:r>
        <w:rPr/>
        <w:t>у</w:t>
      </w:r>
      <w:r>
        <w:rPr>
          <w:spacing w:val="-19"/>
        </w:rPr>
        <w:t> </w:t>
      </w:r>
      <w:r>
        <w:rPr/>
        <w:t>селекційному</w:t>
      </w:r>
      <w:r>
        <w:rPr>
          <w:spacing w:val="-18"/>
        </w:rPr>
        <w:t> </w:t>
      </w:r>
      <w:r>
        <w:rPr/>
        <w:t>процесі</w:t>
      </w:r>
      <w:r>
        <w:rPr>
          <w:spacing w:val="-18"/>
        </w:rPr>
        <w:t> </w:t>
      </w:r>
      <w:r>
        <w:rPr/>
        <w:t>при</w:t>
      </w:r>
      <w:r>
        <w:rPr>
          <w:spacing w:val="-13"/>
        </w:rPr>
        <w:t> </w:t>
      </w:r>
      <w:r>
        <w:rPr/>
        <w:t>покращенні</w:t>
      </w:r>
      <w:r>
        <w:rPr>
          <w:spacing w:val="-19"/>
        </w:rPr>
        <w:t> </w:t>
      </w:r>
      <w:r>
        <w:rPr/>
        <w:t>м’ясних</w:t>
      </w:r>
      <w:r>
        <w:rPr>
          <w:spacing w:val="-18"/>
        </w:rPr>
        <w:t> </w:t>
      </w:r>
      <w:r>
        <w:rPr/>
        <w:t>якостей</w:t>
      </w:r>
      <w:r>
        <w:rPr>
          <w:spacing w:val="-13"/>
        </w:rPr>
        <w:t> </w:t>
      </w:r>
      <w:r>
        <w:rPr/>
        <w:t>свиней зокрема миргородської та інших вітчизняних порід</w:t>
      </w:r>
      <w:r>
        <w:rPr>
          <w:spacing w:val="-4"/>
        </w:rPr>
        <w:t> </w:t>
      </w:r>
      <w:r>
        <w:rPr/>
        <w:t>[4].</w:t>
      </w:r>
    </w:p>
    <w:p>
      <w:pPr>
        <w:pStyle w:val="BodyText"/>
        <w:spacing w:before="3"/>
        <w:ind w:right="614" w:firstLine="710"/>
      </w:pPr>
      <w:r>
        <w:rPr>
          <w:b/>
        </w:rPr>
        <w:t>Мета роботи </w:t>
      </w:r>
      <w:r>
        <w:rPr/>
        <w:t>полягала у визначенні господарсько-корисних ознак свиней породи п’єтрен французького походження в розрізі репродуктивних, відгодівельних та м’ясних якостей в умовах Одещини на сучасному етапі розвитку даного генотипу.</w:t>
      </w:r>
    </w:p>
    <w:p>
      <w:pPr>
        <w:pStyle w:val="BodyText"/>
        <w:ind w:right="605" w:firstLine="710"/>
      </w:pPr>
      <w:r>
        <w:rPr>
          <w:b/>
        </w:rPr>
        <w:t>Матеріал і методи досліджень. </w:t>
      </w:r>
      <w:r>
        <w:rPr/>
        <w:t>Науково-виробничий експеримент проведено в умовах племінного репродуктора з розведення свиней породи п’єтрен ТОВ «Арцизька м’ясна компанія» Арцизького району Одеської області, оцінку забійних і м'ясних якостей – на власному м’ясокомбінаті даного товариства,</w:t>
      </w:r>
      <w:r>
        <w:rPr>
          <w:spacing w:val="-5"/>
        </w:rPr>
        <w:t> </w:t>
      </w:r>
      <w:r>
        <w:rPr/>
        <w:t>лабораторні</w:t>
      </w:r>
      <w:r>
        <w:rPr>
          <w:spacing w:val="-8"/>
        </w:rPr>
        <w:t> </w:t>
      </w:r>
      <w:r>
        <w:rPr/>
        <w:t>–</w:t>
      </w:r>
      <w:r>
        <w:rPr>
          <w:spacing w:val="-1"/>
        </w:rPr>
        <w:t> </w:t>
      </w:r>
      <w:r>
        <w:rPr/>
        <w:t>в</w:t>
      </w:r>
      <w:r>
        <w:rPr>
          <w:spacing w:val="-3"/>
        </w:rPr>
        <w:t> </w:t>
      </w:r>
      <w:r>
        <w:rPr/>
        <w:t>умовах</w:t>
      </w:r>
      <w:r>
        <w:rPr>
          <w:spacing w:val="-11"/>
        </w:rPr>
        <w:t> </w:t>
      </w:r>
      <w:r>
        <w:rPr/>
        <w:t>кафедри</w:t>
      </w:r>
      <w:r>
        <w:rPr>
          <w:spacing w:val="-6"/>
        </w:rPr>
        <w:t> </w:t>
      </w:r>
      <w:r>
        <w:rPr/>
        <w:t>технології</w:t>
      </w:r>
      <w:r>
        <w:rPr>
          <w:spacing w:val="-8"/>
        </w:rPr>
        <w:t> </w:t>
      </w:r>
      <w:r>
        <w:rPr/>
        <w:t>виробництва</w:t>
      </w:r>
      <w:r>
        <w:rPr>
          <w:spacing w:val="-1"/>
        </w:rPr>
        <w:t> </w:t>
      </w:r>
      <w:r>
        <w:rPr/>
        <w:t>і</w:t>
      </w:r>
      <w:r>
        <w:rPr>
          <w:spacing w:val="-12"/>
        </w:rPr>
        <w:t> </w:t>
      </w:r>
      <w:r>
        <w:rPr/>
        <w:t>переробки продукції тваринництва Одеського ДАУ та в Інституті свинарства та АПВ УААН. Репродуктивні якості свиноматок породи п’єтрен вивчали на свиноматках з ІІ опоросом та старше за загальноприйнятими у свинарстві методиками [8, 9]. При визначенні середніх показників продуктивності свиноматок розрахунки проводили без урахування аварійних опоросів, проте загальний</w:t>
      </w:r>
      <w:r>
        <w:rPr>
          <w:spacing w:val="-14"/>
        </w:rPr>
        <w:t> </w:t>
      </w:r>
      <w:r>
        <w:rPr/>
        <w:t>відсоток</w:t>
      </w:r>
      <w:r>
        <w:rPr>
          <w:spacing w:val="-12"/>
        </w:rPr>
        <w:t> </w:t>
      </w:r>
      <w:r>
        <w:rPr/>
        <w:t>аварійних</w:t>
      </w:r>
      <w:r>
        <w:rPr>
          <w:spacing w:val="-19"/>
        </w:rPr>
        <w:t> </w:t>
      </w:r>
      <w:r>
        <w:rPr/>
        <w:t>опоросів</w:t>
      </w:r>
      <w:r>
        <w:rPr>
          <w:spacing w:val="-16"/>
        </w:rPr>
        <w:t> </w:t>
      </w:r>
      <w:r>
        <w:rPr/>
        <w:t>враховували</w:t>
      </w:r>
      <w:r>
        <w:rPr>
          <w:spacing w:val="-14"/>
        </w:rPr>
        <w:t> </w:t>
      </w:r>
      <w:r>
        <w:rPr/>
        <w:t>окремо.</w:t>
      </w:r>
      <w:r>
        <w:rPr>
          <w:spacing w:val="-8"/>
        </w:rPr>
        <w:t> </w:t>
      </w:r>
      <w:r>
        <w:rPr/>
        <w:t>Відгодівельні</w:t>
      </w:r>
      <w:r>
        <w:rPr>
          <w:spacing w:val="-18"/>
        </w:rPr>
        <w:t> </w:t>
      </w:r>
      <w:r>
        <w:rPr/>
        <w:t>якості молодняку свиней вивчали за результатами контрольного вирощування та звіту з бонітування свиней за 2019 рік (форма 7-св). </w:t>
      </w:r>
      <w:r>
        <w:rPr>
          <w:spacing w:val="-4"/>
        </w:rPr>
        <w:t>Забійні та </w:t>
      </w:r>
      <w:r>
        <w:rPr>
          <w:spacing w:val="-3"/>
        </w:rPr>
        <w:t>м’ясні </w:t>
      </w:r>
      <w:r>
        <w:rPr/>
        <w:t>якості </w:t>
      </w:r>
      <w:r>
        <w:rPr>
          <w:spacing w:val="-4"/>
        </w:rPr>
        <w:t>свиней визначали </w:t>
      </w:r>
      <w:r>
        <w:rPr>
          <w:spacing w:val="-3"/>
        </w:rPr>
        <w:t>при </w:t>
      </w:r>
      <w:r>
        <w:rPr/>
        <w:t>забої </w:t>
      </w:r>
      <w:r>
        <w:rPr>
          <w:spacing w:val="-3"/>
        </w:rPr>
        <w:t>молодняку свиней при </w:t>
      </w:r>
      <w:r>
        <w:rPr>
          <w:spacing w:val="-4"/>
        </w:rPr>
        <w:t>досягненні тваринами </w:t>
      </w:r>
      <w:r>
        <w:rPr/>
        <w:t>живої маси 100 </w:t>
      </w:r>
      <w:r>
        <w:rPr>
          <w:spacing w:val="-3"/>
        </w:rPr>
        <w:t>кг </w:t>
      </w:r>
      <w:r>
        <w:rPr>
          <w:spacing w:val="-4"/>
        </w:rPr>
        <w:t>згідно вимог «Методики оцінки кнурів </w:t>
      </w:r>
      <w:r>
        <w:rPr/>
        <w:t>і </w:t>
      </w:r>
      <w:r>
        <w:rPr>
          <w:spacing w:val="-3"/>
        </w:rPr>
        <w:t>свиноматок за якістю </w:t>
      </w:r>
      <w:r>
        <w:rPr>
          <w:spacing w:val="-4"/>
        </w:rPr>
        <w:t>потомства </w:t>
      </w:r>
      <w:r>
        <w:rPr/>
        <w:t>в </w:t>
      </w:r>
      <w:r>
        <w:rPr>
          <w:spacing w:val="-4"/>
        </w:rPr>
        <w:t>умовах племінних </w:t>
      </w:r>
      <w:r>
        <w:rPr>
          <w:spacing w:val="-3"/>
        </w:rPr>
        <w:t>заводів </w:t>
      </w:r>
      <w:r>
        <w:rPr/>
        <w:t>і </w:t>
      </w:r>
      <w:r>
        <w:rPr>
          <w:spacing w:val="-4"/>
        </w:rPr>
        <w:t>племінних репродукторів» [8]. Морфологічний </w:t>
      </w:r>
      <w:r>
        <w:rPr>
          <w:spacing w:val="-3"/>
        </w:rPr>
        <w:t>склад </w:t>
      </w:r>
      <w:r>
        <w:rPr>
          <w:spacing w:val="-4"/>
        </w:rPr>
        <w:t>туш визначали </w:t>
      </w:r>
      <w:r>
        <w:rPr>
          <w:spacing w:val="-3"/>
        </w:rPr>
        <w:t>шляхом </w:t>
      </w:r>
      <w:r>
        <w:rPr>
          <w:spacing w:val="-4"/>
        </w:rPr>
        <w:t>обвалування </w:t>
      </w:r>
      <w:r>
        <w:rPr>
          <w:spacing w:val="-3"/>
        </w:rPr>
        <w:t>правих </w:t>
      </w:r>
      <w:r>
        <w:rPr>
          <w:spacing w:val="-4"/>
        </w:rPr>
        <w:t>напівтуш </w:t>
      </w:r>
      <w:r>
        <w:rPr/>
        <w:t>і </w:t>
      </w:r>
      <w:r>
        <w:rPr>
          <w:spacing w:val="-4"/>
        </w:rPr>
        <w:t>зважуванням </w:t>
      </w:r>
      <w:r>
        <w:rPr>
          <w:spacing w:val="-3"/>
        </w:rPr>
        <w:t>м’яса, </w:t>
      </w:r>
      <w:r>
        <w:rPr>
          <w:spacing w:val="-4"/>
        </w:rPr>
        <w:t>сала </w:t>
      </w:r>
      <w:r>
        <w:rPr/>
        <w:t>і </w:t>
      </w:r>
      <w:r>
        <w:rPr>
          <w:spacing w:val="-4"/>
        </w:rPr>
        <w:t>кісток [9]. </w:t>
      </w:r>
      <w:r>
        <w:rPr/>
        <w:t>Одержані результати досліджень оброблені методами варіаційної статистики з використанням персонального комп’ютера у середовищі прикладної програми </w:t>
      </w:r>
      <w:r>
        <w:rPr>
          <w:i/>
        </w:rPr>
        <w:t>MS Excel 2010 </w:t>
      </w:r>
      <w:r>
        <w:rPr/>
        <w:t>[1,</w:t>
      </w:r>
      <w:r>
        <w:rPr>
          <w:spacing w:val="12"/>
        </w:rPr>
        <w:t> </w:t>
      </w:r>
      <w:r>
        <w:rPr/>
        <w:t>3].</w:t>
      </w:r>
    </w:p>
    <w:p>
      <w:pPr>
        <w:pStyle w:val="BodyText"/>
        <w:ind w:right="611" w:firstLine="710"/>
      </w:pPr>
      <w:r>
        <w:rPr>
          <w:b/>
        </w:rPr>
        <w:t>Результати</w:t>
      </w:r>
      <w:r>
        <w:rPr>
          <w:b/>
          <w:spacing w:val="-17"/>
        </w:rPr>
        <w:t> </w:t>
      </w:r>
      <w:r>
        <w:rPr>
          <w:b/>
        </w:rPr>
        <w:t>дослідження.</w:t>
      </w:r>
      <w:r>
        <w:rPr>
          <w:b/>
          <w:spacing w:val="-7"/>
        </w:rPr>
        <w:t> </w:t>
      </w:r>
      <w:r>
        <w:rPr/>
        <w:t>Племінний</w:t>
      </w:r>
      <w:r>
        <w:rPr>
          <w:spacing w:val="-15"/>
        </w:rPr>
        <w:t> </w:t>
      </w:r>
      <w:r>
        <w:rPr/>
        <w:t>репродуктор</w:t>
      </w:r>
      <w:r>
        <w:rPr>
          <w:spacing w:val="-13"/>
        </w:rPr>
        <w:t> </w:t>
      </w:r>
      <w:r>
        <w:rPr/>
        <w:t>ТОВ</w:t>
      </w:r>
      <w:r>
        <w:rPr>
          <w:spacing w:val="-13"/>
        </w:rPr>
        <w:t> </w:t>
      </w:r>
      <w:r>
        <w:rPr/>
        <w:t>«Арцизька</w:t>
      </w:r>
      <w:r>
        <w:rPr>
          <w:spacing w:val="-14"/>
        </w:rPr>
        <w:t> </w:t>
      </w:r>
      <w:r>
        <w:rPr/>
        <w:t>м’ясна компанія» Арцизького району Одеської області по розведенню свиней породи п’єтрен французької селекції створено у 2009 році. Поголів’я основних свиноматок на сьогодні складає 40 голів. Крім того, у стаді завжди утримується до 50 голів свиноматок, що перевіряються. Основна мета даного господарства реалізація племінної продукції у вигляді чистопорідних кнурців породи</w:t>
      </w:r>
      <w:r>
        <w:rPr>
          <w:spacing w:val="-51"/>
        </w:rPr>
        <w:t> </w:t>
      </w:r>
      <w:r>
        <w:rPr/>
        <w:t>п’єтрен, та кнурців гібридного походження «Кантор», одержаних в результаті поєднання свиноматок</w:t>
      </w:r>
      <w:r>
        <w:rPr>
          <w:spacing w:val="-9"/>
        </w:rPr>
        <w:t> </w:t>
      </w:r>
      <w:r>
        <w:rPr/>
        <w:t>породи</w:t>
      </w:r>
      <w:r>
        <w:rPr>
          <w:spacing w:val="-7"/>
        </w:rPr>
        <w:t> </w:t>
      </w:r>
      <w:r>
        <w:rPr/>
        <w:t>п’єтрен</w:t>
      </w:r>
      <w:r>
        <w:rPr>
          <w:spacing w:val="-7"/>
        </w:rPr>
        <w:t> </w:t>
      </w:r>
      <w:r>
        <w:rPr/>
        <w:t>з</w:t>
      </w:r>
      <w:r>
        <w:rPr>
          <w:spacing w:val="-7"/>
        </w:rPr>
        <w:t> </w:t>
      </w:r>
      <w:r>
        <w:rPr/>
        <w:t>кнурами</w:t>
      </w:r>
      <w:r>
        <w:rPr>
          <w:spacing w:val="-8"/>
        </w:rPr>
        <w:t> </w:t>
      </w:r>
      <w:r>
        <w:rPr/>
        <w:t>породи</w:t>
      </w:r>
      <w:r>
        <w:rPr>
          <w:spacing w:val="-7"/>
        </w:rPr>
        <w:t> </w:t>
      </w:r>
      <w:r>
        <w:rPr/>
        <w:t>дюрок</w:t>
      </w:r>
      <w:r>
        <w:rPr>
          <w:spacing w:val="-8"/>
        </w:rPr>
        <w:t> </w:t>
      </w:r>
      <w:r>
        <w:rPr/>
        <w:t>французького</w:t>
      </w:r>
      <w:r>
        <w:rPr>
          <w:spacing w:val="-7"/>
        </w:rPr>
        <w:t> </w:t>
      </w:r>
      <w:r>
        <w:rPr/>
        <w:t>походження. Розвиток кнурів породи п’єтрен представлено у таблиці</w:t>
      </w:r>
      <w:r>
        <w:rPr>
          <w:spacing w:val="-5"/>
        </w:rPr>
        <w:t> </w:t>
      </w:r>
      <w:r>
        <w:rPr/>
        <w:t>1.</w:t>
      </w:r>
    </w:p>
    <w:p>
      <w:pPr>
        <w:pStyle w:val="BodyText"/>
        <w:ind w:right="610" w:firstLine="710"/>
      </w:pPr>
      <w:r>
        <w:rPr/>
        <w:t>Аналіз одержаних результатів доводить, що кнури породи п’єтрен у 12 місячному віці перевищують існуючі вимоги класу еліта діючої інструкції з бонітування свиней (2003 р.), що висуваються до ІІ групи порід за середнім показником живої маси на 12,9%. Проте показник довжини тулубу у </w:t>
      </w:r>
      <w:r>
        <w:rPr>
          <w:spacing w:val="5"/>
        </w:rPr>
        <w:t>12- </w:t>
      </w:r>
      <w:r>
        <w:rPr/>
        <w:t>місячному</w:t>
      </w:r>
      <w:r>
        <w:rPr>
          <w:spacing w:val="-22"/>
        </w:rPr>
        <w:t> </w:t>
      </w:r>
      <w:r>
        <w:rPr/>
        <w:t>віці</w:t>
      </w:r>
      <w:r>
        <w:rPr>
          <w:spacing w:val="-16"/>
        </w:rPr>
        <w:t> </w:t>
      </w:r>
      <w:r>
        <w:rPr/>
        <w:t>відповідає</w:t>
      </w:r>
      <w:r>
        <w:rPr>
          <w:spacing w:val="-15"/>
        </w:rPr>
        <w:t> </w:t>
      </w:r>
      <w:r>
        <w:rPr/>
        <w:t>вимогам</w:t>
      </w:r>
      <w:r>
        <w:rPr>
          <w:spacing w:val="-16"/>
        </w:rPr>
        <w:t> </w:t>
      </w:r>
      <w:r>
        <w:rPr/>
        <w:t>лише</w:t>
      </w:r>
      <w:r>
        <w:rPr>
          <w:spacing w:val="-10"/>
        </w:rPr>
        <w:t> </w:t>
      </w:r>
      <w:r>
        <w:rPr/>
        <w:t>ІІ</w:t>
      </w:r>
      <w:r>
        <w:rPr>
          <w:spacing w:val="-18"/>
        </w:rPr>
        <w:t> </w:t>
      </w:r>
      <w:r>
        <w:rPr/>
        <w:t>класу</w:t>
      </w:r>
      <w:r>
        <w:rPr>
          <w:spacing w:val="-21"/>
        </w:rPr>
        <w:t> </w:t>
      </w:r>
      <w:r>
        <w:rPr/>
        <w:t>бонітувальної</w:t>
      </w:r>
      <w:r>
        <w:rPr>
          <w:spacing w:val="-21"/>
        </w:rPr>
        <w:t> </w:t>
      </w:r>
      <w:r>
        <w:rPr/>
        <w:t>шкали,</w:t>
      </w:r>
      <w:r>
        <w:rPr>
          <w:spacing w:val="-14"/>
        </w:rPr>
        <w:t> </w:t>
      </w:r>
      <w:r>
        <w:rPr/>
        <w:t>що</w:t>
      </w:r>
      <w:r>
        <w:rPr>
          <w:spacing w:val="-16"/>
        </w:rPr>
        <w:t> </w:t>
      </w:r>
      <w:r>
        <w:rPr/>
        <w:t>можна</w:t>
      </w:r>
    </w:p>
    <w:p>
      <w:pPr>
        <w:spacing w:after="0"/>
        <w:sectPr>
          <w:pgSz w:w="11910" w:h="16840"/>
          <w:pgMar w:header="713" w:footer="778" w:top="1140" w:bottom="960" w:left="940" w:right="520"/>
        </w:sectPr>
      </w:pPr>
    </w:p>
    <w:p>
      <w:pPr>
        <w:pStyle w:val="BodyText"/>
        <w:spacing w:before="92"/>
        <w:ind w:right="610"/>
      </w:pPr>
      <w:r>
        <w:rPr/>
        <w:t>цілком пояснити специфічністю екстер’єру даної породи порівняно з іншими м’ясними породами (ландрас, дюрок та іншими). За період з 12 до 24-місяців жива маса кнурів-плідників збільшується на 108,0 кг або на 51,4%, а показник довжини тулубу на 19,0 см або на 12,8%.</w:t>
      </w:r>
    </w:p>
    <w:p>
      <w:pPr>
        <w:pStyle w:val="BodyText"/>
        <w:spacing w:line="321" w:lineRule="exact" w:after="11"/>
        <w:ind w:left="903"/>
      </w:pPr>
      <w:r>
        <w:rPr/>
        <w:pict>
          <v:line style="position:absolute;mso-position-horizontal-relative:page;mso-position-vertical-relative:paragraph;z-index:-267159552" from="175.353104pt,47.422489pt" to="178.059097pt,47.422489pt" stroked="true" strokeweight=".368088pt" strokecolor="#000000">
            <v:stroke dashstyle="solid"/>
            <w10:wrap type="none"/>
          </v:line>
        </w:pict>
      </w:r>
      <w:r>
        <w:rPr/>
        <w:pict>
          <v:line style="position:absolute;mso-position-horizontal-relative:page;mso-position-vertical-relative:paragraph;z-index:-267158528" from="380.803101pt,47.422489pt" to="383.509094pt,47.422489pt" stroked="true" strokeweight=".368088pt" strokecolor="#000000">
            <v:stroke dashstyle="solid"/>
            <w10:wrap type="none"/>
          </v:line>
        </w:pict>
      </w:r>
      <w:r>
        <w:rPr/>
        <w:t>Таблиця 1. Розвиток кнурів породи п’єтрен (2019 р., n=4)</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4"/>
        <w:gridCol w:w="1844"/>
        <w:gridCol w:w="1134"/>
        <w:gridCol w:w="1134"/>
        <w:gridCol w:w="1845"/>
        <w:gridCol w:w="1278"/>
        <w:gridCol w:w="1278"/>
      </w:tblGrid>
      <w:tr>
        <w:trPr>
          <w:trHeight w:val="321" w:hRule="atLeast"/>
        </w:trPr>
        <w:tc>
          <w:tcPr>
            <w:tcW w:w="1244" w:type="dxa"/>
            <w:vMerge w:val="restart"/>
          </w:tcPr>
          <w:p>
            <w:pPr>
              <w:pStyle w:val="TableParagraph"/>
              <w:ind w:left="201" w:firstLine="225"/>
              <w:rPr>
                <w:sz w:val="28"/>
              </w:rPr>
            </w:pPr>
            <w:r>
              <w:rPr>
                <w:sz w:val="28"/>
              </w:rPr>
              <w:t>Вік </w:t>
            </w:r>
            <w:r>
              <w:rPr>
                <w:w w:val="95"/>
                <w:sz w:val="28"/>
              </w:rPr>
              <w:t>кнурів,</w:t>
            </w:r>
          </w:p>
          <w:p>
            <w:pPr>
              <w:pStyle w:val="TableParagraph"/>
              <w:spacing w:line="308" w:lineRule="exact"/>
              <w:ind w:left="398"/>
              <w:rPr>
                <w:sz w:val="28"/>
              </w:rPr>
            </w:pPr>
            <w:r>
              <w:rPr>
                <w:sz w:val="28"/>
              </w:rPr>
              <w:t>міс.</w:t>
            </w:r>
          </w:p>
        </w:tc>
        <w:tc>
          <w:tcPr>
            <w:tcW w:w="4112" w:type="dxa"/>
            <w:gridSpan w:val="3"/>
          </w:tcPr>
          <w:p>
            <w:pPr>
              <w:pStyle w:val="TableParagraph"/>
              <w:spacing w:line="301" w:lineRule="exact"/>
              <w:ind w:left="388"/>
              <w:rPr>
                <w:sz w:val="28"/>
              </w:rPr>
            </w:pPr>
            <w:r>
              <w:rPr>
                <w:sz w:val="28"/>
              </w:rPr>
              <w:t>Жива маса однієї голови, кг</w:t>
            </w:r>
          </w:p>
        </w:tc>
        <w:tc>
          <w:tcPr>
            <w:tcW w:w="4401" w:type="dxa"/>
            <w:gridSpan w:val="3"/>
          </w:tcPr>
          <w:p>
            <w:pPr>
              <w:pStyle w:val="TableParagraph"/>
              <w:spacing w:line="301" w:lineRule="exact"/>
              <w:ind w:left="160"/>
              <w:rPr>
                <w:sz w:val="28"/>
              </w:rPr>
            </w:pPr>
            <w:r>
              <w:rPr>
                <w:sz w:val="28"/>
              </w:rPr>
              <w:t>Довжина тулуба однієї голови, см</w:t>
            </w:r>
          </w:p>
        </w:tc>
      </w:tr>
      <w:tr>
        <w:trPr>
          <w:trHeight w:val="633" w:hRule="atLeast"/>
        </w:trPr>
        <w:tc>
          <w:tcPr>
            <w:tcW w:w="1244" w:type="dxa"/>
            <w:vMerge/>
            <w:tcBorders>
              <w:top w:val="nil"/>
            </w:tcBorders>
          </w:tcPr>
          <w:p>
            <w:pPr>
              <w:rPr>
                <w:sz w:val="2"/>
                <w:szCs w:val="2"/>
              </w:rPr>
            </w:pPr>
          </w:p>
        </w:tc>
        <w:tc>
          <w:tcPr>
            <w:tcW w:w="1844" w:type="dxa"/>
          </w:tcPr>
          <w:p>
            <w:pPr>
              <w:pStyle w:val="TableParagraph"/>
              <w:spacing w:before="4"/>
              <w:rPr>
                <w:sz w:val="6"/>
              </w:rPr>
            </w:pPr>
          </w:p>
          <w:p>
            <w:pPr>
              <w:pStyle w:val="TableParagraph"/>
              <w:spacing w:line="20" w:lineRule="exact"/>
              <w:ind w:left="697"/>
              <w:rPr>
                <w:sz w:val="2"/>
              </w:rPr>
            </w:pPr>
            <w:r>
              <w:rPr>
                <w:sz w:val="2"/>
              </w:rPr>
              <w:pict>
                <v:group style="width:6.3pt;height:.65pt;mso-position-horizontal-relative:char;mso-position-vertical-relative:line" coordorigin="0,0" coordsize="126,13">
                  <v:line style="position:absolute" from="0,6" to="125,6" stroked="true" strokeweight=".644157pt" strokecolor="#000000">
                    <v:stroke dashstyle="solid"/>
                  </v:line>
                </v:group>
              </w:pict>
            </w:r>
            <w:r>
              <w:rPr>
                <w:sz w:val="2"/>
              </w:rPr>
            </w:r>
          </w:p>
          <w:p>
            <w:pPr>
              <w:pStyle w:val="TableParagraph"/>
              <w:spacing w:line="243" w:lineRule="exact"/>
              <w:ind w:left="239" w:right="271"/>
              <w:jc w:val="center"/>
              <w:rPr>
                <w:i/>
                <w:sz w:val="30"/>
              </w:rPr>
            </w:pPr>
            <w:r>
              <w:rPr>
                <w:i/>
                <w:w w:val="80"/>
                <w:sz w:val="30"/>
              </w:rPr>
              <w:t>X </w:t>
            </w:r>
            <w:r>
              <w:rPr>
                <w:rFonts w:ascii="Symbol" w:hAnsi="Symbol"/>
                <w:w w:val="80"/>
                <w:sz w:val="30"/>
              </w:rPr>
              <w:t></w:t>
            </w:r>
            <w:r>
              <w:rPr>
                <w:w w:val="80"/>
                <w:sz w:val="30"/>
              </w:rPr>
              <w:t> </w:t>
            </w:r>
            <w:r>
              <w:rPr>
                <w:i/>
                <w:w w:val="80"/>
                <w:sz w:val="30"/>
              </w:rPr>
              <w:t>s</w:t>
            </w:r>
          </w:p>
          <w:p>
            <w:pPr>
              <w:pStyle w:val="TableParagraph"/>
              <w:spacing w:line="147" w:lineRule="exact"/>
              <w:ind w:left="475"/>
              <w:jc w:val="center"/>
              <w:rPr>
                <w:i/>
                <w:sz w:val="18"/>
              </w:rPr>
            </w:pPr>
            <w:r>
              <w:rPr>
                <w:i/>
                <w:w w:val="65"/>
                <w:sz w:val="18"/>
              </w:rPr>
              <w:t>x</w:t>
            </w:r>
          </w:p>
        </w:tc>
        <w:tc>
          <w:tcPr>
            <w:tcW w:w="1134" w:type="dxa"/>
          </w:tcPr>
          <w:p>
            <w:pPr>
              <w:pStyle w:val="TableParagraph"/>
              <w:spacing w:line="315" w:lineRule="exact"/>
              <w:ind w:left="104"/>
              <w:rPr>
                <w:sz w:val="28"/>
              </w:rPr>
            </w:pPr>
            <w:r>
              <w:rPr>
                <w:sz w:val="28"/>
              </w:rPr>
              <w:t>маks</w:t>
            </w:r>
          </w:p>
        </w:tc>
        <w:tc>
          <w:tcPr>
            <w:tcW w:w="1134" w:type="dxa"/>
          </w:tcPr>
          <w:p>
            <w:pPr>
              <w:pStyle w:val="TableParagraph"/>
              <w:spacing w:line="315" w:lineRule="exact"/>
              <w:ind w:left="108"/>
              <w:rPr>
                <w:sz w:val="28"/>
              </w:rPr>
            </w:pPr>
            <w:r>
              <w:rPr>
                <w:sz w:val="28"/>
              </w:rPr>
              <w:t>міn</w:t>
            </w:r>
          </w:p>
        </w:tc>
        <w:tc>
          <w:tcPr>
            <w:tcW w:w="1845" w:type="dxa"/>
          </w:tcPr>
          <w:p>
            <w:pPr>
              <w:pStyle w:val="TableParagraph"/>
              <w:spacing w:before="4"/>
              <w:rPr>
                <w:sz w:val="6"/>
              </w:rPr>
            </w:pPr>
          </w:p>
          <w:p>
            <w:pPr>
              <w:pStyle w:val="TableParagraph"/>
              <w:spacing w:line="20" w:lineRule="exact"/>
              <w:ind w:left="694"/>
              <w:rPr>
                <w:sz w:val="2"/>
              </w:rPr>
            </w:pPr>
            <w:r>
              <w:rPr>
                <w:sz w:val="2"/>
              </w:rPr>
              <w:pict>
                <v:group style="width:6.3pt;height:.65pt;mso-position-horizontal-relative:char;mso-position-vertical-relative:line" coordorigin="0,0" coordsize="126,13">
                  <v:line style="position:absolute" from="0,6" to="125,6" stroked="true" strokeweight=".644157pt" strokecolor="#000000">
                    <v:stroke dashstyle="solid"/>
                  </v:line>
                </v:group>
              </w:pict>
            </w:r>
            <w:r>
              <w:rPr>
                <w:sz w:val="2"/>
              </w:rPr>
            </w:r>
          </w:p>
          <w:p>
            <w:pPr>
              <w:pStyle w:val="TableParagraph"/>
              <w:spacing w:line="243" w:lineRule="exact"/>
              <w:ind w:left="632" w:right="671"/>
              <w:jc w:val="center"/>
              <w:rPr>
                <w:i/>
                <w:sz w:val="30"/>
              </w:rPr>
            </w:pPr>
            <w:r>
              <w:rPr>
                <w:i/>
                <w:w w:val="80"/>
                <w:sz w:val="30"/>
              </w:rPr>
              <w:t>X </w:t>
            </w:r>
            <w:r>
              <w:rPr>
                <w:rFonts w:ascii="Symbol" w:hAnsi="Symbol"/>
                <w:w w:val="80"/>
                <w:sz w:val="30"/>
              </w:rPr>
              <w:t></w:t>
            </w:r>
            <w:r>
              <w:rPr>
                <w:w w:val="80"/>
                <w:sz w:val="30"/>
              </w:rPr>
              <w:t> </w:t>
            </w:r>
            <w:r>
              <w:rPr>
                <w:i/>
                <w:w w:val="80"/>
                <w:sz w:val="30"/>
              </w:rPr>
              <w:t>s</w:t>
            </w:r>
          </w:p>
          <w:p>
            <w:pPr>
              <w:pStyle w:val="TableParagraph"/>
              <w:spacing w:line="147" w:lineRule="exact"/>
              <w:ind w:left="468"/>
              <w:jc w:val="center"/>
              <w:rPr>
                <w:i/>
                <w:sz w:val="18"/>
              </w:rPr>
            </w:pPr>
            <w:r>
              <w:rPr>
                <w:i/>
                <w:w w:val="65"/>
                <w:sz w:val="18"/>
              </w:rPr>
              <w:t>x</w:t>
            </w:r>
          </w:p>
        </w:tc>
        <w:tc>
          <w:tcPr>
            <w:tcW w:w="1278" w:type="dxa"/>
          </w:tcPr>
          <w:p>
            <w:pPr>
              <w:pStyle w:val="TableParagraph"/>
              <w:spacing w:line="315" w:lineRule="exact"/>
              <w:ind w:left="107"/>
              <w:rPr>
                <w:sz w:val="28"/>
              </w:rPr>
            </w:pPr>
            <w:r>
              <w:rPr>
                <w:sz w:val="28"/>
              </w:rPr>
              <w:t>маks</w:t>
            </w:r>
          </w:p>
        </w:tc>
        <w:tc>
          <w:tcPr>
            <w:tcW w:w="1278" w:type="dxa"/>
          </w:tcPr>
          <w:p>
            <w:pPr>
              <w:pStyle w:val="TableParagraph"/>
              <w:spacing w:line="315" w:lineRule="exact"/>
              <w:ind w:left="307" w:right="306"/>
              <w:jc w:val="center"/>
              <w:rPr>
                <w:sz w:val="28"/>
              </w:rPr>
            </w:pPr>
            <w:r>
              <w:rPr>
                <w:sz w:val="28"/>
              </w:rPr>
              <w:t>міn</w:t>
            </w:r>
          </w:p>
        </w:tc>
      </w:tr>
      <w:tr>
        <w:trPr>
          <w:trHeight w:val="321" w:hRule="atLeast"/>
        </w:trPr>
        <w:tc>
          <w:tcPr>
            <w:tcW w:w="1244" w:type="dxa"/>
          </w:tcPr>
          <w:p>
            <w:pPr>
              <w:pStyle w:val="TableParagraph"/>
              <w:spacing w:line="301" w:lineRule="exact"/>
              <w:ind w:left="463" w:right="450"/>
              <w:jc w:val="center"/>
              <w:rPr>
                <w:sz w:val="28"/>
              </w:rPr>
            </w:pPr>
            <w:r>
              <w:rPr>
                <w:sz w:val="28"/>
              </w:rPr>
              <w:t>12</w:t>
            </w:r>
          </w:p>
        </w:tc>
        <w:tc>
          <w:tcPr>
            <w:tcW w:w="1844" w:type="dxa"/>
          </w:tcPr>
          <w:p>
            <w:pPr>
              <w:pStyle w:val="TableParagraph"/>
              <w:spacing w:line="301" w:lineRule="exact"/>
              <w:ind w:left="109"/>
              <w:rPr>
                <w:sz w:val="28"/>
              </w:rPr>
            </w:pPr>
            <w:r>
              <w:rPr>
                <w:sz w:val="28"/>
              </w:rPr>
              <w:t>210,0±12,19</w:t>
            </w:r>
          </w:p>
        </w:tc>
        <w:tc>
          <w:tcPr>
            <w:tcW w:w="1134" w:type="dxa"/>
          </w:tcPr>
          <w:p>
            <w:pPr>
              <w:pStyle w:val="TableParagraph"/>
              <w:spacing w:line="301" w:lineRule="exact"/>
              <w:ind w:left="104"/>
              <w:rPr>
                <w:sz w:val="28"/>
              </w:rPr>
            </w:pPr>
            <w:r>
              <w:rPr>
                <w:sz w:val="28"/>
              </w:rPr>
              <w:t>232,0</w:t>
            </w:r>
          </w:p>
        </w:tc>
        <w:tc>
          <w:tcPr>
            <w:tcW w:w="1134" w:type="dxa"/>
          </w:tcPr>
          <w:p>
            <w:pPr>
              <w:pStyle w:val="TableParagraph"/>
              <w:spacing w:line="301" w:lineRule="exact"/>
              <w:ind w:left="108"/>
              <w:rPr>
                <w:sz w:val="28"/>
              </w:rPr>
            </w:pPr>
            <w:r>
              <w:rPr>
                <w:sz w:val="28"/>
              </w:rPr>
              <w:t>176,0</w:t>
            </w:r>
          </w:p>
        </w:tc>
        <w:tc>
          <w:tcPr>
            <w:tcW w:w="1845" w:type="dxa"/>
          </w:tcPr>
          <w:p>
            <w:pPr>
              <w:pStyle w:val="TableParagraph"/>
              <w:spacing w:line="301" w:lineRule="exact"/>
              <w:ind w:left="108"/>
              <w:rPr>
                <w:sz w:val="28"/>
              </w:rPr>
            </w:pPr>
            <w:r>
              <w:rPr>
                <w:sz w:val="28"/>
              </w:rPr>
              <w:t>148,0±2,16</w:t>
            </w:r>
          </w:p>
        </w:tc>
        <w:tc>
          <w:tcPr>
            <w:tcW w:w="1278" w:type="dxa"/>
          </w:tcPr>
          <w:p>
            <w:pPr>
              <w:pStyle w:val="TableParagraph"/>
              <w:spacing w:line="301" w:lineRule="exact"/>
              <w:ind w:left="107"/>
              <w:rPr>
                <w:sz w:val="28"/>
              </w:rPr>
            </w:pPr>
            <w:r>
              <w:rPr>
                <w:sz w:val="28"/>
              </w:rPr>
              <w:t>150,0</w:t>
            </w:r>
          </w:p>
        </w:tc>
        <w:tc>
          <w:tcPr>
            <w:tcW w:w="1278" w:type="dxa"/>
          </w:tcPr>
          <w:p>
            <w:pPr>
              <w:pStyle w:val="TableParagraph"/>
              <w:spacing w:line="301" w:lineRule="exact"/>
              <w:ind w:left="106"/>
              <w:rPr>
                <w:sz w:val="28"/>
              </w:rPr>
            </w:pPr>
            <w:r>
              <w:rPr>
                <w:sz w:val="28"/>
              </w:rPr>
              <w:t>142,0</w:t>
            </w:r>
          </w:p>
        </w:tc>
      </w:tr>
      <w:tr>
        <w:trPr>
          <w:trHeight w:val="321" w:hRule="atLeast"/>
        </w:trPr>
        <w:tc>
          <w:tcPr>
            <w:tcW w:w="1244" w:type="dxa"/>
          </w:tcPr>
          <w:p>
            <w:pPr>
              <w:pStyle w:val="TableParagraph"/>
              <w:spacing w:line="302" w:lineRule="exact"/>
              <w:ind w:left="463" w:right="450"/>
              <w:jc w:val="center"/>
              <w:rPr>
                <w:sz w:val="28"/>
              </w:rPr>
            </w:pPr>
            <w:r>
              <w:rPr>
                <w:sz w:val="28"/>
              </w:rPr>
              <w:t>24</w:t>
            </w:r>
          </w:p>
        </w:tc>
        <w:tc>
          <w:tcPr>
            <w:tcW w:w="1844" w:type="dxa"/>
          </w:tcPr>
          <w:p>
            <w:pPr>
              <w:pStyle w:val="TableParagraph"/>
              <w:spacing w:line="302" w:lineRule="exact"/>
              <w:ind w:left="109"/>
              <w:rPr>
                <w:sz w:val="28"/>
              </w:rPr>
            </w:pPr>
            <w:r>
              <w:rPr>
                <w:sz w:val="28"/>
              </w:rPr>
              <w:t>318,0±19,61</w:t>
            </w:r>
          </w:p>
        </w:tc>
        <w:tc>
          <w:tcPr>
            <w:tcW w:w="1134" w:type="dxa"/>
          </w:tcPr>
          <w:p>
            <w:pPr>
              <w:pStyle w:val="TableParagraph"/>
              <w:spacing w:line="302" w:lineRule="exact"/>
              <w:ind w:left="104"/>
              <w:rPr>
                <w:sz w:val="28"/>
              </w:rPr>
            </w:pPr>
            <w:r>
              <w:rPr>
                <w:sz w:val="28"/>
              </w:rPr>
              <w:t>356,0</w:t>
            </w:r>
          </w:p>
        </w:tc>
        <w:tc>
          <w:tcPr>
            <w:tcW w:w="1134" w:type="dxa"/>
          </w:tcPr>
          <w:p>
            <w:pPr>
              <w:pStyle w:val="TableParagraph"/>
              <w:spacing w:line="302" w:lineRule="exact"/>
              <w:ind w:left="108"/>
              <w:rPr>
                <w:sz w:val="28"/>
              </w:rPr>
            </w:pPr>
            <w:r>
              <w:rPr>
                <w:sz w:val="28"/>
              </w:rPr>
              <w:t>264,0</w:t>
            </w:r>
          </w:p>
        </w:tc>
        <w:tc>
          <w:tcPr>
            <w:tcW w:w="1845" w:type="dxa"/>
          </w:tcPr>
          <w:p>
            <w:pPr>
              <w:pStyle w:val="TableParagraph"/>
              <w:spacing w:line="302" w:lineRule="exact"/>
              <w:ind w:left="108"/>
              <w:rPr>
                <w:sz w:val="28"/>
              </w:rPr>
            </w:pPr>
            <w:r>
              <w:rPr>
                <w:sz w:val="28"/>
              </w:rPr>
              <w:t>167,0±3,34</w:t>
            </w:r>
          </w:p>
        </w:tc>
        <w:tc>
          <w:tcPr>
            <w:tcW w:w="1278" w:type="dxa"/>
          </w:tcPr>
          <w:p>
            <w:pPr>
              <w:pStyle w:val="TableParagraph"/>
              <w:spacing w:line="302" w:lineRule="exact"/>
              <w:ind w:left="107"/>
              <w:rPr>
                <w:sz w:val="28"/>
              </w:rPr>
            </w:pPr>
            <w:r>
              <w:rPr>
                <w:sz w:val="28"/>
              </w:rPr>
              <w:t>169,0</w:t>
            </w:r>
          </w:p>
        </w:tc>
        <w:tc>
          <w:tcPr>
            <w:tcW w:w="1278" w:type="dxa"/>
          </w:tcPr>
          <w:p>
            <w:pPr>
              <w:pStyle w:val="TableParagraph"/>
              <w:spacing w:line="302" w:lineRule="exact"/>
              <w:ind w:left="106"/>
              <w:rPr>
                <w:sz w:val="28"/>
              </w:rPr>
            </w:pPr>
            <w:r>
              <w:rPr>
                <w:sz w:val="28"/>
              </w:rPr>
              <w:t>158,0</w:t>
            </w:r>
          </w:p>
        </w:tc>
      </w:tr>
    </w:tbl>
    <w:p>
      <w:pPr>
        <w:pStyle w:val="BodyText"/>
        <w:spacing w:before="4"/>
        <w:ind w:left="0"/>
        <w:jc w:val="left"/>
        <w:rPr>
          <w:sz w:val="27"/>
        </w:rPr>
      </w:pPr>
    </w:p>
    <w:p>
      <w:pPr>
        <w:pStyle w:val="BodyText"/>
        <w:ind w:right="611" w:firstLine="710"/>
      </w:pPr>
      <w:r>
        <w:rPr/>
        <w:t>Кнури породи п’єтрен у 24 міс. віці перевищують існуючі вимоги класу еліта ІІ групи порід за середнім показником живої маси на 9,7%, а показник довжини тулубу у цьому віці відповідав вимогам лише І класу. Розвиток свиноматок породи п’єтрен представлено у таблиці 2, аналіз даних якої засвідчує, що середній вік І опоросу в стаді не перевищує 13 місяців, а даний показник у тварин, що вводяться до основного стада не перевищує 12 місяців. Даний показник є свідченням початку племінного використання тварин з 8-міс. віку, що відповідає вимогами сучасного промислового свинарства.</w:t>
      </w:r>
    </w:p>
    <w:p>
      <w:pPr>
        <w:pStyle w:val="BodyText"/>
        <w:spacing w:before="2" w:after="7"/>
        <w:ind w:left="903"/>
      </w:pPr>
      <w:r>
        <w:rPr/>
        <w:t>Таблиця 2. Розвиток свиноматок породи п’єтрен (2019 р.)</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1"/>
        <w:gridCol w:w="989"/>
        <w:gridCol w:w="1421"/>
        <w:gridCol w:w="2040"/>
        <w:gridCol w:w="1801"/>
        <w:gridCol w:w="980"/>
      </w:tblGrid>
      <w:tr>
        <w:trPr>
          <w:trHeight w:val="964" w:hRule="atLeast"/>
        </w:trPr>
        <w:tc>
          <w:tcPr>
            <w:tcW w:w="2521" w:type="dxa"/>
          </w:tcPr>
          <w:p>
            <w:pPr>
              <w:pStyle w:val="TableParagraph"/>
              <w:spacing w:line="315" w:lineRule="exact"/>
              <w:ind w:left="686"/>
              <w:rPr>
                <w:sz w:val="28"/>
              </w:rPr>
            </w:pPr>
            <w:r>
              <w:rPr>
                <w:sz w:val="28"/>
              </w:rPr>
              <w:t>Показник</w:t>
            </w:r>
          </w:p>
        </w:tc>
        <w:tc>
          <w:tcPr>
            <w:tcW w:w="989" w:type="dxa"/>
          </w:tcPr>
          <w:p>
            <w:pPr>
              <w:pStyle w:val="TableParagraph"/>
              <w:spacing w:before="4"/>
              <w:rPr>
                <w:sz w:val="27"/>
              </w:rPr>
            </w:pPr>
          </w:p>
          <w:p>
            <w:pPr>
              <w:pStyle w:val="TableParagraph"/>
              <w:ind w:left="4"/>
              <w:jc w:val="center"/>
              <w:rPr>
                <w:sz w:val="28"/>
              </w:rPr>
            </w:pPr>
            <w:r>
              <w:rPr>
                <w:w w:val="99"/>
                <w:sz w:val="28"/>
              </w:rPr>
              <w:t>n</w:t>
            </w:r>
          </w:p>
        </w:tc>
        <w:tc>
          <w:tcPr>
            <w:tcW w:w="1421" w:type="dxa"/>
          </w:tcPr>
          <w:p>
            <w:pPr>
              <w:pStyle w:val="TableParagraph"/>
              <w:spacing w:line="315" w:lineRule="exact"/>
              <w:ind w:left="189" w:right="187"/>
              <w:jc w:val="center"/>
              <w:rPr>
                <w:sz w:val="28"/>
              </w:rPr>
            </w:pPr>
            <w:r>
              <w:rPr>
                <w:sz w:val="28"/>
              </w:rPr>
              <w:t>Вік І</w:t>
            </w:r>
          </w:p>
          <w:p>
            <w:pPr>
              <w:pStyle w:val="TableParagraph"/>
              <w:spacing w:line="322" w:lineRule="exact" w:before="4"/>
              <w:ind w:left="192" w:right="187"/>
              <w:jc w:val="center"/>
              <w:rPr>
                <w:sz w:val="28"/>
              </w:rPr>
            </w:pPr>
            <w:r>
              <w:rPr>
                <w:w w:val="95"/>
                <w:sz w:val="28"/>
              </w:rPr>
              <w:t>опоросу, </w:t>
            </w:r>
            <w:r>
              <w:rPr>
                <w:sz w:val="28"/>
              </w:rPr>
              <w:t>місяців</w:t>
            </w:r>
          </w:p>
        </w:tc>
        <w:tc>
          <w:tcPr>
            <w:tcW w:w="2040" w:type="dxa"/>
          </w:tcPr>
          <w:p>
            <w:pPr>
              <w:pStyle w:val="TableParagraph"/>
              <w:spacing w:before="156"/>
              <w:ind w:left="547" w:hanging="365"/>
              <w:rPr>
                <w:sz w:val="28"/>
              </w:rPr>
            </w:pPr>
            <w:r>
              <w:rPr>
                <w:sz w:val="28"/>
              </w:rPr>
              <w:t>Середня жива маса, кг</w:t>
            </w:r>
          </w:p>
        </w:tc>
        <w:tc>
          <w:tcPr>
            <w:tcW w:w="1801" w:type="dxa"/>
          </w:tcPr>
          <w:p>
            <w:pPr>
              <w:pStyle w:val="TableParagraph"/>
              <w:spacing w:line="315" w:lineRule="exact"/>
              <w:ind w:left="390" w:firstLine="14"/>
              <w:rPr>
                <w:sz w:val="28"/>
              </w:rPr>
            </w:pPr>
            <w:r>
              <w:rPr>
                <w:sz w:val="28"/>
              </w:rPr>
              <w:t>Середня</w:t>
            </w:r>
          </w:p>
          <w:p>
            <w:pPr>
              <w:pStyle w:val="TableParagraph"/>
              <w:spacing w:line="322" w:lineRule="exact" w:before="4"/>
              <w:ind w:left="279" w:right="241" w:firstLine="110"/>
              <w:rPr>
                <w:sz w:val="28"/>
              </w:rPr>
            </w:pPr>
            <w:r>
              <w:rPr>
                <w:sz w:val="28"/>
              </w:rPr>
              <w:t>довжина тулуба, см</w:t>
            </w:r>
          </w:p>
        </w:tc>
        <w:tc>
          <w:tcPr>
            <w:tcW w:w="980" w:type="dxa"/>
          </w:tcPr>
          <w:p>
            <w:pPr>
              <w:pStyle w:val="TableParagraph"/>
              <w:spacing w:line="315" w:lineRule="exact"/>
              <w:ind w:left="303" w:hanging="173"/>
              <w:rPr>
                <w:sz w:val="28"/>
              </w:rPr>
            </w:pPr>
            <w:r>
              <w:rPr>
                <w:sz w:val="28"/>
              </w:rPr>
              <w:t>Серед</w:t>
            </w:r>
          </w:p>
          <w:p>
            <w:pPr>
              <w:pStyle w:val="TableParagraph"/>
              <w:spacing w:line="322" w:lineRule="exact" w:before="4"/>
              <w:ind w:left="288" w:right="255" w:firstLine="14"/>
              <w:rPr>
                <w:sz w:val="28"/>
              </w:rPr>
            </w:pPr>
            <w:r>
              <w:rPr>
                <w:sz w:val="28"/>
              </w:rPr>
              <w:t>ній бал</w:t>
            </w:r>
          </w:p>
        </w:tc>
      </w:tr>
      <w:tr>
        <w:trPr>
          <w:trHeight w:val="647" w:hRule="atLeast"/>
        </w:trPr>
        <w:tc>
          <w:tcPr>
            <w:tcW w:w="2521" w:type="dxa"/>
          </w:tcPr>
          <w:p>
            <w:pPr>
              <w:pStyle w:val="TableParagraph"/>
              <w:tabs>
                <w:tab w:pos="843" w:val="left" w:leader="none"/>
                <w:tab w:pos="1788" w:val="left" w:leader="none"/>
              </w:tabs>
              <w:spacing w:line="315" w:lineRule="exact"/>
              <w:ind w:left="110"/>
              <w:rPr>
                <w:sz w:val="28"/>
              </w:rPr>
            </w:pPr>
            <w:r>
              <w:rPr>
                <w:sz w:val="28"/>
              </w:rPr>
              <w:t>Уся</w:t>
              <w:tab/>
              <w:t>група</w:t>
              <w:tab/>
              <w:t>після</w:t>
            </w:r>
          </w:p>
          <w:p>
            <w:pPr>
              <w:pStyle w:val="TableParagraph"/>
              <w:spacing w:line="308" w:lineRule="exact" w:before="4"/>
              <w:ind w:left="110"/>
              <w:rPr>
                <w:sz w:val="28"/>
              </w:rPr>
            </w:pPr>
            <w:r>
              <w:rPr>
                <w:sz w:val="28"/>
              </w:rPr>
              <w:t>бонітування</w:t>
            </w:r>
          </w:p>
        </w:tc>
        <w:tc>
          <w:tcPr>
            <w:tcW w:w="989" w:type="dxa"/>
          </w:tcPr>
          <w:p>
            <w:pPr>
              <w:pStyle w:val="TableParagraph"/>
              <w:spacing w:before="156"/>
              <w:ind w:left="105"/>
              <w:rPr>
                <w:sz w:val="28"/>
              </w:rPr>
            </w:pPr>
            <w:r>
              <w:rPr>
                <w:sz w:val="28"/>
              </w:rPr>
              <w:t>96</w:t>
            </w:r>
          </w:p>
        </w:tc>
        <w:tc>
          <w:tcPr>
            <w:tcW w:w="1421" w:type="dxa"/>
          </w:tcPr>
          <w:p>
            <w:pPr>
              <w:pStyle w:val="TableParagraph"/>
              <w:spacing w:before="156"/>
              <w:ind w:left="192" w:right="182"/>
              <w:jc w:val="center"/>
              <w:rPr>
                <w:sz w:val="28"/>
              </w:rPr>
            </w:pPr>
            <w:r>
              <w:rPr>
                <w:sz w:val="28"/>
              </w:rPr>
              <w:t>13</w:t>
            </w:r>
          </w:p>
        </w:tc>
        <w:tc>
          <w:tcPr>
            <w:tcW w:w="2040" w:type="dxa"/>
          </w:tcPr>
          <w:p>
            <w:pPr>
              <w:pStyle w:val="TableParagraph"/>
              <w:spacing w:before="156"/>
              <w:ind w:left="105"/>
              <w:rPr>
                <w:sz w:val="28"/>
              </w:rPr>
            </w:pPr>
            <w:r>
              <w:rPr>
                <w:sz w:val="28"/>
              </w:rPr>
              <w:t>212,0±3,01</w:t>
            </w:r>
          </w:p>
        </w:tc>
        <w:tc>
          <w:tcPr>
            <w:tcW w:w="1801" w:type="dxa"/>
          </w:tcPr>
          <w:p>
            <w:pPr>
              <w:pStyle w:val="TableParagraph"/>
              <w:spacing w:before="156"/>
              <w:ind w:left="111"/>
              <w:rPr>
                <w:sz w:val="28"/>
              </w:rPr>
            </w:pPr>
            <w:r>
              <w:rPr>
                <w:sz w:val="28"/>
              </w:rPr>
              <w:t>148,0±0,58</w:t>
            </w:r>
          </w:p>
        </w:tc>
        <w:tc>
          <w:tcPr>
            <w:tcW w:w="980" w:type="dxa"/>
          </w:tcPr>
          <w:p>
            <w:pPr>
              <w:pStyle w:val="TableParagraph"/>
              <w:spacing w:before="156"/>
              <w:ind w:left="111"/>
              <w:rPr>
                <w:sz w:val="28"/>
              </w:rPr>
            </w:pPr>
            <w:r>
              <w:rPr>
                <w:sz w:val="28"/>
              </w:rPr>
              <w:t>3,5</w:t>
            </w:r>
          </w:p>
        </w:tc>
      </w:tr>
      <w:tr>
        <w:trPr>
          <w:trHeight w:val="643" w:hRule="atLeast"/>
        </w:trPr>
        <w:tc>
          <w:tcPr>
            <w:tcW w:w="2521" w:type="dxa"/>
          </w:tcPr>
          <w:p>
            <w:pPr>
              <w:pStyle w:val="TableParagraph"/>
              <w:tabs>
                <w:tab w:pos="512" w:val="left" w:leader="none"/>
                <w:tab w:pos="1121" w:val="left" w:leader="none"/>
                <w:tab w:pos="2280" w:val="left" w:leader="none"/>
              </w:tabs>
              <w:spacing w:line="315" w:lineRule="exact"/>
              <w:ind w:left="110"/>
              <w:rPr>
                <w:sz w:val="28"/>
              </w:rPr>
            </w:pPr>
            <w:r>
              <w:rPr>
                <w:sz w:val="28"/>
              </w:rPr>
              <w:t>У</w:t>
              <w:tab/>
              <w:t>т.ч.</w:t>
              <w:tab/>
              <w:t>уведено</w:t>
              <w:tab/>
              <w:t>в</w:t>
            </w:r>
          </w:p>
          <w:p>
            <w:pPr>
              <w:pStyle w:val="TableParagraph"/>
              <w:spacing w:line="308" w:lineRule="exact"/>
              <w:ind w:left="110"/>
              <w:rPr>
                <w:sz w:val="28"/>
              </w:rPr>
            </w:pPr>
            <w:r>
              <w:rPr>
                <w:sz w:val="28"/>
              </w:rPr>
              <w:t>основне стадо</w:t>
            </w:r>
          </w:p>
        </w:tc>
        <w:tc>
          <w:tcPr>
            <w:tcW w:w="989" w:type="dxa"/>
          </w:tcPr>
          <w:p>
            <w:pPr>
              <w:pStyle w:val="TableParagraph"/>
              <w:spacing w:before="151"/>
              <w:ind w:left="105"/>
              <w:rPr>
                <w:sz w:val="28"/>
              </w:rPr>
            </w:pPr>
            <w:r>
              <w:rPr>
                <w:sz w:val="28"/>
              </w:rPr>
              <w:t>14</w:t>
            </w:r>
          </w:p>
        </w:tc>
        <w:tc>
          <w:tcPr>
            <w:tcW w:w="1421" w:type="dxa"/>
          </w:tcPr>
          <w:p>
            <w:pPr>
              <w:pStyle w:val="TableParagraph"/>
              <w:spacing w:before="151"/>
              <w:ind w:left="192" w:right="182"/>
              <w:jc w:val="center"/>
              <w:rPr>
                <w:sz w:val="28"/>
              </w:rPr>
            </w:pPr>
            <w:r>
              <w:rPr>
                <w:sz w:val="28"/>
              </w:rPr>
              <w:t>12</w:t>
            </w:r>
          </w:p>
        </w:tc>
        <w:tc>
          <w:tcPr>
            <w:tcW w:w="2040" w:type="dxa"/>
          </w:tcPr>
          <w:p>
            <w:pPr>
              <w:pStyle w:val="TableParagraph"/>
              <w:spacing w:before="151"/>
              <w:ind w:left="105"/>
              <w:rPr>
                <w:sz w:val="28"/>
              </w:rPr>
            </w:pPr>
            <w:r>
              <w:rPr>
                <w:sz w:val="28"/>
              </w:rPr>
              <w:t>196,0±2,87</w:t>
            </w:r>
          </w:p>
        </w:tc>
        <w:tc>
          <w:tcPr>
            <w:tcW w:w="1801" w:type="dxa"/>
          </w:tcPr>
          <w:p>
            <w:pPr>
              <w:pStyle w:val="TableParagraph"/>
              <w:spacing w:before="151"/>
              <w:ind w:left="111"/>
              <w:rPr>
                <w:sz w:val="28"/>
              </w:rPr>
            </w:pPr>
            <w:r>
              <w:rPr>
                <w:sz w:val="28"/>
              </w:rPr>
              <w:t>143,0±0,27</w:t>
            </w:r>
          </w:p>
        </w:tc>
        <w:tc>
          <w:tcPr>
            <w:tcW w:w="980" w:type="dxa"/>
          </w:tcPr>
          <w:p>
            <w:pPr>
              <w:pStyle w:val="TableParagraph"/>
              <w:spacing w:before="151"/>
              <w:ind w:left="111"/>
              <w:rPr>
                <w:sz w:val="28"/>
              </w:rPr>
            </w:pPr>
            <w:r>
              <w:rPr>
                <w:sz w:val="28"/>
              </w:rPr>
              <w:t>3,5</w:t>
            </w:r>
          </w:p>
        </w:tc>
      </w:tr>
      <w:tr>
        <w:trPr>
          <w:trHeight w:val="642" w:hRule="atLeast"/>
        </w:trPr>
        <w:tc>
          <w:tcPr>
            <w:tcW w:w="2521" w:type="dxa"/>
          </w:tcPr>
          <w:p>
            <w:pPr>
              <w:pStyle w:val="TableParagraph"/>
              <w:spacing w:line="315" w:lineRule="exact"/>
              <w:ind w:left="110"/>
              <w:rPr>
                <w:sz w:val="28"/>
              </w:rPr>
            </w:pPr>
            <w:r>
              <w:rPr>
                <w:sz w:val="28"/>
              </w:rPr>
              <w:t>Вибракувано</w:t>
            </w:r>
          </w:p>
          <w:p>
            <w:pPr>
              <w:pStyle w:val="TableParagraph"/>
              <w:spacing w:line="308" w:lineRule="exact"/>
              <w:ind w:left="110"/>
              <w:rPr>
                <w:sz w:val="28"/>
              </w:rPr>
            </w:pPr>
            <w:r>
              <w:rPr>
                <w:sz w:val="28"/>
              </w:rPr>
              <w:t>протягом року</w:t>
            </w:r>
          </w:p>
        </w:tc>
        <w:tc>
          <w:tcPr>
            <w:tcW w:w="989" w:type="dxa"/>
          </w:tcPr>
          <w:p>
            <w:pPr>
              <w:pStyle w:val="TableParagraph"/>
              <w:spacing w:before="151"/>
              <w:ind w:left="105"/>
              <w:rPr>
                <w:sz w:val="28"/>
              </w:rPr>
            </w:pPr>
            <w:r>
              <w:rPr>
                <w:sz w:val="28"/>
              </w:rPr>
              <w:t>30</w:t>
            </w:r>
          </w:p>
        </w:tc>
        <w:tc>
          <w:tcPr>
            <w:tcW w:w="1421" w:type="dxa"/>
          </w:tcPr>
          <w:p>
            <w:pPr>
              <w:pStyle w:val="TableParagraph"/>
              <w:spacing w:before="151"/>
              <w:ind w:left="192" w:right="182"/>
              <w:jc w:val="center"/>
              <w:rPr>
                <w:sz w:val="28"/>
              </w:rPr>
            </w:pPr>
            <w:r>
              <w:rPr>
                <w:sz w:val="28"/>
              </w:rPr>
              <w:t>13</w:t>
            </w:r>
          </w:p>
        </w:tc>
        <w:tc>
          <w:tcPr>
            <w:tcW w:w="2040" w:type="dxa"/>
          </w:tcPr>
          <w:p>
            <w:pPr>
              <w:pStyle w:val="TableParagraph"/>
              <w:spacing w:before="151"/>
              <w:ind w:left="105"/>
              <w:rPr>
                <w:sz w:val="28"/>
              </w:rPr>
            </w:pPr>
            <w:r>
              <w:rPr>
                <w:sz w:val="28"/>
              </w:rPr>
              <w:t>204,0±6,12</w:t>
            </w:r>
          </w:p>
        </w:tc>
        <w:tc>
          <w:tcPr>
            <w:tcW w:w="1801" w:type="dxa"/>
          </w:tcPr>
          <w:p>
            <w:pPr>
              <w:pStyle w:val="TableParagraph"/>
              <w:spacing w:before="151"/>
              <w:ind w:left="111"/>
              <w:rPr>
                <w:sz w:val="28"/>
              </w:rPr>
            </w:pPr>
            <w:r>
              <w:rPr>
                <w:sz w:val="28"/>
              </w:rPr>
              <w:t>146,0±0,61</w:t>
            </w:r>
          </w:p>
        </w:tc>
        <w:tc>
          <w:tcPr>
            <w:tcW w:w="980" w:type="dxa"/>
          </w:tcPr>
          <w:p>
            <w:pPr>
              <w:pStyle w:val="TableParagraph"/>
              <w:spacing w:before="151"/>
              <w:ind w:left="111"/>
              <w:rPr>
                <w:sz w:val="28"/>
              </w:rPr>
            </w:pPr>
            <w:r>
              <w:rPr>
                <w:sz w:val="28"/>
              </w:rPr>
              <w:t>3,0</w:t>
            </w:r>
          </w:p>
        </w:tc>
      </w:tr>
      <w:tr>
        <w:trPr>
          <w:trHeight w:val="321" w:hRule="atLeast"/>
        </w:trPr>
        <w:tc>
          <w:tcPr>
            <w:tcW w:w="2521" w:type="dxa"/>
          </w:tcPr>
          <w:p>
            <w:pPr>
              <w:pStyle w:val="TableParagraph"/>
              <w:spacing w:line="301" w:lineRule="exact"/>
              <w:ind w:left="110"/>
              <w:rPr>
                <w:sz w:val="28"/>
              </w:rPr>
            </w:pPr>
            <w:r>
              <w:rPr>
                <w:sz w:val="28"/>
              </w:rPr>
              <w:t>Провідна група</w:t>
            </w:r>
          </w:p>
        </w:tc>
        <w:tc>
          <w:tcPr>
            <w:tcW w:w="989" w:type="dxa"/>
          </w:tcPr>
          <w:p>
            <w:pPr>
              <w:pStyle w:val="TableParagraph"/>
              <w:spacing w:line="301" w:lineRule="exact"/>
              <w:ind w:left="105"/>
              <w:rPr>
                <w:sz w:val="28"/>
              </w:rPr>
            </w:pPr>
            <w:r>
              <w:rPr>
                <w:sz w:val="28"/>
              </w:rPr>
              <w:t>12</w:t>
            </w:r>
          </w:p>
        </w:tc>
        <w:tc>
          <w:tcPr>
            <w:tcW w:w="1421" w:type="dxa"/>
          </w:tcPr>
          <w:p>
            <w:pPr>
              <w:pStyle w:val="TableParagraph"/>
              <w:spacing w:line="301" w:lineRule="exact"/>
              <w:ind w:left="192" w:right="182"/>
              <w:jc w:val="center"/>
              <w:rPr>
                <w:sz w:val="28"/>
              </w:rPr>
            </w:pPr>
            <w:r>
              <w:rPr>
                <w:sz w:val="28"/>
              </w:rPr>
              <w:t>12</w:t>
            </w:r>
          </w:p>
        </w:tc>
        <w:tc>
          <w:tcPr>
            <w:tcW w:w="2040" w:type="dxa"/>
          </w:tcPr>
          <w:p>
            <w:pPr>
              <w:pStyle w:val="TableParagraph"/>
              <w:spacing w:line="301" w:lineRule="exact"/>
              <w:ind w:left="105"/>
              <w:rPr>
                <w:sz w:val="28"/>
              </w:rPr>
            </w:pPr>
            <w:r>
              <w:rPr>
                <w:sz w:val="28"/>
              </w:rPr>
              <w:t>243,0±3,26</w:t>
            </w:r>
          </w:p>
        </w:tc>
        <w:tc>
          <w:tcPr>
            <w:tcW w:w="1801" w:type="dxa"/>
          </w:tcPr>
          <w:p>
            <w:pPr>
              <w:pStyle w:val="TableParagraph"/>
              <w:spacing w:line="301" w:lineRule="exact"/>
              <w:ind w:left="111"/>
              <w:rPr>
                <w:sz w:val="28"/>
              </w:rPr>
            </w:pPr>
            <w:r>
              <w:rPr>
                <w:sz w:val="28"/>
              </w:rPr>
              <w:t>159,0±0,49</w:t>
            </w:r>
          </w:p>
        </w:tc>
        <w:tc>
          <w:tcPr>
            <w:tcW w:w="980" w:type="dxa"/>
          </w:tcPr>
          <w:p>
            <w:pPr>
              <w:pStyle w:val="TableParagraph"/>
              <w:spacing w:line="301" w:lineRule="exact"/>
              <w:ind w:left="111"/>
              <w:rPr>
                <w:sz w:val="28"/>
              </w:rPr>
            </w:pPr>
            <w:r>
              <w:rPr>
                <w:sz w:val="28"/>
              </w:rPr>
              <w:t>4,0</w:t>
            </w:r>
          </w:p>
        </w:tc>
      </w:tr>
    </w:tbl>
    <w:p>
      <w:pPr>
        <w:pStyle w:val="BodyText"/>
        <w:spacing w:before="4"/>
        <w:ind w:left="0"/>
        <w:jc w:val="left"/>
        <w:rPr>
          <w:sz w:val="27"/>
        </w:rPr>
      </w:pPr>
    </w:p>
    <w:p>
      <w:pPr>
        <w:pStyle w:val="BodyText"/>
        <w:ind w:right="617" w:firstLine="710"/>
      </w:pPr>
      <w:r>
        <w:rPr/>
        <w:t>У 2019 році до основного стада свиноматок було введено 14 голів першоопоросок породи п’єтрен, які перевищують існуючі вимоги класу еліта діючої інструкції з бонітування свиней ІІ групи порід за середнім показником живої</w:t>
      </w:r>
      <w:r>
        <w:rPr>
          <w:spacing w:val="-17"/>
        </w:rPr>
        <w:t> </w:t>
      </w:r>
      <w:r>
        <w:rPr/>
        <w:t>маси</w:t>
      </w:r>
      <w:r>
        <w:rPr>
          <w:spacing w:val="-12"/>
        </w:rPr>
        <w:t> </w:t>
      </w:r>
      <w:r>
        <w:rPr/>
        <w:t>на</w:t>
      </w:r>
      <w:r>
        <w:rPr>
          <w:spacing w:val="-11"/>
        </w:rPr>
        <w:t> </w:t>
      </w:r>
      <w:r>
        <w:rPr/>
        <w:t>15,3%.</w:t>
      </w:r>
      <w:r>
        <w:rPr>
          <w:spacing w:val="-15"/>
        </w:rPr>
        <w:t> </w:t>
      </w:r>
      <w:r>
        <w:rPr/>
        <w:t>До</w:t>
      </w:r>
      <w:r>
        <w:rPr>
          <w:spacing w:val="-12"/>
        </w:rPr>
        <w:t> </w:t>
      </w:r>
      <w:r>
        <w:rPr/>
        <w:t>виділеної</w:t>
      </w:r>
      <w:r>
        <w:rPr>
          <w:spacing w:val="-17"/>
        </w:rPr>
        <w:t> </w:t>
      </w:r>
      <w:r>
        <w:rPr/>
        <w:t>провідної</w:t>
      </w:r>
      <w:r>
        <w:rPr>
          <w:spacing w:val="-17"/>
        </w:rPr>
        <w:t> </w:t>
      </w:r>
      <w:r>
        <w:rPr/>
        <w:t>групи</w:t>
      </w:r>
      <w:r>
        <w:rPr>
          <w:spacing w:val="-8"/>
        </w:rPr>
        <w:t> </w:t>
      </w:r>
      <w:r>
        <w:rPr/>
        <w:t>у</w:t>
      </w:r>
      <w:r>
        <w:rPr>
          <w:spacing w:val="-17"/>
        </w:rPr>
        <w:t> </w:t>
      </w:r>
      <w:r>
        <w:rPr/>
        <w:t>2019</w:t>
      </w:r>
      <w:r>
        <w:rPr>
          <w:spacing w:val="-12"/>
        </w:rPr>
        <w:t> </w:t>
      </w:r>
      <w:r>
        <w:rPr/>
        <w:t>році</w:t>
      </w:r>
      <w:r>
        <w:rPr>
          <w:spacing w:val="-18"/>
        </w:rPr>
        <w:t> </w:t>
      </w:r>
      <w:r>
        <w:rPr/>
        <w:t>належало</w:t>
      </w:r>
      <w:r>
        <w:rPr>
          <w:spacing w:val="-12"/>
        </w:rPr>
        <w:t> </w:t>
      </w:r>
      <w:r>
        <w:rPr/>
        <w:t>12</w:t>
      </w:r>
      <w:r>
        <w:rPr>
          <w:spacing w:val="-12"/>
        </w:rPr>
        <w:t> </w:t>
      </w:r>
      <w:r>
        <w:rPr/>
        <w:t>голів свиноматок, що мали </w:t>
      </w:r>
      <w:r>
        <w:rPr>
          <w:spacing w:val="-3"/>
        </w:rPr>
        <w:t>вік </w:t>
      </w:r>
      <w:r>
        <w:rPr/>
        <w:t>І опоросу 12 місяців, середні показники живої маси і довжини тулубу відповідно 243,0 кг і 159 см. Їх комплексна оцінка відповідала середнім балам класу еліта-рекорд. Продуктивність свиноматок стада породи п’єтрен за 2019 р. подано таблиці</w:t>
      </w:r>
      <w:r>
        <w:rPr>
          <w:spacing w:val="4"/>
        </w:rPr>
        <w:t> </w:t>
      </w:r>
      <w:r>
        <w:rPr/>
        <w:t>3.</w:t>
      </w:r>
    </w:p>
    <w:p>
      <w:pPr>
        <w:pStyle w:val="BodyText"/>
        <w:spacing w:before="3"/>
        <w:ind w:right="615" w:firstLine="566"/>
      </w:pPr>
      <w:r>
        <w:rPr/>
        <w:t>Так, середня багатоплідність свиноматок-першоопоросок племінного стада породи п’єтрен склала 8,2 голів. Середня багатоплідність свиноматок- першоопоросок, що відібрали до основного стада 9,3 голів. Середня багатоплідність свиноматок основного стада 9,5 голів, а тварин провідної групи</w:t>
      </w:r>
    </w:p>
    <w:p>
      <w:pPr>
        <w:pStyle w:val="ListParagraph"/>
        <w:numPr>
          <w:ilvl w:val="0"/>
          <w:numId w:val="14"/>
        </w:numPr>
        <w:tabs>
          <w:tab w:pos="410" w:val="left" w:leader="none"/>
        </w:tabs>
        <w:spacing w:line="321" w:lineRule="exact" w:before="0" w:after="0"/>
        <w:ind w:left="409" w:right="0" w:hanging="217"/>
        <w:jc w:val="both"/>
        <w:rPr>
          <w:sz w:val="28"/>
        </w:rPr>
      </w:pPr>
      <w:r>
        <w:rPr>
          <w:sz w:val="28"/>
        </w:rPr>
        <w:t>10,4 голів, тобто селекційний ефект склав 0,9 голів.Оцінка за</w:t>
      </w:r>
      <w:r>
        <w:rPr>
          <w:spacing w:val="37"/>
          <w:sz w:val="28"/>
        </w:rPr>
        <w:t> </w:t>
      </w:r>
      <w:r>
        <w:rPr>
          <w:sz w:val="28"/>
        </w:rPr>
        <w:t>відгодівельними</w:t>
      </w:r>
    </w:p>
    <w:p>
      <w:pPr>
        <w:spacing w:after="0" w:line="321" w:lineRule="exact"/>
        <w:jc w:val="both"/>
        <w:rPr>
          <w:sz w:val="28"/>
        </w:rPr>
        <w:sectPr>
          <w:pgSz w:w="11910" w:h="16840"/>
          <w:pgMar w:header="713" w:footer="778" w:top="1140" w:bottom="960" w:left="940" w:right="520"/>
        </w:sectPr>
      </w:pPr>
    </w:p>
    <w:p>
      <w:pPr>
        <w:pStyle w:val="BodyText"/>
        <w:spacing w:before="92"/>
        <w:ind w:right="610"/>
        <w:jc w:val="left"/>
      </w:pPr>
      <w:r>
        <w:rPr/>
        <w:t>якостями потомства за результатами зведеної відомості з бонітування 2019 року наведена у таблиці 4.</w:t>
      </w:r>
    </w:p>
    <w:p>
      <w:pPr>
        <w:pStyle w:val="BodyText"/>
        <w:spacing w:line="321" w:lineRule="exact" w:after="11"/>
        <w:ind w:left="759"/>
        <w:jc w:val="left"/>
      </w:pPr>
      <w:r>
        <w:rPr/>
        <w:t>Таблиця 3. Продуктивність свиноматок породи п’єтрен (2019 р.)</w:t>
      </w:r>
    </w:p>
    <w:tbl>
      <w:tblPr>
        <w:tblW w:w="0" w:type="auto"/>
        <w:jc w:val="left"/>
        <w:tblInd w:w="4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3"/>
        <w:gridCol w:w="1560"/>
        <w:gridCol w:w="994"/>
        <w:gridCol w:w="1027"/>
        <w:gridCol w:w="1205"/>
        <w:gridCol w:w="1210"/>
        <w:gridCol w:w="1277"/>
        <w:gridCol w:w="1138"/>
      </w:tblGrid>
      <w:tr>
        <w:trPr>
          <w:trHeight w:val="273" w:hRule="atLeast"/>
        </w:trPr>
        <w:tc>
          <w:tcPr>
            <w:tcW w:w="1383" w:type="dxa"/>
            <w:vMerge w:val="restart"/>
          </w:tcPr>
          <w:p>
            <w:pPr>
              <w:pStyle w:val="TableParagraph"/>
              <w:spacing w:line="237" w:lineRule="auto"/>
              <w:ind w:left="244" w:right="177" w:firstLine="528"/>
              <w:rPr>
                <w:sz w:val="24"/>
              </w:rPr>
            </w:pPr>
            <w:r>
              <w:rPr>
                <w:sz w:val="24"/>
              </w:rPr>
              <w:t>Вік, опоросів</w:t>
            </w:r>
          </w:p>
        </w:tc>
        <w:tc>
          <w:tcPr>
            <w:tcW w:w="1560" w:type="dxa"/>
            <w:vMerge w:val="restart"/>
          </w:tcPr>
          <w:p>
            <w:pPr>
              <w:pStyle w:val="TableParagraph"/>
              <w:spacing w:before="11"/>
              <w:rPr>
                <w:sz w:val="23"/>
              </w:rPr>
            </w:pPr>
          </w:p>
          <w:p>
            <w:pPr>
              <w:pStyle w:val="TableParagraph"/>
              <w:spacing w:line="242" w:lineRule="auto"/>
              <w:ind w:left="182" w:right="150" w:firstLine="562"/>
              <w:rPr>
                <w:sz w:val="24"/>
              </w:rPr>
            </w:pPr>
            <w:r>
              <w:rPr>
                <w:sz w:val="24"/>
              </w:rPr>
              <w:t>Групи свиноматок</w:t>
            </w:r>
          </w:p>
        </w:tc>
        <w:tc>
          <w:tcPr>
            <w:tcW w:w="994" w:type="dxa"/>
            <w:vMerge w:val="restart"/>
          </w:tcPr>
          <w:p>
            <w:pPr>
              <w:pStyle w:val="TableParagraph"/>
              <w:spacing w:before="1"/>
              <w:ind w:left="110" w:right="74"/>
              <w:rPr>
                <w:sz w:val="24"/>
              </w:rPr>
            </w:pPr>
            <w:r>
              <w:rPr>
                <w:sz w:val="24"/>
              </w:rPr>
              <w:t>Свино- маток у</w:t>
            </w:r>
          </w:p>
          <w:p>
            <w:pPr>
              <w:pStyle w:val="TableParagraph"/>
              <w:spacing w:line="237" w:lineRule="auto" w:before="3"/>
              <w:ind w:left="110" w:right="74"/>
              <w:rPr>
                <w:sz w:val="24"/>
              </w:rPr>
            </w:pPr>
            <w:r>
              <w:rPr>
                <w:sz w:val="24"/>
              </w:rPr>
              <w:t>групі, голів</w:t>
            </w:r>
          </w:p>
        </w:tc>
        <w:tc>
          <w:tcPr>
            <w:tcW w:w="1027" w:type="dxa"/>
            <w:vMerge w:val="restart"/>
          </w:tcPr>
          <w:p>
            <w:pPr>
              <w:pStyle w:val="TableParagraph"/>
              <w:spacing w:before="1"/>
              <w:ind w:left="105" w:right="203"/>
              <w:rPr>
                <w:sz w:val="24"/>
              </w:rPr>
            </w:pPr>
            <w:r>
              <w:rPr>
                <w:sz w:val="24"/>
              </w:rPr>
              <w:t>Кіль- кість</w:t>
            </w:r>
          </w:p>
          <w:p>
            <w:pPr>
              <w:pStyle w:val="TableParagraph"/>
              <w:spacing w:line="237" w:lineRule="auto" w:before="3"/>
              <w:ind w:left="105" w:right="203"/>
              <w:rPr>
                <w:sz w:val="24"/>
              </w:rPr>
            </w:pPr>
            <w:r>
              <w:rPr>
                <w:sz w:val="24"/>
              </w:rPr>
              <w:t>опоро- сів</w:t>
            </w:r>
          </w:p>
        </w:tc>
        <w:tc>
          <w:tcPr>
            <w:tcW w:w="1205" w:type="dxa"/>
            <w:vMerge w:val="restart"/>
          </w:tcPr>
          <w:p>
            <w:pPr>
              <w:pStyle w:val="TableParagraph"/>
              <w:spacing w:before="140"/>
              <w:ind w:left="106"/>
              <w:rPr>
                <w:sz w:val="24"/>
              </w:rPr>
            </w:pPr>
            <w:r>
              <w:rPr>
                <w:sz w:val="24"/>
              </w:rPr>
              <w:t>Багато- плідність</w:t>
            </w:r>
          </w:p>
          <w:p>
            <w:pPr>
              <w:pStyle w:val="TableParagraph"/>
              <w:spacing w:line="272" w:lineRule="exact"/>
              <w:ind w:left="106"/>
              <w:rPr>
                <w:sz w:val="24"/>
              </w:rPr>
            </w:pPr>
            <w:r>
              <w:rPr>
                <w:sz w:val="24"/>
              </w:rPr>
              <w:t>, гол.</w:t>
            </w:r>
          </w:p>
        </w:tc>
        <w:tc>
          <w:tcPr>
            <w:tcW w:w="3625" w:type="dxa"/>
            <w:gridSpan w:val="3"/>
          </w:tcPr>
          <w:p>
            <w:pPr>
              <w:pStyle w:val="TableParagraph"/>
              <w:spacing w:line="253" w:lineRule="exact"/>
              <w:ind w:left="822"/>
              <w:rPr>
                <w:sz w:val="24"/>
              </w:rPr>
            </w:pPr>
            <w:r>
              <w:rPr>
                <w:sz w:val="24"/>
              </w:rPr>
              <w:t>При відлученні у 28 днів</w:t>
            </w:r>
          </w:p>
        </w:tc>
      </w:tr>
      <w:tr>
        <w:trPr>
          <w:trHeight w:val="552" w:hRule="atLeast"/>
        </w:trPr>
        <w:tc>
          <w:tcPr>
            <w:tcW w:w="1383" w:type="dxa"/>
            <w:vMerge/>
            <w:tcBorders>
              <w:top w:val="nil"/>
            </w:tcBorders>
          </w:tcPr>
          <w:p>
            <w:pPr>
              <w:rPr>
                <w:sz w:val="2"/>
                <w:szCs w:val="2"/>
              </w:rPr>
            </w:pPr>
          </w:p>
        </w:tc>
        <w:tc>
          <w:tcPr>
            <w:tcW w:w="1560" w:type="dxa"/>
            <w:vMerge/>
            <w:tcBorders>
              <w:top w:val="nil"/>
            </w:tcBorders>
          </w:tcPr>
          <w:p>
            <w:pPr>
              <w:rPr>
                <w:sz w:val="2"/>
                <w:szCs w:val="2"/>
              </w:rPr>
            </w:pPr>
          </w:p>
        </w:tc>
        <w:tc>
          <w:tcPr>
            <w:tcW w:w="994" w:type="dxa"/>
            <w:vMerge/>
            <w:tcBorders>
              <w:top w:val="nil"/>
            </w:tcBorders>
          </w:tcPr>
          <w:p>
            <w:pPr>
              <w:rPr>
                <w:sz w:val="2"/>
                <w:szCs w:val="2"/>
              </w:rPr>
            </w:pPr>
          </w:p>
        </w:tc>
        <w:tc>
          <w:tcPr>
            <w:tcW w:w="1027" w:type="dxa"/>
            <w:vMerge/>
            <w:tcBorders>
              <w:top w:val="nil"/>
            </w:tcBorders>
          </w:tcPr>
          <w:p>
            <w:pPr>
              <w:rPr>
                <w:sz w:val="2"/>
                <w:szCs w:val="2"/>
              </w:rPr>
            </w:pPr>
          </w:p>
        </w:tc>
        <w:tc>
          <w:tcPr>
            <w:tcW w:w="1205" w:type="dxa"/>
            <w:vMerge/>
            <w:tcBorders>
              <w:top w:val="nil"/>
            </w:tcBorders>
          </w:tcPr>
          <w:p>
            <w:pPr>
              <w:rPr>
                <w:sz w:val="2"/>
                <w:szCs w:val="2"/>
              </w:rPr>
            </w:pPr>
          </w:p>
        </w:tc>
        <w:tc>
          <w:tcPr>
            <w:tcW w:w="1210" w:type="dxa"/>
            <w:vMerge w:val="restart"/>
          </w:tcPr>
          <w:p>
            <w:pPr>
              <w:pStyle w:val="TableParagraph"/>
              <w:spacing w:line="273" w:lineRule="exact"/>
              <w:ind w:left="111"/>
              <w:rPr>
                <w:sz w:val="24"/>
              </w:rPr>
            </w:pPr>
            <w:r>
              <w:rPr>
                <w:sz w:val="24"/>
              </w:rPr>
              <w:t>кількість</w:t>
            </w:r>
          </w:p>
          <w:p>
            <w:pPr>
              <w:pStyle w:val="TableParagraph"/>
              <w:spacing w:line="274" w:lineRule="exact" w:before="7"/>
              <w:ind w:left="111" w:right="198"/>
              <w:rPr>
                <w:sz w:val="24"/>
              </w:rPr>
            </w:pPr>
            <w:r>
              <w:rPr>
                <w:sz w:val="24"/>
              </w:rPr>
              <w:t>поросят, гол.</w:t>
            </w:r>
          </w:p>
        </w:tc>
        <w:tc>
          <w:tcPr>
            <w:tcW w:w="2415" w:type="dxa"/>
            <w:gridSpan w:val="2"/>
          </w:tcPr>
          <w:p>
            <w:pPr>
              <w:pStyle w:val="TableParagraph"/>
              <w:spacing w:line="268" w:lineRule="exact"/>
              <w:ind w:left="772" w:right="201"/>
              <w:jc w:val="center"/>
              <w:rPr>
                <w:sz w:val="24"/>
              </w:rPr>
            </w:pPr>
            <w:r>
              <w:rPr>
                <w:sz w:val="24"/>
              </w:rPr>
              <w:t>середня маса,</w:t>
            </w:r>
          </w:p>
          <w:p>
            <w:pPr>
              <w:pStyle w:val="TableParagraph"/>
              <w:spacing w:line="261" w:lineRule="exact" w:before="2"/>
              <w:ind w:left="210" w:right="201"/>
              <w:jc w:val="center"/>
              <w:rPr>
                <w:sz w:val="24"/>
              </w:rPr>
            </w:pPr>
            <w:r>
              <w:rPr>
                <w:sz w:val="24"/>
              </w:rPr>
              <w:t>кг</w:t>
            </w:r>
          </w:p>
        </w:tc>
      </w:tr>
      <w:tr>
        <w:trPr>
          <w:trHeight w:val="277" w:hRule="atLeast"/>
        </w:trPr>
        <w:tc>
          <w:tcPr>
            <w:tcW w:w="1383" w:type="dxa"/>
            <w:vMerge/>
            <w:tcBorders>
              <w:top w:val="nil"/>
            </w:tcBorders>
          </w:tcPr>
          <w:p>
            <w:pPr>
              <w:rPr>
                <w:sz w:val="2"/>
                <w:szCs w:val="2"/>
              </w:rPr>
            </w:pPr>
          </w:p>
        </w:tc>
        <w:tc>
          <w:tcPr>
            <w:tcW w:w="1560" w:type="dxa"/>
            <w:vMerge/>
            <w:tcBorders>
              <w:top w:val="nil"/>
            </w:tcBorders>
          </w:tcPr>
          <w:p>
            <w:pPr>
              <w:rPr>
                <w:sz w:val="2"/>
                <w:szCs w:val="2"/>
              </w:rPr>
            </w:pPr>
          </w:p>
        </w:tc>
        <w:tc>
          <w:tcPr>
            <w:tcW w:w="994" w:type="dxa"/>
            <w:vMerge/>
            <w:tcBorders>
              <w:top w:val="nil"/>
            </w:tcBorders>
          </w:tcPr>
          <w:p>
            <w:pPr>
              <w:rPr>
                <w:sz w:val="2"/>
                <w:szCs w:val="2"/>
              </w:rPr>
            </w:pPr>
          </w:p>
        </w:tc>
        <w:tc>
          <w:tcPr>
            <w:tcW w:w="1027" w:type="dxa"/>
            <w:vMerge/>
            <w:tcBorders>
              <w:top w:val="nil"/>
            </w:tcBorders>
          </w:tcPr>
          <w:p>
            <w:pPr>
              <w:rPr>
                <w:sz w:val="2"/>
                <w:szCs w:val="2"/>
              </w:rPr>
            </w:pPr>
          </w:p>
        </w:tc>
        <w:tc>
          <w:tcPr>
            <w:tcW w:w="1205" w:type="dxa"/>
            <w:vMerge/>
            <w:tcBorders>
              <w:top w:val="nil"/>
            </w:tcBorders>
          </w:tcPr>
          <w:p>
            <w:pPr>
              <w:rPr>
                <w:sz w:val="2"/>
                <w:szCs w:val="2"/>
              </w:rPr>
            </w:pPr>
          </w:p>
        </w:tc>
        <w:tc>
          <w:tcPr>
            <w:tcW w:w="1210" w:type="dxa"/>
            <w:vMerge/>
            <w:tcBorders>
              <w:top w:val="nil"/>
            </w:tcBorders>
          </w:tcPr>
          <w:p>
            <w:pPr>
              <w:rPr>
                <w:sz w:val="2"/>
                <w:szCs w:val="2"/>
              </w:rPr>
            </w:pPr>
          </w:p>
        </w:tc>
        <w:tc>
          <w:tcPr>
            <w:tcW w:w="1277" w:type="dxa"/>
          </w:tcPr>
          <w:p>
            <w:pPr>
              <w:pStyle w:val="TableParagraph"/>
              <w:spacing w:line="258" w:lineRule="exact"/>
              <w:ind w:left="111"/>
              <w:rPr>
                <w:sz w:val="24"/>
              </w:rPr>
            </w:pPr>
            <w:r>
              <w:rPr>
                <w:sz w:val="24"/>
              </w:rPr>
              <w:t>гнізда</w:t>
            </w:r>
          </w:p>
        </w:tc>
        <w:tc>
          <w:tcPr>
            <w:tcW w:w="1138" w:type="dxa"/>
          </w:tcPr>
          <w:p>
            <w:pPr>
              <w:pStyle w:val="TableParagraph"/>
              <w:spacing w:line="258" w:lineRule="exact"/>
              <w:ind w:left="107"/>
              <w:rPr>
                <w:sz w:val="24"/>
              </w:rPr>
            </w:pPr>
            <w:r>
              <w:rPr>
                <w:sz w:val="24"/>
              </w:rPr>
              <w:t>1 голови</w:t>
            </w:r>
          </w:p>
        </w:tc>
      </w:tr>
      <w:tr>
        <w:trPr>
          <w:trHeight w:val="1104" w:hRule="atLeast"/>
        </w:trPr>
        <w:tc>
          <w:tcPr>
            <w:tcW w:w="1383" w:type="dxa"/>
            <w:vMerge w:val="restart"/>
          </w:tcPr>
          <w:p>
            <w:pPr>
              <w:pStyle w:val="TableParagraph"/>
              <w:rPr>
                <w:sz w:val="26"/>
              </w:rPr>
            </w:pPr>
          </w:p>
          <w:p>
            <w:pPr>
              <w:pStyle w:val="TableParagraph"/>
              <w:rPr>
                <w:sz w:val="26"/>
              </w:rPr>
            </w:pPr>
          </w:p>
          <w:p>
            <w:pPr>
              <w:pStyle w:val="TableParagraph"/>
              <w:spacing w:before="7"/>
              <w:rPr>
                <w:sz w:val="31"/>
              </w:rPr>
            </w:pPr>
          </w:p>
          <w:p>
            <w:pPr>
              <w:pStyle w:val="TableParagraph"/>
              <w:ind w:right="359"/>
              <w:jc w:val="right"/>
              <w:rPr>
                <w:sz w:val="24"/>
              </w:rPr>
            </w:pPr>
            <w:r>
              <w:rPr>
                <w:sz w:val="24"/>
              </w:rPr>
              <w:t>І</w:t>
            </w:r>
          </w:p>
        </w:tc>
        <w:tc>
          <w:tcPr>
            <w:tcW w:w="1560" w:type="dxa"/>
          </w:tcPr>
          <w:p>
            <w:pPr>
              <w:pStyle w:val="TableParagraph"/>
              <w:ind w:left="110" w:right="119"/>
              <w:rPr>
                <w:sz w:val="24"/>
              </w:rPr>
            </w:pPr>
            <w:r>
              <w:rPr>
                <w:sz w:val="24"/>
              </w:rPr>
              <w:t>Усього опоросилося протягом</w:t>
            </w:r>
          </w:p>
          <w:p>
            <w:pPr>
              <w:pStyle w:val="TableParagraph"/>
              <w:spacing w:line="264" w:lineRule="exact"/>
              <w:ind w:left="110"/>
              <w:rPr>
                <w:sz w:val="24"/>
              </w:rPr>
            </w:pPr>
            <w:r>
              <w:rPr>
                <w:sz w:val="24"/>
              </w:rPr>
              <w:t>року</w:t>
            </w:r>
          </w:p>
        </w:tc>
        <w:tc>
          <w:tcPr>
            <w:tcW w:w="994" w:type="dxa"/>
          </w:tcPr>
          <w:p>
            <w:pPr>
              <w:pStyle w:val="TableParagraph"/>
              <w:spacing w:before="2"/>
              <w:rPr>
                <w:sz w:val="35"/>
              </w:rPr>
            </w:pPr>
          </w:p>
          <w:p>
            <w:pPr>
              <w:pStyle w:val="TableParagraph"/>
              <w:ind w:left="110"/>
              <w:rPr>
                <w:sz w:val="24"/>
              </w:rPr>
            </w:pPr>
            <w:r>
              <w:rPr>
                <w:sz w:val="24"/>
              </w:rPr>
              <w:t>56</w:t>
            </w:r>
          </w:p>
        </w:tc>
        <w:tc>
          <w:tcPr>
            <w:tcW w:w="1027" w:type="dxa"/>
          </w:tcPr>
          <w:p>
            <w:pPr>
              <w:pStyle w:val="TableParagraph"/>
              <w:spacing w:before="2"/>
              <w:rPr>
                <w:sz w:val="35"/>
              </w:rPr>
            </w:pPr>
          </w:p>
          <w:p>
            <w:pPr>
              <w:pStyle w:val="TableParagraph"/>
              <w:ind w:right="102"/>
              <w:jc w:val="right"/>
              <w:rPr>
                <w:sz w:val="24"/>
              </w:rPr>
            </w:pPr>
            <w:r>
              <w:rPr>
                <w:sz w:val="24"/>
              </w:rPr>
              <w:t>56</w:t>
            </w:r>
          </w:p>
        </w:tc>
        <w:tc>
          <w:tcPr>
            <w:tcW w:w="1205" w:type="dxa"/>
          </w:tcPr>
          <w:p>
            <w:pPr>
              <w:pStyle w:val="TableParagraph"/>
              <w:spacing w:before="2"/>
              <w:rPr>
                <w:sz w:val="35"/>
              </w:rPr>
            </w:pPr>
          </w:p>
          <w:p>
            <w:pPr>
              <w:pStyle w:val="TableParagraph"/>
              <w:ind w:left="106"/>
              <w:rPr>
                <w:sz w:val="24"/>
              </w:rPr>
            </w:pPr>
            <w:r>
              <w:rPr>
                <w:sz w:val="24"/>
              </w:rPr>
              <w:t>8,2±0,27</w:t>
            </w:r>
          </w:p>
        </w:tc>
        <w:tc>
          <w:tcPr>
            <w:tcW w:w="1210" w:type="dxa"/>
          </w:tcPr>
          <w:p>
            <w:pPr>
              <w:pStyle w:val="TableParagraph"/>
              <w:spacing w:before="2"/>
              <w:rPr>
                <w:sz w:val="35"/>
              </w:rPr>
            </w:pPr>
          </w:p>
          <w:p>
            <w:pPr>
              <w:pStyle w:val="TableParagraph"/>
              <w:ind w:left="111"/>
              <w:rPr>
                <w:sz w:val="24"/>
              </w:rPr>
            </w:pPr>
            <w:r>
              <w:rPr>
                <w:sz w:val="24"/>
              </w:rPr>
              <w:t>7,4±0,34</w:t>
            </w:r>
          </w:p>
        </w:tc>
        <w:tc>
          <w:tcPr>
            <w:tcW w:w="1277" w:type="dxa"/>
          </w:tcPr>
          <w:p>
            <w:pPr>
              <w:pStyle w:val="TableParagraph"/>
              <w:spacing w:before="2"/>
              <w:rPr>
                <w:sz w:val="35"/>
              </w:rPr>
            </w:pPr>
          </w:p>
          <w:p>
            <w:pPr>
              <w:pStyle w:val="TableParagraph"/>
              <w:ind w:left="111"/>
              <w:rPr>
                <w:sz w:val="24"/>
              </w:rPr>
            </w:pPr>
            <w:r>
              <w:rPr>
                <w:sz w:val="24"/>
              </w:rPr>
              <w:t>58,5±0,49</w:t>
            </w:r>
          </w:p>
        </w:tc>
        <w:tc>
          <w:tcPr>
            <w:tcW w:w="1138" w:type="dxa"/>
          </w:tcPr>
          <w:p>
            <w:pPr>
              <w:pStyle w:val="TableParagraph"/>
              <w:spacing w:before="2"/>
              <w:rPr>
                <w:sz w:val="35"/>
              </w:rPr>
            </w:pPr>
          </w:p>
          <w:p>
            <w:pPr>
              <w:pStyle w:val="TableParagraph"/>
              <w:ind w:left="107"/>
              <w:rPr>
                <w:sz w:val="24"/>
              </w:rPr>
            </w:pPr>
            <w:r>
              <w:rPr>
                <w:sz w:val="24"/>
              </w:rPr>
              <w:t>7,9±0,18</w:t>
            </w:r>
          </w:p>
        </w:tc>
      </w:tr>
      <w:tr>
        <w:trPr>
          <w:trHeight w:val="1103" w:hRule="atLeast"/>
        </w:trPr>
        <w:tc>
          <w:tcPr>
            <w:tcW w:w="1383" w:type="dxa"/>
            <w:vMerge/>
            <w:tcBorders>
              <w:top w:val="nil"/>
            </w:tcBorders>
          </w:tcPr>
          <w:p>
            <w:pPr>
              <w:rPr>
                <w:sz w:val="2"/>
                <w:szCs w:val="2"/>
              </w:rPr>
            </w:pPr>
          </w:p>
        </w:tc>
        <w:tc>
          <w:tcPr>
            <w:tcW w:w="1560" w:type="dxa"/>
          </w:tcPr>
          <w:p>
            <w:pPr>
              <w:pStyle w:val="TableParagraph"/>
              <w:tabs>
                <w:tab w:pos="1113" w:val="left" w:leader="none"/>
              </w:tabs>
              <w:spacing w:line="267" w:lineRule="exact"/>
              <w:ind w:left="110"/>
              <w:rPr>
                <w:sz w:val="24"/>
              </w:rPr>
            </w:pPr>
            <w:r>
              <w:rPr>
                <w:sz w:val="24"/>
              </w:rPr>
              <w:t>в</w:t>
              <w:tab/>
              <w:t>т.ч.</w:t>
            </w:r>
          </w:p>
          <w:p>
            <w:pPr>
              <w:pStyle w:val="TableParagraph"/>
              <w:tabs>
                <w:tab w:pos="1213" w:val="left" w:leader="none"/>
              </w:tabs>
              <w:spacing w:line="275" w:lineRule="exact"/>
              <w:ind w:left="110"/>
              <w:rPr>
                <w:sz w:val="24"/>
              </w:rPr>
            </w:pPr>
            <w:r>
              <w:rPr>
                <w:sz w:val="24"/>
              </w:rPr>
              <w:t>введено</w:t>
              <w:tab/>
              <w:t>до</w:t>
            </w:r>
          </w:p>
          <w:p>
            <w:pPr>
              <w:pStyle w:val="TableParagraph"/>
              <w:spacing w:line="274" w:lineRule="exact" w:before="7"/>
              <w:ind w:left="110" w:right="364"/>
              <w:rPr>
                <w:sz w:val="24"/>
              </w:rPr>
            </w:pPr>
            <w:r>
              <w:rPr>
                <w:sz w:val="24"/>
              </w:rPr>
              <w:t>основного стада</w:t>
            </w:r>
          </w:p>
        </w:tc>
        <w:tc>
          <w:tcPr>
            <w:tcW w:w="994" w:type="dxa"/>
          </w:tcPr>
          <w:p>
            <w:pPr>
              <w:pStyle w:val="TableParagraph"/>
              <w:spacing w:before="2"/>
              <w:rPr>
                <w:sz w:val="35"/>
              </w:rPr>
            </w:pPr>
          </w:p>
          <w:p>
            <w:pPr>
              <w:pStyle w:val="TableParagraph"/>
              <w:ind w:left="110"/>
              <w:rPr>
                <w:sz w:val="24"/>
              </w:rPr>
            </w:pPr>
            <w:r>
              <w:rPr>
                <w:sz w:val="24"/>
              </w:rPr>
              <w:t>14</w:t>
            </w:r>
          </w:p>
        </w:tc>
        <w:tc>
          <w:tcPr>
            <w:tcW w:w="1027" w:type="dxa"/>
          </w:tcPr>
          <w:p>
            <w:pPr>
              <w:pStyle w:val="TableParagraph"/>
              <w:spacing w:before="2"/>
              <w:rPr>
                <w:sz w:val="35"/>
              </w:rPr>
            </w:pPr>
          </w:p>
          <w:p>
            <w:pPr>
              <w:pStyle w:val="TableParagraph"/>
              <w:ind w:right="102"/>
              <w:jc w:val="right"/>
              <w:rPr>
                <w:sz w:val="24"/>
              </w:rPr>
            </w:pPr>
            <w:r>
              <w:rPr>
                <w:sz w:val="24"/>
              </w:rPr>
              <w:t>14</w:t>
            </w:r>
          </w:p>
        </w:tc>
        <w:tc>
          <w:tcPr>
            <w:tcW w:w="1205" w:type="dxa"/>
          </w:tcPr>
          <w:p>
            <w:pPr>
              <w:pStyle w:val="TableParagraph"/>
              <w:spacing w:before="2"/>
              <w:rPr>
                <w:sz w:val="35"/>
              </w:rPr>
            </w:pPr>
          </w:p>
          <w:p>
            <w:pPr>
              <w:pStyle w:val="TableParagraph"/>
              <w:ind w:left="106"/>
              <w:rPr>
                <w:sz w:val="24"/>
              </w:rPr>
            </w:pPr>
            <w:r>
              <w:rPr>
                <w:sz w:val="24"/>
              </w:rPr>
              <w:t>9,3±0,24</w:t>
            </w:r>
          </w:p>
        </w:tc>
        <w:tc>
          <w:tcPr>
            <w:tcW w:w="1210" w:type="dxa"/>
          </w:tcPr>
          <w:p>
            <w:pPr>
              <w:pStyle w:val="TableParagraph"/>
              <w:spacing w:before="2"/>
              <w:rPr>
                <w:sz w:val="35"/>
              </w:rPr>
            </w:pPr>
          </w:p>
          <w:p>
            <w:pPr>
              <w:pStyle w:val="TableParagraph"/>
              <w:ind w:left="111"/>
              <w:rPr>
                <w:sz w:val="24"/>
              </w:rPr>
            </w:pPr>
            <w:r>
              <w:rPr>
                <w:sz w:val="24"/>
              </w:rPr>
              <w:t>8,8±0,26</w:t>
            </w:r>
          </w:p>
        </w:tc>
        <w:tc>
          <w:tcPr>
            <w:tcW w:w="1277" w:type="dxa"/>
          </w:tcPr>
          <w:p>
            <w:pPr>
              <w:pStyle w:val="TableParagraph"/>
              <w:spacing w:before="2"/>
              <w:rPr>
                <w:sz w:val="35"/>
              </w:rPr>
            </w:pPr>
          </w:p>
          <w:p>
            <w:pPr>
              <w:pStyle w:val="TableParagraph"/>
              <w:ind w:left="111"/>
              <w:rPr>
                <w:sz w:val="24"/>
              </w:rPr>
            </w:pPr>
            <w:r>
              <w:rPr>
                <w:sz w:val="24"/>
              </w:rPr>
              <w:t>73,9±0,52</w:t>
            </w:r>
          </w:p>
        </w:tc>
        <w:tc>
          <w:tcPr>
            <w:tcW w:w="1138" w:type="dxa"/>
          </w:tcPr>
          <w:p>
            <w:pPr>
              <w:pStyle w:val="TableParagraph"/>
              <w:spacing w:before="2"/>
              <w:rPr>
                <w:sz w:val="35"/>
              </w:rPr>
            </w:pPr>
          </w:p>
          <w:p>
            <w:pPr>
              <w:pStyle w:val="TableParagraph"/>
              <w:ind w:left="107"/>
              <w:rPr>
                <w:sz w:val="24"/>
              </w:rPr>
            </w:pPr>
            <w:r>
              <w:rPr>
                <w:sz w:val="24"/>
              </w:rPr>
              <w:t>8,4±0,11</w:t>
            </w:r>
          </w:p>
        </w:tc>
      </w:tr>
      <w:tr>
        <w:trPr>
          <w:trHeight w:val="551" w:hRule="atLeast"/>
        </w:trPr>
        <w:tc>
          <w:tcPr>
            <w:tcW w:w="1383" w:type="dxa"/>
            <w:vMerge w:val="restart"/>
          </w:tcPr>
          <w:p>
            <w:pPr>
              <w:pStyle w:val="TableParagraph"/>
              <w:spacing w:before="6"/>
              <w:rPr>
                <w:sz w:val="35"/>
              </w:rPr>
            </w:pPr>
          </w:p>
          <w:p>
            <w:pPr>
              <w:pStyle w:val="TableParagraph"/>
              <w:spacing w:line="242" w:lineRule="auto" w:before="1"/>
              <w:ind w:left="326" w:right="236" w:firstLine="504"/>
              <w:rPr>
                <w:sz w:val="24"/>
              </w:rPr>
            </w:pPr>
            <w:r>
              <w:rPr>
                <w:sz w:val="24"/>
              </w:rPr>
              <w:t>ІІ і старше</w:t>
            </w:r>
          </w:p>
        </w:tc>
        <w:tc>
          <w:tcPr>
            <w:tcW w:w="1560" w:type="dxa"/>
          </w:tcPr>
          <w:p>
            <w:pPr>
              <w:pStyle w:val="TableParagraph"/>
              <w:spacing w:line="268" w:lineRule="exact"/>
              <w:ind w:left="110"/>
              <w:rPr>
                <w:sz w:val="24"/>
              </w:rPr>
            </w:pPr>
            <w:r>
              <w:rPr>
                <w:sz w:val="24"/>
              </w:rPr>
              <w:t>Основне</w:t>
            </w:r>
          </w:p>
          <w:p>
            <w:pPr>
              <w:pStyle w:val="TableParagraph"/>
              <w:spacing w:line="261" w:lineRule="exact" w:before="2"/>
              <w:ind w:left="110"/>
              <w:rPr>
                <w:sz w:val="24"/>
              </w:rPr>
            </w:pPr>
            <w:r>
              <w:rPr>
                <w:sz w:val="24"/>
              </w:rPr>
              <w:t>стадо</w:t>
            </w:r>
          </w:p>
        </w:tc>
        <w:tc>
          <w:tcPr>
            <w:tcW w:w="994" w:type="dxa"/>
          </w:tcPr>
          <w:p>
            <w:pPr>
              <w:pStyle w:val="TableParagraph"/>
              <w:spacing w:before="131"/>
              <w:ind w:left="110"/>
              <w:rPr>
                <w:sz w:val="24"/>
              </w:rPr>
            </w:pPr>
            <w:r>
              <w:rPr>
                <w:sz w:val="24"/>
              </w:rPr>
              <w:t>40</w:t>
            </w:r>
          </w:p>
        </w:tc>
        <w:tc>
          <w:tcPr>
            <w:tcW w:w="1027" w:type="dxa"/>
          </w:tcPr>
          <w:p>
            <w:pPr>
              <w:pStyle w:val="TableParagraph"/>
              <w:spacing w:before="131"/>
              <w:ind w:right="102"/>
              <w:jc w:val="right"/>
              <w:rPr>
                <w:sz w:val="24"/>
              </w:rPr>
            </w:pPr>
            <w:r>
              <w:rPr>
                <w:sz w:val="24"/>
              </w:rPr>
              <w:t>88</w:t>
            </w:r>
          </w:p>
        </w:tc>
        <w:tc>
          <w:tcPr>
            <w:tcW w:w="1205" w:type="dxa"/>
          </w:tcPr>
          <w:p>
            <w:pPr>
              <w:pStyle w:val="TableParagraph"/>
              <w:spacing w:before="131"/>
              <w:ind w:left="106"/>
              <w:rPr>
                <w:sz w:val="24"/>
              </w:rPr>
            </w:pPr>
            <w:r>
              <w:rPr>
                <w:sz w:val="24"/>
              </w:rPr>
              <w:t>9,5±0,29</w:t>
            </w:r>
          </w:p>
        </w:tc>
        <w:tc>
          <w:tcPr>
            <w:tcW w:w="1210" w:type="dxa"/>
          </w:tcPr>
          <w:p>
            <w:pPr>
              <w:pStyle w:val="TableParagraph"/>
              <w:spacing w:before="131"/>
              <w:ind w:left="111"/>
              <w:rPr>
                <w:sz w:val="24"/>
              </w:rPr>
            </w:pPr>
            <w:r>
              <w:rPr>
                <w:sz w:val="24"/>
              </w:rPr>
              <w:t>9,0±0,31</w:t>
            </w:r>
          </w:p>
        </w:tc>
        <w:tc>
          <w:tcPr>
            <w:tcW w:w="1277" w:type="dxa"/>
          </w:tcPr>
          <w:p>
            <w:pPr>
              <w:pStyle w:val="TableParagraph"/>
              <w:spacing w:before="131"/>
              <w:ind w:left="111"/>
              <w:rPr>
                <w:sz w:val="24"/>
              </w:rPr>
            </w:pPr>
            <w:r>
              <w:rPr>
                <w:sz w:val="24"/>
              </w:rPr>
              <w:t>79,2±0,46</w:t>
            </w:r>
          </w:p>
        </w:tc>
        <w:tc>
          <w:tcPr>
            <w:tcW w:w="1138" w:type="dxa"/>
          </w:tcPr>
          <w:p>
            <w:pPr>
              <w:pStyle w:val="TableParagraph"/>
              <w:spacing w:before="131"/>
              <w:ind w:left="107"/>
              <w:rPr>
                <w:sz w:val="24"/>
              </w:rPr>
            </w:pPr>
            <w:r>
              <w:rPr>
                <w:sz w:val="24"/>
              </w:rPr>
              <w:t>8,8±0,13</w:t>
            </w:r>
          </w:p>
        </w:tc>
      </w:tr>
      <w:tr>
        <w:trPr>
          <w:trHeight w:val="830" w:hRule="atLeast"/>
        </w:trPr>
        <w:tc>
          <w:tcPr>
            <w:tcW w:w="1383" w:type="dxa"/>
            <w:vMerge/>
            <w:tcBorders>
              <w:top w:val="nil"/>
            </w:tcBorders>
          </w:tcPr>
          <w:p>
            <w:pPr>
              <w:rPr>
                <w:sz w:val="2"/>
                <w:szCs w:val="2"/>
              </w:rPr>
            </w:pPr>
          </w:p>
        </w:tc>
        <w:tc>
          <w:tcPr>
            <w:tcW w:w="1560" w:type="dxa"/>
          </w:tcPr>
          <w:p>
            <w:pPr>
              <w:pStyle w:val="TableParagraph"/>
              <w:tabs>
                <w:tab w:pos="1108" w:val="left" w:leader="none"/>
              </w:tabs>
              <w:spacing w:line="268" w:lineRule="exact"/>
              <w:ind w:left="110"/>
              <w:rPr>
                <w:sz w:val="24"/>
              </w:rPr>
            </w:pPr>
            <w:r>
              <w:rPr>
                <w:sz w:val="24"/>
              </w:rPr>
              <w:t>В</w:t>
              <w:tab/>
              <w:t>т.ч.</w:t>
            </w:r>
          </w:p>
          <w:p>
            <w:pPr>
              <w:pStyle w:val="TableParagraph"/>
              <w:spacing w:line="274" w:lineRule="exact" w:before="7"/>
              <w:ind w:left="110"/>
              <w:rPr>
                <w:sz w:val="24"/>
              </w:rPr>
            </w:pPr>
            <w:r>
              <w:rPr>
                <w:sz w:val="24"/>
              </w:rPr>
              <w:t>провідна група</w:t>
            </w:r>
          </w:p>
        </w:tc>
        <w:tc>
          <w:tcPr>
            <w:tcW w:w="994" w:type="dxa"/>
          </w:tcPr>
          <w:p>
            <w:pPr>
              <w:pStyle w:val="TableParagraph"/>
              <w:spacing w:before="6"/>
              <w:rPr>
                <w:sz w:val="23"/>
              </w:rPr>
            </w:pPr>
          </w:p>
          <w:p>
            <w:pPr>
              <w:pStyle w:val="TableParagraph"/>
              <w:ind w:left="110"/>
              <w:rPr>
                <w:sz w:val="24"/>
              </w:rPr>
            </w:pPr>
            <w:r>
              <w:rPr>
                <w:sz w:val="24"/>
              </w:rPr>
              <w:t>12</w:t>
            </w:r>
          </w:p>
        </w:tc>
        <w:tc>
          <w:tcPr>
            <w:tcW w:w="1027" w:type="dxa"/>
          </w:tcPr>
          <w:p>
            <w:pPr>
              <w:pStyle w:val="TableParagraph"/>
              <w:spacing w:before="6"/>
              <w:rPr>
                <w:sz w:val="23"/>
              </w:rPr>
            </w:pPr>
          </w:p>
          <w:p>
            <w:pPr>
              <w:pStyle w:val="TableParagraph"/>
              <w:ind w:right="102"/>
              <w:jc w:val="right"/>
              <w:rPr>
                <w:sz w:val="24"/>
              </w:rPr>
            </w:pPr>
            <w:r>
              <w:rPr>
                <w:sz w:val="24"/>
              </w:rPr>
              <w:t>30</w:t>
            </w:r>
          </w:p>
        </w:tc>
        <w:tc>
          <w:tcPr>
            <w:tcW w:w="1205" w:type="dxa"/>
          </w:tcPr>
          <w:p>
            <w:pPr>
              <w:pStyle w:val="TableParagraph"/>
              <w:spacing w:before="6"/>
              <w:rPr>
                <w:sz w:val="23"/>
              </w:rPr>
            </w:pPr>
          </w:p>
          <w:p>
            <w:pPr>
              <w:pStyle w:val="TableParagraph"/>
              <w:ind w:left="106"/>
              <w:rPr>
                <w:sz w:val="24"/>
              </w:rPr>
            </w:pPr>
            <w:r>
              <w:rPr>
                <w:sz w:val="24"/>
              </w:rPr>
              <w:t>10,4±0,37</w:t>
            </w:r>
          </w:p>
        </w:tc>
        <w:tc>
          <w:tcPr>
            <w:tcW w:w="1210" w:type="dxa"/>
          </w:tcPr>
          <w:p>
            <w:pPr>
              <w:pStyle w:val="TableParagraph"/>
              <w:spacing w:before="6"/>
              <w:rPr>
                <w:sz w:val="23"/>
              </w:rPr>
            </w:pPr>
          </w:p>
          <w:p>
            <w:pPr>
              <w:pStyle w:val="TableParagraph"/>
              <w:ind w:left="111"/>
              <w:rPr>
                <w:sz w:val="24"/>
              </w:rPr>
            </w:pPr>
            <w:r>
              <w:rPr>
                <w:sz w:val="24"/>
              </w:rPr>
              <w:t>9,3±0,40</w:t>
            </w:r>
          </w:p>
        </w:tc>
        <w:tc>
          <w:tcPr>
            <w:tcW w:w="1277" w:type="dxa"/>
          </w:tcPr>
          <w:p>
            <w:pPr>
              <w:pStyle w:val="TableParagraph"/>
              <w:spacing w:before="6"/>
              <w:rPr>
                <w:sz w:val="23"/>
              </w:rPr>
            </w:pPr>
          </w:p>
          <w:p>
            <w:pPr>
              <w:pStyle w:val="TableParagraph"/>
              <w:ind w:left="111"/>
              <w:rPr>
                <w:sz w:val="24"/>
              </w:rPr>
            </w:pPr>
            <w:r>
              <w:rPr>
                <w:sz w:val="24"/>
              </w:rPr>
              <w:t>83,7±0,51</w:t>
            </w:r>
          </w:p>
        </w:tc>
        <w:tc>
          <w:tcPr>
            <w:tcW w:w="1138" w:type="dxa"/>
          </w:tcPr>
          <w:p>
            <w:pPr>
              <w:pStyle w:val="TableParagraph"/>
              <w:spacing w:before="6"/>
              <w:rPr>
                <w:sz w:val="23"/>
              </w:rPr>
            </w:pPr>
          </w:p>
          <w:p>
            <w:pPr>
              <w:pStyle w:val="TableParagraph"/>
              <w:ind w:left="107"/>
              <w:rPr>
                <w:sz w:val="24"/>
              </w:rPr>
            </w:pPr>
            <w:r>
              <w:rPr>
                <w:sz w:val="24"/>
              </w:rPr>
              <w:t>9,0±0,16</w:t>
            </w:r>
          </w:p>
        </w:tc>
      </w:tr>
      <w:tr>
        <w:trPr>
          <w:trHeight w:val="1103" w:hRule="atLeast"/>
        </w:trPr>
        <w:tc>
          <w:tcPr>
            <w:tcW w:w="1383" w:type="dxa"/>
          </w:tcPr>
          <w:p>
            <w:pPr>
              <w:pStyle w:val="TableParagraph"/>
              <w:rPr>
                <w:sz w:val="24"/>
              </w:rPr>
            </w:pPr>
          </w:p>
        </w:tc>
        <w:tc>
          <w:tcPr>
            <w:tcW w:w="1560" w:type="dxa"/>
          </w:tcPr>
          <w:p>
            <w:pPr>
              <w:pStyle w:val="TableParagraph"/>
              <w:ind w:left="110" w:right="96"/>
              <w:jc w:val="both"/>
              <w:rPr>
                <w:sz w:val="24"/>
              </w:rPr>
            </w:pPr>
            <w:r>
              <w:rPr>
                <w:sz w:val="24"/>
              </w:rPr>
              <w:t>За усіма матками (без вибраку-</w:t>
            </w:r>
          </w:p>
          <w:p>
            <w:pPr>
              <w:pStyle w:val="TableParagraph"/>
              <w:spacing w:line="264" w:lineRule="exact"/>
              <w:ind w:left="110"/>
              <w:rPr>
                <w:sz w:val="24"/>
              </w:rPr>
            </w:pPr>
            <w:r>
              <w:rPr>
                <w:sz w:val="24"/>
              </w:rPr>
              <w:t>ваних)*</w:t>
            </w:r>
          </w:p>
        </w:tc>
        <w:tc>
          <w:tcPr>
            <w:tcW w:w="994" w:type="dxa"/>
          </w:tcPr>
          <w:p>
            <w:pPr>
              <w:pStyle w:val="TableParagraph"/>
              <w:spacing w:before="2"/>
              <w:rPr>
                <w:sz w:val="35"/>
              </w:rPr>
            </w:pPr>
          </w:p>
          <w:p>
            <w:pPr>
              <w:pStyle w:val="TableParagraph"/>
              <w:ind w:left="110"/>
              <w:rPr>
                <w:sz w:val="24"/>
              </w:rPr>
            </w:pPr>
            <w:r>
              <w:rPr>
                <w:sz w:val="24"/>
              </w:rPr>
              <w:t>54</w:t>
            </w:r>
          </w:p>
        </w:tc>
        <w:tc>
          <w:tcPr>
            <w:tcW w:w="1027" w:type="dxa"/>
          </w:tcPr>
          <w:p>
            <w:pPr>
              <w:pStyle w:val="TableParagraph"/>
              <w:spacing w:before="2"/>
              <w:rPr>
                <w:sz w:val="35"/>
              </w:rPr>
            </w:pPr>
          </w:p>
          <w:p>
            <w:pPr>
              <w:pStyle w:val="TableParagraph"/>
              <w:ind w:left="105"/>
              <w:rPr>
                <w:sz w:val="24"/>
              </w:rPr>
            </w:pPr>
            <w:r>
              <w:rPr>
                <w:sz w:val="24"/>
              </w:rPr>
              <w:t>102</w:t>
            </w:r>
          </w:p>
        </w:tc>
        <w:tc>
          <w:tcPr>
            <w:tcW w:w="1205" w:type="dxa"/>
          </w:tcPr>
          <w:p>
            <w:pPr>
              <w:pStyle w:val="TableParagraph"/>
              <w:spacing w:before="2"/>
              <w:rPr>
                <w:sz w:val="35"/>
              </w:rPr>
            </w:pPr>
          </w:p>
          <w:p>
            <w:pPr>
              <w:pStyle w:val="TableParagraph"/>
              <w:ind w:left="106"/>
              <w:rPr>
                <w:sz w:val="24"/>
              </w:rPr>
            </w:pPr>
            <w:r>
              <w:rPr>
                <w:sz w:val="24"/>
              </w:rPr>
              <w:t>9,5±0,28</w:t>
            </w:r>
          </w:p>
        </w:tc>
        <w:tc>
          <w:tcPr>
            <w:tcW w:w="1210" w:type="dxa"/>
          </w:tcPr>
          <w:p>
            <w:pPr>
              <w:pStyle w:val="TableParagraph"/>
              <w:spacing w:before="2"/>
              <w:rPr>
                <w:sz w:val="35"/>
              </w:rPr>
            </w:pPr>
          </w:p>
          <w:p>
            <w:pPr>
              <w:pStyle w:val="TableParagraph"/>
              <w:ind w:left="111"/>
              <w:rPr>
                <w:sz w:val="24"/>
              </w:rPr>
            </w:pPr>
            <w:r>
              <w:rPr>
                <w:sz w:val="24"/>
              </w:rPr>
              <w:t>9,0±0,30</w:t>
            </w:r>
          </w:p>
        </w:tc>
        <w:tc>
          <w:tcPr>
            <w:tcW w:w="1277" w:type="dxa"/>
          </w:tcPr>
          <w:p>
            <w:pPr>
              <w:pStyle w:val="TableParagraph"/>
              <w:spacing w:before="2"/>
              <w:rPr>
                <w:sz w:val="35"/>
              </w:rPr>
            </w:pPr>
          </w:p>
          <w:p>
            <w:pPr>
              <w:pStyle w:val="TableParagraph"/>
              <w:ind w:left="111"/>
              <w:rPr>
                <w:sz w:val="24"/>
              </w:rPr>
            </w:pPr>
            <w:r>
              <w:rPr>
                <w:sz w:val="24"/>
              </w:rPr>
              <w:t>78,5±0,47</w:t>
            </w:r>
          </w:p>
        </w:tc>
        <w:tc>
          <w:tcPr>
            <w:tcW w:w="1138" w:type="dxa"/>
          </w:tcPr>
          <w:p>
            <w:pPr>
              <w:pStyle w:val="TableParagraph"/>
              <w:spacing w:before="2"/>
              <w:rPr>
                <w:sz w:val="35"/>
              </w:rPr>
            </w:pPr>
          </w:p>
          <w:p>
            <w:pPr>
              <w:pStyle w:val="TableParagraph"/>
              <w:ind w:left="107"/>
              <w:rPr>
                <w:sz w:val="24"/>
              </w:rPr>
            </w:pPr>
            <w:r>
              <w:rPr>
                <w:sz w:val="24"/>
              </w:rPr>
              <w:t>8,7±0,13</w:t>
            </w:r>
          </w:p>
        </w:tc>
      </w:tr>
    </w:tbl>
    <w:p>
      <w:pPr>
        <w:pStyle w:val="BodyText"/>
        <w:spacing w:before="4"/>
        <w:ind w:left="0"/>
        <w:jc w:val="left"/>
        <w:rPr>
          <w:sz w:val="27"/>
        </w:rPr>
      </w:pPr>
    </w:p>
    <w:p>
      <w:pPr>
        <w:pStyle w:val="BodyText"/>
        <w:ind w:right="607" w:firstLine="710"/>
      </w:pPr>
      <w:r>
        <w:rPr/>
        <w:t>З даної таблиці видно, що в умовах господарства у 2019 році було оцінено 4</w:t>
      </w:r>
      <w:r>
        <w:rPr>
          <w:spacing w:val="-11"/>
        </w:rPr>
        <w:t> </w:t>
      </w:r>
      <w:r>
        <w:rPr/>
        <w:t>кнури-плідники</w:t>
      </w:r>
      <w:r>
        <w:rPr>
          <w:spacing w:val="-11"/>
        </w:rPr>
        <w:t> </w:t>
      </w:r>
      <w:r>
        <w:rPr/>
        <w:t>та</w:t>
      </w:r>
      <w:r>
        <w:rPr>
          <w:spacing w:val="-10"/>
        </w:rPr>
        <w:t> </w:t>
      </w:r>
      <w:r>
        <w:rPr/>
        <w:t>16</w:t>
      </w:r>
      <w:r>
        <w:rPr>
          <w:spacing w:val="-11"/>
        </w:rPr>
        <w:t> </w:t>
      </w:r>
      <w:r>
        <w:rPr/>
        <w:t>голів</w:t>
      </w:r>
      <w:r>
        <w:rPr>
          <w:spacing w:val="-13"/>
        </w:rPr>
        <w:t> </w:t>
      </w:r>
      <w:r>
        <w:rPr/>
        <w:t>свиноматок,</w:t>
      </w:r>
      <w:r>
        <w:rPr>
          <w:spacing w:val="-8"/>
        </w:rPr>
        <w:t> </w:t>
      </w:r>
      <w:r>
        <w:rPr/>
        <w:t>що</w:t>
      </w:r>
      <w:r>
        <w:rPr>
          <w:spacing w:val="-11"/>
        </w:rPr>
        <w:t> </w:t>
      </w:r>
      <w:r>
        <w:rPr/>
        <w:t>в</w:t>
      </w:r>
      <w:r>
        <w:rPr>
          <w:spacing w:val="-13"/>
        </w:rPr>
        <w:t> </w:t>
      </w:r>
      <w:r>
        <w:rPr/>
        <w:t>свою</w:t>
      </w:r>
      <w:r>
        <w:rPr>
          <w:spacing w:val="-13"/>
        </w:rPr>
        <w:t> </w:t>
      </w:r>
      <w:r>
        <w:rPr/>
        <w:t>чергу</w:t>
      </w:r>
      <w:r>
        <w:rPr>
          <w:spacing w:val="-15"/>
        </w:rPr>
        <w:t> </w:t>
      </w:r>
      <w:r>
        <w:rPr/>
        <w:t>дало</w:t>
      </w:r>
      <w:r>
        <w:rPr>
          <w:spacing w:val="-11"/>
        </w:rPr>
        <w:t> </w:t>
      </w:r>
      <w:r>
        <w:rPr/>
        <w:t>змогу</w:t>
      </w:r>
      <w:r>
        <w:rPr>
          <w:spacing w:val="-16"/>
        </w:rPr>
        <w:t> </w:t>
      </w:r>
      <w:r>
        <w:rPr/>
        <w:t>оцінити</w:t>
      </w:r>
      <w:r>
        <w:rPr>
          <w:spacing w:val="-11"/>
        </w:rPr>
        <w:t> </w:t>
      </w:r>
      <w:r>
        <w:rPr/>
        <w:t>64 голови молодняку породи п’єтрен, середній вік досягнення живої маси 100 кг яких склав 156 днів при витратах корму 3,1 корм. од. повноцінного </w:t>
      </w:r>
      <w:r>
        <w:rPr>
          <w:spacing w:val="2"/>
        </w:rPr>
        <w:t>комбікорму </w:t>
      </w:r>
      <w:r>
        <w:rPr/>
        <w:t>на 1 кг приросту, довжині тулубу 94 см, товщині шпику на рівні </w:t>
      </w:r>
      <w:r>
        <w:rPr>
          <w:spacing w:val="5"/>
        </w:rPr>
        <w:t>6-7 </w:t>
      </w:r>
      <w:r>
        <w:rPr/>
        <w:t>грудних хребців 8</w:t>
      </w:r>
      <w:r>
        <w:rPr>
          <w:spacing w:val="-1"/>
        </w:rPr>
        <w:t> </w:t>
      </w:r>
      <w:r>
        <w:rPr/>
        <w:t>мм.</w:t>
      </w:r>
    </w:p>
    <w:p>
      <w:pPr>
        <w:pStyle w:val="BodyText"/>
        <w:spacing w:after="5"/>
        <w:ind w:right="623" w:firstLine="710"/>
      </w:pPr>
      <w:r>
        <w:rPr/>
        <w:t>Таблиця 4. Оцінка за відгодівельними та м’ясними якостями потомства (2019 р.)</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133"/>
        <w:gridCol w:w="1277"/>
        <w:gridCol w:w="1844"/>
        <w:gridCol w:w="1133"/>
        <w:gridCol w:w="1277"/>
        <w:gridCol w:w="1277"/>
      </w:tblGrid>
      <w:tr>
        <w:trPr>
          <w:trHeight w:val="1382" w:hRule="atLeast"/>
        </w:trPr>
        <w:tc>
          <w:tcPr>
            <w:tcW w:w="1810" w:type="dxa"/>
          </w:tcPr>
          <w:p>
            <w:pPr>
              <w:pStyle w:val="TableParagraph"/>
              <w:spacing w:line="273" w:lineRule="exact"/>
              <w:ind w:left="893"/>
              <w:rPr>
                <w:sz w:val="24"/>
              </w:rPr>
            </w:pPr>
            <w:r>
              <w:rPr>
                <w:sz w:val="24"/>
              </w:rPr>
              <w:t>Стать</w:t>
            </w:r>
          </w:p>
        </w:tc>
        <w:tc>
          <w:tcPr>
            <w:tcW w:w="1133" w:type="dxa"/>
          </w:tcPr>
          <w:p>
            <w:pPr>
              <w:pStyle w:val="TableParagraph"/>
              <w:spacing w:line="237" w:lineRule="auto"/>
              <w:ind w:left="110" w:right="141"/>
              <w:rPr>
                <w:sz w:val="24"/>
              </w:rPr>
            </w:pPr>
            <w:r>
              <w:rPr>
                <w:sz w:val="24"/>
              </w:rPr>
              <w:t>Оцінено голів</w:t>
            </w:r>
          </w:p>
        </w:tc>
        <w:tc>
          <w:tcPr>
            <w:tcW w:w="1277" w:type="dxa"/>
          </w:tcPr>
          <w:p>
            <w:pPr>
              <w:pStyle w:val="TableParagraph"/>
              <w:ind w:left="110" w:right="178"/>
              <w:jc w:val="both"/>
              <w:rPr>
                <w:sz w:val="24"/>
              </w:rPr>
            </w:pPr>
            <w:r>
              <w:rPr>
                <w:sz w:val="24"/>
              </w:rPr>
              <w:t>Кількість </w:t>
            </w:r>
            <w:r>
              <w:rPr>
                <w:spacing w:val="-1"/>
                <w:sz w:val="24"/>
              </w:rPr>
              <w:t>потомків, </w:t>
            </w:r>
            <w:r>
              <w:rPr>
                <w:sz w:val="24"/>
              </w:rPr>
              <w:t>голів</w:t>
            </w:r>
          </w:p>
        </w:tc>
        <w:tc>
          <w:tcPr>
            <w:tcW w:w="1844" w:type="dxa"/>
          </w:tcPr>
          <w:p>
            <w:pPr>
              <w:pStyle w:val="TableParagraph"/>
              <w:ind w:left="110" w:right="90"/>
              <w:jc w:val="both"/>
              <w:rPr>
                <w:sz w:val="24"/>
              </w:rPr>
            </w:pPr>
            <w:r>
              <w:rPr>
                <w:sz w:val="24"/>
              </w:rPr>
              <w:t>Вік досягнення живої маси 100 кг, днів</w:t>
            </w:r>
          </w:p>
        </w:tc>
        <w:tc>
          <w:tcPr>
            <w:tcW w:w="1133" w:type="dxa"/>
          </w:tcPr>
          <w:p>
            <w:pPr>
              <w:pStyle w:val="TableParagraph"/>
              <w:ind w:left="106"/>
              <w:rPr>
                <w:sz w:val="24"/>
              </w:rPr>
            </w:pPr>
            <w:r>
              <w:rPr>
                <w:sz w:val="24"/>
              </w:rPr>
              <w:t>Витрати корму, корм. од.</w:t>
            </w:r>
          </w:p>
        </w:tc>
        <w:tc>
          <w:tcPr>
            <w:tcW w:w="1277" w:type="dxa"/>
          </w:tcPr>
          <w:p>
            <w:pPr>
              <w:pStyle w:val="TableParagraph"/>
              <w:ind w:left="111" w:right="209"/>
              <w:rPr>
                <w:sz w:val="24"/>
              </w:rPr>
            </w:pPr>
            <w:r>
              <w:rPr>
                <w:sz w:val="24"/>
              </w:rPr>
              <w:t>Довжина півтуші, см</w:t>
            </w:r>
          </w:p>
        </w:tc>
        <w:tc>
          <w:tcPr>
            <w:tcW w:w="1277" w:type="dxa"/>
          </w:tcPr>
          <w:p>
            <w:pPr>
              <w:pStyle w:val="TableParagraph"/>
              <w:tabs>
                <w:tab w:pos="844" w:val="left" w:leader="none"/>
              </w:tabs>
              <w:ind w:left="111" w:right="96"/>
              <w:rPr>
                <w:sz w:val="24"/>
              </w:rPr>
            </w:pPr>
            <w:r>
              <w:rPr>
                <w:sz w:val="24"/>
              </w:rPr>
              <w:t>Товщина шпику </w:t>
            </w:r>
            <w:r>
              <w:rPr>
                <w:spacing w:val="-6"/>
                <w:sz w:val="24"/>
              </w:rPr>
              <w:t>на </w:t>
            </w:r>
            <w:r>
              <w:rPr>
                <w:sz w:val="24"/>
              </w:rPr>
              <w:t>рівні</w:t>
              <w:tab/>
            </w:r>
            <w:r>
              <w:rPr>
                <w:spacing w:val="-5"/>
                <w:sz w:val="24"/>
              </w:rPr>
              <w:t>6-7 </w:t>
            </w:r>
            <w:r>
              <w:rPr>
                <w:sz w:val="24"/>
              </w:rPr>
              <w:t>груд.</w:t>
            </w:r>
            <w:r>
              <w:rPr>
                <w:spacing w:val="59"/>
                <w:sz w:val="24"/>
              </w:rPr>
              <w:t> </w:t>
            </w:r>
            <w:r>
              <w:rPr>
                <w:spacing w:val="-5"/>
                <w:sz w:val="24"/>
              </w:rPr>
              <w:t>хр.,</w:t>
            </w:r>
          </w:p>
          <w:p>
            <w:pPr>
              <w:pStyle w:val="TableParagraph"/>
              <w:spacing w:line="261" w:lineRule="exact"/>
              <w:ind w:left="111"/>
              <w:rPr>
                <w:sz w:val="24"/>
              </w:rPr>
            </w:pPr>
            <w:r>
              <w:rPr>
                <w:sz w:val="24"/>
              </w:rPr>
              <w:t>мм</w:t>
            </w:r>
          </w:p>
        </w:tc>
      </w:tr>
      <w:tr>
        <w:trPr>
          <w:trHeight w:val="277" w:hRule="atLeast"/>
        </w:trPr>
        <w:tc>
          <w:tcPr>
            <w:tcW w:w="1810" w:type="dxa"/>
          </w:tcPr>
          <w:p>
            <w:pPr>
              <w:pStyle w:val="TableParagraph"/>
              <w:spacing w:line="258" w:lineRule="exact"/>
              <w:ind w:left="671"/>
              <w:rPr>
                <w:sz w:val="24"/>
              </w:rPr>
            </w:pPr>
            <w:r>
              <w:rPr>
                <w:sz w:val="24"/>
              </w:rPr>
              <w:t>Кнури</w:t>
            </w:r>
          </w:p>
        </w:tc>
        <w:tc>
          <w:tcPr>
            <w:tcW w:w="1133" w:type="dxa"/>
          </w:tcPr>
          <w:p>
            <w:pPr>
              <w:pStyle w:val="TableParagraph"/>
              <w:spacing w:line="258" w:lineRule="exact"/>
              <w:ind w:right="213"/>
              <w:jc w:val="right"/>
              <w:rPr>
                <w:sz w:val="24"/>
              </w:rPr>
            </w:pPr>
            <w:r>
              <w:rPr>
                <w:sz w:val="24"/>
              </w:rPr>
              <w:t>4</w:t>
            </w:r>
          </w:p>
        </w:tc>
        <w:tc>
          <w:tcPr>
            <w:tcW w:w="1277" w:type="dxa"/>
          </w:tcPr>
          <w:p>
            <w:pPr>
              <w:pStyle w:val="TableParagraph"/>
              <w:spacing w:line="258" w:lineRule="exact"/>
              <w:ind w:right="222"/>
              <w:jc w:val="right"/>
              <w:rPr>
                <w:sz w:val="24"/>
              </w:rPr>
            </w:pPr>
            <w:r>
              <w:rPr>
                <w:sz w:val="24"/>
              </w:rPr>
              <w:t>64</w:t>
            </w:r>
          </w:p>
        </w:tc>
        <w:tc>
          <w:tcPr>
            <w:tcW w:w="1844" w:type="dxa"/>
          </w:tcPr>
          <w:p>
            <w:pPr>
              <w:pStyle w:val="TableParagraph"/>
              <w:spacing w:line="258" w:lineRule="exact"/>
              <w:ind w:left="635" w:right="56"/>
              <w:jc w:val="center"/>
              <w:rPr>
                <w:sz w:val="24"/>
              </w:rPr>
            </w:pPr>
            <w:r>
              <w:rPr>
                <w:sz w:val="24"/>
              </w:rPr>
              <w:t>156,0±</w:t>
            </w:r>
          </w:p>
        </w:tc>
        <w:tc>
          <w:tcPr>
            <w:tcW w:w="1133" w:type="dxa"/>
          </w:tcPr>
          <w:p>
            <w:pPr>
              <w:pStyle w:val="TableParagraph"/>
              <w:spacing w:line="258" w:lineRule="exact"/>
              <w:ind w:right="122"/>
              <w:jc w:val="right"/>
              <w:rPr>
                <w:sz w:val="24"/>
              </w:rPr>
            </w:pPr>
            <w:r>
              <w:rPr>
                <w:sz w:val="24"/>
              </w:rPr>
              <w:t>3,1</w:t>
            </w:r>
          </w:p>
        </w:tc>
        <w:tc>
          <w:tcPr>
            <w:tcW w:w="1277" w:type="dxa"/>
          </w:tcPr>
          <w:p>
            <w:pPr>
              <w:pStyle w:val="TableParagraph"/>
              <w:spacing w:line="258" w:lineRule="exact"/>
              <w:ind w:left="111"/>
              <w:rPr>
                <w:sz w:val="24"/>
              </w:rPr>
            </w:pPr>
            <w:r>
              <w:rPr>
                <w:sz w:val="24"/>
              </w:rPr>
              <w:t>94,0±</w:t>
            </w:r>
          </w:p>
        </w:tc>
        <w:tc>
          <w:tcPr>
            <w:tcW w:w="1277" w:type="dxa"/>
          </w:tcPr>
          <w:p>
            <w:pPr>
              <w:pStyle w:val="TableParagraph"/>
              <w:spacing w:line="258" w:lineRule="exact"/>
              <w:ind w:left="687" w:right="107"/>
              <w:jc w:val="center"/>
              <w:rPr>
                <w:sz w:val="24"/>
              </w:rPr>
            </w:pPr>
            <w:r>
              <w:rPr>
                <w:sz w:val="24"/>
              </w:rPr>
              <w:t>8,0±</w:t>
            </w:r>
          </w:p>
        </w:tc>
      </w:tr>
      <w:tr>
        <w:trPr>
          <w:trHeight w:val="273" w:hRule="atLeast"/>
        </w:trPr>
        <w:tc>
          <w:tcPr>
            <w:tcW w:w="1810" w:type="dxa"/>
          </w:tcPr>
          <w:p>
            <w:pPr>
              <w:pStyle w:val="TableParagraph"/>
              <w:spacing w:line="253" w:lineRule="exact"/>
              <w:ind w:left="110"/>
              <w:rPr>
                <w:sz w:val="24"/>
              </w:rPr>
            </w:pPr>
            <w:r>
              <w:rPr>
                <w:sz w:val="24"/>
              </w:rPr>
              <w:t>Свиноматки</w:t>
            </w:r>
          </w:p>
        </w:tc>
        <w:tc>
          <w:tcPr>
            <w:tcW w:w="1133" w:type="dxa"/>
          </w:tcPr>
          <w:p>
            <w:pPr>
              <w:pStyle w:val="TableParagraph"/>
              <w:spacing w:line="253" w:lineRule="exact"/>
              <w:ind w:right="151"/>
              <w:jc w:val="right"/>
              <w:rPr>
                <w:sz w:val="24"/>
              </w:rPr>
            </w:pPr>
            <w:r>
              <w:rPr>
                <w:sz w:val="24"/>
              </w:rPr>
              <w:t>16</w:t>
            </w:r>
          </w:p>
        </w:tc>
        <w:tc>
          <w:tcPr>
            <w:tcW w:w="1277" w:type="dxa"/>
          </w:tcPr>
          <w:p>
            <w:pPr>
              <w:pStyle w:val="TableParagraph"/>
              <w:spacing w:line="253" w:lineRule="exact"/>
              <w:ind w:right="222"/>
              <w:jc w:val="right"/>
              <w:rPr>
                <w:sz w:val="24"/>
              </w:rPr>
            </w:pPr>
            <w:r>
              <w:rPr>
                <w:sz w:val="24"/>
              </w:rPr>
              <w:t>64</w:t>
            </w:r>
          </w:p>
        </w:tc>
        <w:tc>
          <w:tcPr>
            <w:tcW w:w="1844" w:type="dxa"/>
          </w:tcPr>
          <w:p>
            <w:pPr>
              <w:pStyle w:val="TableParagraph"/>
              <w:spacing w:line="253" w:lineRule="exact"/>
              <w:ind w:left="635" w:right="56"/>
              <w:jc w:val="center"/>
              <w:rPr>
                <w:sz w:val="24"/>
              </w:rPr>
            </w:pPr>
            <w:r>
              <w:rPr>
                <w:sz w:val="24"/>
              </w:rPr>
              <w:t>156,0±</w:t>
            </w:r>
          </w:p>
        </w:tc>
        <w:tc>
          <w:tcPr>
            <w:tcW w:w="1133" w:type="dxa"/>
          </w:tcPr>
          <w:p>
            <w:pPr>
              <w:pStyle w:val="TableParagraph"/>
              <w:spacing w:line="253" w:lineRule="exact"/>
              <w:ind w:right="122"/>
              <w:jc w:val="right"/>
              <w:rPr>
                <w:sz w:val="24"/>
              </w:rPr>
            </w:pPr>
            <w:r>
              <w:rPr>
                <w:sz w:val="24"/>
              </w:rPr>
              <w:t>3,1</w:t>
            </w:r>
          </w:p>
        </w:tc>
        <w:tc>
          <w:tcPr>
            <w:tcW w:w="1277" w:type="dxa"/>
          </w:tcPr>
          <w:p>
            <w:pPr>
              <w:pStyle w:val="TableParagraph"/>
              <w:spacing w:line="253" w:lineRule="exact"/>
              <w:ind w:left="111"/>
              <w:rPr>
                <w:sz w:val="24"/>
              </w:rPr>
            </w:pPr>
            <w:r>
              <w:rPr>
                <w:sz w:val="24"/>
              </w:rPr>
              <w:t>94,0±</w:t>
            </w:r>
          </w:p>
        </w:tc>
        <w:tc>
          <w:tcPr>
            <w:tcW w:w="1277" w:type="dxa"/>
          </w:tcPr>
          <w:p>
            <w:pPr>
              <w:pStyle w:val="TableParagraph"/>
              <w:spacing w:line="253" w:lineRule="exact"/>
              <w:ind w:left="687" w:right="107"/>
              <w:jc w:val="center"/>
              <w:rPr>
                <w:sz w:val="24"/>
              </w:rPr>
            </w:pPr>
            <w:r>
              <w:rPr>
                <w:sz w:val="24"/>
              </w:rPr>
              <w:t>8,0±</w:t>
            </w:r>
          </w:p>
        </w:tc>
      </w:tr>
      <w:tr>
        <w:trPr>
          <w:trHeight w:val="277" w:hRule="atLeast"/>
        </w:trPr>
        <w:tc>
          <w:tcPr>
            <w:tcW w:w="9751" w:type="dxa"/>
            <w:gridSpan w:val="7"/>
          </w:tcPr>
          <w:p>
            <w:pPr>
              <w:pStyle w:val="TableParagraph"/>
              <w:spacing w:line="258" w:lineRule="exact"/>
              <w:ind w:left="4253" w:right="3674"/>
              <w:jc w:val="center"/>
              <w:rPr>
                <w:sz w:val="24"/>
              </w:rPr>
            </w:pPr>
            <w:r>
              <w:rPr>
                <w:sz w:val="24"/>
              </w:rPr>
              <w:t>Кращі поєднання</w:t>
            </w:r>
          </w:p>
        </w:tc>
      </w:tr>
      <w:tr>
        <w:trPr>
          <w:trHeight w:val="552" w:hRule="atLeast"/>
        </w:trPr>
        <w:tc>
          <w:tcPr>
            <w:tcW w:w="1810" w:type="dxa"/>
          </w:tcPr>
          <w:p>
            <w:pPr>
              <w:pStyle w:val="TableParagraph"/>
              <w:spacing w:line="267" w:lineRule="exact"/>
              <w:ind w:left="110"/>
              <w:rPr>
                <w:sz w:val="24"/>
              </w:rPr>
            </w:pPr>
            <w:r>
              <w:rPr>
                <w:sz w:val="24"/>
              </w:rPr>
              <w:t>Кличка, ідент.</w:t>
            </w:r>
          </w:p>
          <w:p>
            <w:pPr>
              <w:pStyle w:val="TableParagraph"/>
              <w:spacing w:line="265" w:lineRule="exact"/>
              <w:ind w:left="110"/>
              <w:rPr>
                <w:sz w:val="24"/>
              </w:rPr>
            </w:pPr>
            <w:r>
              <w:rPr>
                <w:sz w:val="24"/>
              </w:rPr>
              <w:t>№ кнура</w:t>
            </w:r>
          </w:p>
        </w:tc>
        <w:tc>
          <w:tcPr>
            <w:tcW w:w="2410" w:type="dxa"/>
            <w:gridSpan w:val="2"/>
          </w:tcPr>
          <w:p>
            <w:pPr>
              <w:pStyle w:val="TableParagraph"/>
              <w:tabs>
                <w:tab w:pos="1208" w:val="left" w:leader="none"/>
                <w:tab w:pos="2072" w:val="left" w:leader="none"/>
              </w:tabs>
              <w:spacing w:line="267" w:lineRule="exact"/>
              <w:ind w:left="110"/>
              <w:rPr>
                <w:sz w:val="24"/>
              </w:rPr>
            </w:pPr>
            <w:r>
              <w:rPr>
                <w:sz w:val="24"/>
              </w:rPr>
              <w:t>Кличка,</w:t>
              <w:tab/>
            </w:r>
            <w:r>
              <w:rPr>
                <w:spacing w:val="-3"/>
                <w:sz w:val="24"/>
              </w:rPr>
              <w:t>ідент.</w:t>
              <w:tab/>
            </w:r>
            <w:r>
              <w:rPr>
                <w:sz w:val="24"/>
              </w:rPr>
              <w:t>№</w:t>
            </w:r>
          </w:p>
          <w:p>
            <w:pPr>
              <w:pStyle w:val="TableParagraph"/>
              <w:spacing w:line="265" w:lineRule="exact"/>
              <w:ind w:left="110"/>
              <w:rPr>
                <w:sz w:val="24"/>
              </w:rPr>
            </w:pPr>
            <w:r>
              <w:rPr>
                <w:sz w:val="24"/>
              </w:rPr>
              <w:t>свиноматки</w:t>
            </w:r>
          </w:p>
        </w:tc>
        <w:tc>
          <w:tcPr>
            <w:tcW w:w="1844" w:type="dxa"/>
          </w:tcPr>
          <w:p>
            <w:pPr>
              <w:pStyle w:val="TableParagraph"/>
              <w:rPr>
                <w:sz w:val="24"/>
              </w:rPr>
            </w:pPr>
          </w:p>
        </w:tc>
        <w:tc>
          <w:tcPr>
            <w:tcW w:w="1133" w:type="dxa"/>
          </w:tcPr>
          <w:p>
            <w:pPr>
              <w:pStyle w:val="TableParagraph"/>
              <w:rPr>
                <w:sz w:val="24"/>
              </w:rPr>
            </w:pPr>
          </w:p>
        </w:tc>
        <w:tc>
          <w:tcPr>
            <w:tcW w:w="1277" w:type="dxa"/>
          </w:tcPr>
          <w:p>
            <w:pPr>
              <w:pStyle w:val="TableParagraph"/>
              <w:rPr>
                <w:sz w:val="24"/>
              </w:rPr>
            </w:pPr>
          </w:p>
        </w:tc>
        <w:tc>
          <w:tcPr>
            <w:tcW w:w="1277" w:type="dxa"/>
          </w:tcPr>
          <w:p>
            <w:pPr>
              <w:pStyle w:val="TableParagraph"/>
              <w:rPr>
                <w:sz w:val="24"/>
              </w:rPr>
            </w:pPr>
          </w:p>
        </w:tc>
      </w:tr>
      <w:tr>
        <w:trPr>
          <w:trHeight w:val="273" w:hRule="atLeast"/>
        </w:trPr>
        <w:tc>
          <w:tcPr>
            <w:tcW w:w="1810" w:type="dxa"/>
          </w:tcPr>
          <w:p>
            <w:pPr>
              <w:pStyle w:val="TableParagraph"/>
              <w:spacing w:line="253" w:lineRule="exact"/>
              <w:ind w:left="110"/>
              <w:rPr>
                <w:sz w:val="24"/>
              </w:rPr>
            </w:pPr>
            <w:r>
              <w:rPr>
                <w:sz w:val="24"/>
              </w:rPr>
              <w:t>UA8828730</w:t>
            </w:r>
          </w:p>
        </w:tc>
        <w:tc>
          <w:tcPr>
            <w:tcW w:w="2410" w:type="dxa"/>
            <w:gridSpan w:val="2"/>
          </w:tcPr>
          <w:p>
            <w:pPr>
              <w:pStyle w:val="TableParagraph"/>
              <w:spacing w:line="253" w:lineRule="exact"/>
              <w:ind w:left="893"/>
              <w:rPr>
                <w:sz w:val="24"/>
              </w:rPr>
            </w:pPr>
            <w:r>
              <w:rPr>
                <w:sz w:val="24"/>
              </w:rPr>
              <w:t>UA8839926</w:t>
            </w:r>
          </w:p>
        </w:tc>
        <w:tc>
          <w:tcPr>
            <w:tcW w:w="1844" w:type="dxa"/>
          </w:tcPr>
          <w:p>
            <w:pPr>
              <w:pStyle w:val="TableParagraph"/>
              <w:spacing w:line="253" w:lineRule="exact"/>
              <w:ind w:left="635" w:right="63"/>
              <w:jc w:val="center"/>
              <w:rPr>
                <w:sz w:val="24"/>
              </w:rPr>
            </w:pPr>
            <w:r>
              <w:rPr>
                <w:sz w:val="24"/>
              </w:rPr>
              <w:t>150</w:t>
            </w:r>
          </w:p>
        </w:tc>
        <w:tc>
          <w:tcPr>
            <w:tcW w:w="1133" w:type="dxa"/>
          </w:tcPr>
          <w:p>
            <w:pPr>
              <w:pStyle w:val="TableParagraph"/>
              <w:spacing w:line="253" w:lineRule="exact"/>
              <w:ind w:right="122"/>
              <w:jc w:val="right"/>
              <w:rPr>
                <w:sz w:val="24"/>
              </w:rPr>
            </w:pPr>
            <w:r>
              <w:rPr>
                <w:sz w:val="24"/>
              </w:rPr>
              <w:t>3,0</w:t>
            </w:r>
          </w:p>
        </w:tc>
        <w:tc>
          <w:tcPr>
            <w:tcW w:w="1277" w:type="dxa"/>
          </w:tcPr>
          <w:p>
            <w:pPr>
              <w:pStyle w:val="TableParagraph"/>
              <w:spacing w:line="253" w:lineRule="exact"/>
              <w:ind w:right="222"/>
              <w:jc w:val="right"/>
              <w:rPr>
                <w:sz w:val="24"/>
              </w:rPr>
            </w:pPr>
            <w:r>
              <w:rPr>
                <w:sz w:val="24"/>
              </w:rPr>
              <w:t>95</w:t>
            </w:r>
          </w:p>
        </w:tc>
        <w:tc>
          <w:tcPr>
            <w:tcW w:w="1277" w:type="dxa"/>
          </w:tcPr>
          <w:p>
            <w:pPr>
              <w:pStyle w:val="TableParagraph"/>
              <w:spacing w:line="253" w:lineRule="exact"/>
              <w:ind w:left="573"/>
              <w:jc w:val="center"/>
              <w:rPr>
                <w:sz w:val="24"/>
              </w:rPr>
            </w:pPr>
            <w:r>
              <w:rPr>
                <w:sz w:val="24"/>
              </w:rPr>
              <w:t>8</w:t>
            </w:r>
          </w:p>
        </w:tc>
      </w:tr>
      <w:tr>
        <w:trPr>
          <w:trHeight w:val="277" w:hRule="atLeast"/>
        </w:trPr>
        <w:tc>
          <w:tcPr>
            <w:tcW w:w="1810" w:type="dxa"/>
          </w:tcPr>
          <w:p>
            <w:pPr>
              <w:pStyle w:val="TableParagraph"/>
              <w:spacing w:line="258" w:lineRule="exact"/>
              <w:ind w:left="110"/>
              <w:rPr>
                <w:sz w:val="24"/>
              </w:rPr>
            </w:pPr>
            <w:r>
              <w:rPr>
                <w:sz w:val="24"/>
              </w:rPr>
              <w:t>UA8826667</w:t>
            </w:r>
          </w:p>
        </w:tc>
        <w:tc>
          <w:tcPr>
            <w:tcW w:w="2410" w:type="dxa"/>
            <w:gridSpan w:val="2"/>
          </w:tcPr>
          <w:p>
            <w:pPr>
              <w:pStyle w:val="TableParagraph"/>
              <w:spacing w:line="258" w:lineRule="exact"/>
              <w:ind w:left="893"/>
              <w:rPr>
                <w:sz w:val="24"/>
              </w:rPr>
            </w:pPr>
            <w:r>
              <w:rPr>
                <w:sz w:val="24"/>
              </w:rPr>
              <w:t>UA8839921</w:t>
            </w:r>
          </w:p>
        </w:tc>
        <w:tc>
          <w:tcPr>
            <w:tcW w:w="1844" w:type="dxa"/>
          </w:tcPr>
          <w:p>
            <w:pPr>
              <w:pStyle w:val="TableParagraph"/>
              <w:spacing w:line="258" w:lineRule="exact"/>
              <w:ind w:left="635" w:right="63"/>
              <w:jc w:val="center"/>
              <w:rPr>
                <w:sz w:val="24"/>
              </w:rPr>
            </w:pPr>
            <w:r>
              <w:rPr>
                <w:sz w:val="24"/>
              </w:rPr>
              <w:t>148</w:t>
            </w:r>
          </w:p>
        </w:tc>
        <w:tc>
          <w:tcPr>
            <w:tcW w:w="1133" w:type="dxa"/>
          </w:tcPr>
          <w:p>
            <w:pPr>
              <w:pStyle w:val="TableParagraph"/>
              <w:spacing w:line="258" w:lineRule="exact"/>
              <w:ind w:right="122"/>
              <w:jc w:val="right"/>
              <w:rPr>
                <w:sz w:val="24"/>
              </w:rPr>
            </w:pPr>
            <w:r>
              <w:rPr>
                <w:sz w:val="24"/>
              </w:rPr>
              <w:t>3,0</w:t>
            </w:r>
          </w:p>
        </w:tc>
        <w:tc>
          <w:tcPr>
            <w:tcW w:w="1277" w:type="dxa"/>
          </w:tcPr>
          <w:p>
            <w:pPr>
              <w:pStyle w:val="TableParagraph"/>
              <w:spacing w:line="258" w:lineRule="exact"/>
              <w:ind w:right="222"/>
              <w:jc w:val="right"/>
              <w:rPr>
                <w:sz w:val="24"/>
              </w:rPr>
            </w:pPr>
            <w:r>
              <w:rPr>
                <w:sz w:val="24"/>
              </w:rPr>
              <w:t>95</w:t>
            </w:r>
          </w:p>
        </w:tc>
        <w:tc>
          <w:tcPr>
            <w:tcW w:w="1277" w:type="dxa"/>
          </w:tcPr>
          <w:p>
            <w:pPr>
              <w:pStyle w:val="TableParagraph"/>
              <w:spacing w:line="258" w:lineRule="exact"/>
              <w:ind w:left="573"/>
              <w:jc w:val="center"/>
              <w:rPr>
                <w:sz w:val="24"/>
              </w:rPr>
            </w:pPr>
            <w:r>
              <w:rPr>
                <w:sz w:val="24"/>
              </w:rPr>
              <w:t>7</w:t>
            </w:r>
          </w:p>
        </w:tc>
      </w:tr>
    </w:tbl>
    <w:p>
      <w:pPr>
        <w:pStyle w:val="BodyText"/>
        <w:spacing w:before="4"/>
        <w:ind w:left="0"/>
        <w:jc w:val="left"/>
        <w:rPr>
          <w:sz w:val="27"/>
        </w:rPr>
      </w:pPr>
    </w:p>
    <w:p>
      <w:pPr>
        <w:pStyle w:val="BodyText"/>
        <w:ind w:right="608" w:firstLine="710"/>
      </w:pPr>
      <w:r>
        <w:rPr/>
        <w:t>В умовах даного господарства в кращих поєднаннях батьківських пар середній вік досягнення живої маси 100 кг яких склав 148-150 днів при</w:t>
      </w:r>
      <w:r>
        <w:rPr>
          <w:spacing w:val="-43"/>
        </w:rPr>
        <w:t> </w:t>
      </w:r>
      <w:r>
        <w:rPr/>
        <w:t>витратах корму</w:t>
      </w:r>
      <w:r>
        <w:rPr>
          <w:spacing w:val="-14"/>
        </w:rPr>
        <w:t> </w:t>
      </w:r>
      <w:r>
        <w:rPr/>
        <w:t>3,0</w:t>
      </w:r>
      <w:r>
        <w:rPr>
          <w:spacing w:val="-9"/>
        </w:rPr>
        <w:t> </w:t>
      </w:r>
      <w:r>
        <w:rPr/>
        <w:t>корм.</w:t>
      </w:r>
      <w:r>
        <w:rPr>
          <w:spacing w:val="-6"/>
        </w:rPr>
        <w:t> </w:t>
      </w:r>
      <w:r>
        <w:rPr/>
        <w:t>од/</w:t>
      </w:r>
      <w:r>
        <w:rPr>
          <w:spacing w:val="-10"/>
        </w:rPr>
        <w:t> </w:t>
      </w:r>
      <w:r>
        <w:rPr/>
        <w:t>1</w:t>
      </w:r>
      <w:r>
        <w:rPr>
          <w:spacing w:val="-9"/>
        </w:rPr>
        <w:t> </w:t>
      </w:r>
      <w:r>
        <w:rPr/>
        <w:t>кг</w:t>
      </w:r>
      <w:r>
        <w:rPr>
          <w:spacing w:val="-7"/>
        </w:rPr>
        <w:t> </w:t>
      </w:r>
      <w:r>
        <w:rPr/>
        <w:t>приросту,</w:t>
      </w:r>
      <w:r>
        <w:rPr>
          <w:spacing w:val="-7"/>
        </w:rPr>
        <w:t> </w:t>
      </w:r>
      <w:r>
        <w:rPr/>
        <w:t>довжині</w:t>
      </w:r>
      <w:r>
        <w:rPr>
          <w:spacing w:val="-10"/>
        </w:rPr>
        <w:t> </w:t>
      </w:r>
      <w:r>
        <w:rPr/>
        <w:t>тулубу</w:t>
      </w:r>
      <w:r>
        <w:rPr>
          <w:spacing w:val="-13"/>
        </w:rPr>
        <w:t> </w:t>
      </w:r>
      <w:r>
        <w:rPr/>
        <w:t>95</w:t>
      </w:r>
      <w:r>
        <w:rPr>
          <w:spacing w:val="-9"/>
        </w:rPr>
        <w:t> </w:t>
      </w:r>
      <w:r>
        <w:rPr/>
        <w:t>см,</w:t>
      </w:r>
      <w:r>
        <w:rPr>
          <w:spacing w:val="-6"/>
        </w:rPr>
        <w:t> </w:t>
      </w:r>
      <w:r>
        <w:rPr/>
        <w:t>товщині</w:t>
      </w:r>
      <w:r>
        <w:rPr>
          <w:spacing w:val="-14"/>
        </w:rPr>
        <w:t> </w:t>
      </w:r>
      <w:r>
        <w:rPr/>
        <w:t>шпику</w:t>
      </w:r>
      <w:r>
        <w:rPr>
          <w:spacing w:val="-14"/>
        </w:rPr>
        <w:t> </w:t>
      </w:r>
      <w:r>
        <w:rPr/>
        <w:t>на</w:t>
      </w:r>
      <w:r>
        <w:rPr>
          <w:spacing w:val="-7"/>
        </w:rPr>
        <w:t> </w:t>
      </w:r>
      <w:r>
        <w:rPr/>
        <w:t>рівні</w:t>
      </w:r>
    </w:p>
    <w:p>
      <w:pPr>
        <w:spacing w:after="0"/>
        <w:sectPr>
          <w:pgSz w:w="11910" w:h="16840"/>
          <w:pgMar w:header="713" w:footer="778" w:top="1140" w:bottom="960" w:left="940" w:right="520"/>
        </w:sectPr>
      </w:pPr>
    </w:p>
    <w:p>
      <w:pPr>
        <w:pStyle w:val="ListParagraph"/>
        <w:numPr>
          <w:ilvl w:val="1"/>
          <w:numId w:val="19"/>
        </w:numPr>
        <w:tabs>
          <w:tab w:pos="664" w:val="left" w:leader="none"/>
        </w:tabs>
        <w:spacing w:line="240" w:lineRule="auto" w:before="92" w:after="0"/>
        <w:ind w:left="193" w:right="614" w:firstLine="0"/>
        <w:jc w:val="both"/>
        <w:rPr>
          <w:sz w:val="28"/>
        </w:rPr>
      </w:pPr>
      <w:r>
        <w:rPr>
          <w:sz w:val="28"/>
        </w:rPr>
        <w:t>грудних хребців 7-8 мм. Морфологічний склад анатомічних частин туші у молодняку різних порід та за різної передзабійної живої маси представлено у таблиці</w:t>
      </w:r>
      <w:r>
        <w:rPr>
          <w:spacing w:val="-5"/>
          <w:sz w:val="28"/>
        </w:rPr>
        <w:t> </w:t>
      </w:r>
      <w:r>
        <w:rPr>
          <w:sz w:val="28"/>
        </w:rPr>
        <w:t>5.</w:t>
      </w:r>
    </w:p>
    <w:p>
      <w:pPr>
        <w:pStyle w:val="BodyText"/>
        <w:spacing w:line="244" w:lineRule="auto"/>
        <w:ind w:right="617" w:firstLine="710"/>
        <w:rPr>
          <w:sz w:val="24"/>
        </w:rPr>
      </w:pPr>
      <w:r>
        <w:rPr/>
        <w:pict>
          <v:line style="position:absolute;mso-position-horizontal-relative:page;mso-position-vertical-relative:paragraph;z-index:-267157504" from="366.114838pt,21.05814pt" to="375.228006pt,21.05814pt" stroked="true" strokeweight=".429683pt" strokecolor="#000000">
            <v:stroke dashstyle="solid"/>
            <w10:wrap type="none"/>
          </v:line>
        </w:pict>
      </w:r>
      <w:r>
        <w:rPr/>
        <w:pict>
          <v:line style="position:absolute;mso-position-horizontal-relative:page;mso-position-vertical-relative:paragraph;z-index:-267156480" from="393.476715pt,28.670221pt" to="398.754993pt,28.670221pt" stroked="true" strokeweight=".245532pt" strokecolor="#000000">
            <v:stroke dashstyle="solid"/>
            <w10:wrap type="none"/>
          </v:line>
        </w:pict>
      </w:r>
      <w:r>
        <w:rPr/>
        <w:pict>
          <v:shape style="position:absolute;margin-left:393.883392pt;margin-top:29.180653pt;width:4.05pt;height:6.6pt;mso-position-horizontal-relative:page;mso-position-vertical-relative:paragraph;z-index:-267155456" type="#_x0000_t202" filled="false" stroked="false">
            <v:textbox inset="0,0,0,0">
              <w:txbxContent>
                <w:p>
                  <w:pPr>
                    <w:spacing w:line="132" w:lineRule="exact" w:before="0"/>
                    <w:ind w:left="0" w:right="0" w:firstLine="0"/>
                    <w:jc w:val="left"/>
                    <w:rPr>
                      <w:i/>
                      <w:sz w:val="12"/>
                    </w:rPr>
                  </w:pPr>
                  <w:r>
                    <w:rPr>
                      <w:i/>
                      <w:w w:val="109"/>
                      <w:sz w:val="12"/>
                    </w:rPr>
                    <w:t>Х</w:t>
                  </w:r>
                </w:p>
              </w:txbxContent>
            </v:textbox>
            <w10:wrap type="none"/>
          </v:shape>
        </w:pict>
      </w:r>
      <w:r>
        <w:rPr/>
        <w:t>Таблиця 5. Морфологічний склад анатомічних частин туші у молодняку </w:t>
      </w:r>
      <w:r>
        <w:rPr>
          <w:position w:val="2"/>
        </w:rPr>
        <w:t>різних порід та за різної передзабійної живої маси </w:t>
      </w:r>
      <w:r>
        <w:rPr>
          <w:position w:val="2"/>
          <w:sz w:val="24"/>
        </w:rPr>
        <w:t>( </w:t>
      </w:r>
      <w:r>
        <w:rPr>
          <w:i/>
          <w:sz w:val="20"/>
        </w:rPr>
        <w:t>Х </w:t>
      </w:r>
      <w:r>
        <w:rPr>
          <w:rFonts w:ascii="Symbol" w:hAnsi="Symbol"/>
          <w:sz w:val="20"/>
        </w:rPr>
        <w:t></w:t>
      </w:r>
      <w:r>
        <w:rPr>
          <w:sz w:val="20"/>
        </w:rPr>
        <w:t> </w:t>
      </w:r>
      <w:r>
        <w:rPr>
          <w:i/>
          <w:sz w:val="20"/>
        </w:rPr>
        <w:t>S </w:t>
      </w:r>
      <w:r>
        <w:rPr>
          <w:position w:val="2"/>
          <w:sz w:val="24"/>
        </w:rPr>
        <w:t>)</w:t>
      </w:r>
    </w:p>
    <w:p>
      <w:pPr>
        <w:pStyle w:val="BodyText"/>
        <w:spacing w:before="2"/>
        <w:ind w:left="0"/>
        <w:jc w:val="left"/>
        <w:rPr>
          <w:sz w:val="6"/>
        </w:rPr>
      </w:pPr>
    </w:p>
    <w:tbl>
      <w:tblPr>
        <w:tblW w:w="0" w:type="auto"/>
        <w:jc w:val="left"/>
        <w:tblInd w:w="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0"/>
        <w:gridCol w:w="711"/>
        <w:gridCol w:w="1566"/>
        <w:gridCol w:w="1133"/>
        <w:gridCol w:w="1291"/>
        <w:gridCol w:w="1262"/>
        <w:gridCol w:w="1214"/>
        <w:gridCol w:w="1128"/>
      </w:tblGrid>
      <w:tr>
        <w:trPr>
          <w:trHeight w:val="277" w:hRule="atLeast"/>
        </w:trPr>
        <w:tc>
          <w:tcPr>
            <w:tcW w:w="1220" w:type="dxa"/>
            <w:vMerge w:val="restart"/>
          </w:tcPr>
          <w:p>
            <w:pPr>
              <w:pStyle w:val="TableParagraph"/>
              <w:spacing w:line="268" w:lineRule="exact"/>
              <w:ind w:left="81"/>
              <w:rPr>
                <w:sz w:val="24"/>
              </w:rPr>
            </w:pPr>
            <w:r>
              <w:rPr>
                <w:sz w:val="24"/>
              </w:rPr>
              <w:t>Порода</w:t>
            </w:r>
          </w:p>
        </w:tc>
        <w:tc>
          <w:tcPr>
            <w:tcW w:w="711" w:type="dxa"/>
            <w:vMerge w:val="restart"/>
            <w:textDirection w:val="btLr"/>
          </w:tcPr>
          <w:p>
            <w:pPr>
              <w:pStyle w:val="TableParagraph"/>
              <w:spacing w:line="247" w:lineRule="auto" w:before="111"/>
              <w:ind w:left="369" w:right="113" w:hanging="231"/>
              <w:rPr>
                <w:sz w:val="24"/>
              </w:rPr>
            </w:pPr>
            <w:r>
              <w:rPr>
                <w:sz w:val="24"/>
              </w:rPr>
              <w:t>Частини тіла</w:t>
            </w:r>
          </w:p>
        </w:tc>
        <w:tc>
          <w:tcPr>
            <w:tcW w:w="7594" w:type="dxa"/>
            <w:gridSpan w:val="6"/>
          </w:tcPr>
          <w:p>
            <w:pPr>
              <w:pStyle w:val="TableParagraph"/>
              <w:spacing w:line="258" w:lineRule="exact"/>
              <w:ind w:left="2360" w:right="2360"/>
              <w:jc w:val="center"/>
              <w:rPr>
                <w:sz w:val="24"/>
              </w:rPr>
            </w:pPr>
            <w:r>
              <w:rPr>
                <w:sz w:val="24"/>
              </w:rPr>
              <w:t>Передзабійна жива маса, кг</w:t>
            </w:r>
          </w:p>
        </w:tc>
      </w:tr>
      <w:tr>
        <w:trPr>
          <w:trHeight w:val="273" w:hRule="atLeast"/>
        </w:trPr>
        <w:tc>
          <w:tcPr>
            <w:tcW w:w="1220" w:type="dxa"/>
            <w:vMerge/>
            <w:tcBorders>
              <w:top w:val="nil"/>
            </w:tcBorders>
          </w:tcPr>
          <w:p>
            <w:pPr>
              <w:rPr>
                <w:sz w:val="2"/>
                <w:szCs w:val="2"/>
              </w:rPr>
            </w:pPr>
          </w:p>
        </w:tc>
        <w:tc>
          <w:tcPr>
            <w:tcW w:w="711" w:type="dxa"/>
            <w:vMerge/>
            <w:tcBorders>
              <w:top w:val="nil"/>
            </w:tcBorders>
            <w:textDirection w:val="btLr"/>
          </w:tcPr>
          <w:p>
            <w:pPr>
              <w:rPr>
                <w:sz w:val="2"/>
                <w:szCs w:val="2"/>
              </w:rPr>
            </w:pPr>
          </w:p>
        </w:tc>
        <w:tc>
          <w:tcPr>
            <w:tcW w:w="3990" w:type="dxa"/>
            <w:gridSpan w:val="3"/>
          </w:tcPr>
          <w:p>
            <w:pPr>
              <w:pStyle w:val="TableParagraph"/>
              <w:spacing w:line="253" w:lineRule="exact"/>
              <w:ind w:left="1786" w:right="1794"/>
              <w:jc w:val="center"/>
              <w:rPr>
                <w:sz w:val="24"/>
              </w:rPr>
            </w:pPr>
            <w:r>
              <w:rPr>
                <w:sz w:val="24"/>
              </w:rPr>
              <w:t>100</w:t>
            </w:r>
          </w:p>
        </w:tc>
        <w:tc>
          <w:tcPr>
            <w:tcW w:w="3604" w:type="dxa"/>
            <w:gridSpan w:val="3"/>
          </w:tcPr>
          <w:p>
            <w:pPr>
              <w:pStyle w:val="TableParagraph"/>
              <w:spacing w:line="253" w:lineRule="exact"/>
              <w:ind w:left="1597" w:right="1596"/>
              <w:jc w:val="center"/>
              <w:rPr>
                <w:sz w:val="24"/>
              </w:rPr>
            </w:pPr>
            <w:r>
              <w:rPr>
                <w:sz w:val="24"/>
              </w:rPr>
              <w:t>120</w:t>
            </w:r>
          </w:p>
        </w:tc>
      </w:tr>
      <w:tr>
        <w:trPr>
          <w:trHeight w:val="278" w:hRule="atLeast"/>
        </w:trPr>
        <w:tc>
          <w:tcPr>
            <w:tcW w:w="1220" w:type="dxa"/>
            <w:vMerge/>
            <w:tcBorders>
              <w:top w:val="nil"/>
            </w:tcBorders>
          </w:tcPr>
          <w:p>
            <w:pPr>
              <w:rPr>
                <w:sz w:val="2"/>
                <w:szCs w:val="2"/>
              </w:rPr>
            </w:pPr>
          </w:p>
        </w:tc>
        <w:tc>
          <w:tcPr>
            <w:tcW w:w="711" w:type="dxa"/>
            <w:vMerge/>
            <w:tcBorders>
              <w:top w:val="nil"/>
            </w:tcBorders>
            <w:textDirection w:val="btLr"/>
          </w:tcPr>
          <w:p>
            <w:pPr>
              <w:rPr>
                <w:sz w:val="2"/>
                <w:szCs w:val="2"/>
              </w:rPr>
            </w:pPr>
          </w:p>
        </w:tc>
        <w:tc>
          <w:tcPr>
            <w:tcW w:w="7594" w:type="dxa"/>
            <w:gridSpan w:val="6"/>
          </w:tcPr>
          <w:p>
            <w:pPr>
              <w:pStyle w:val="TableParagraph"/>
              <w:spacing w:line="258" w:lineRule="exact"/>
              <w:ind w:left="1958"/>
              <w:rPr>
                <w:sz w:val="24"/>
              </w:rPr>
            </w:pPr>
            <w:r>
              <w:rPr>
                <w:sz w:val="24"/>
              </w:rPr>
              <w:t>Морфологічний склад напівтуші, %</w:t>
            </w:r>
          </w:p>
        </w:tc>
      </w:tr>
      <w:tr>
        <w:trPr>
          <w:trHeight w:val="273" w:hRule="atLeast"/>
        </w:trPr>
        <w:tc>
          <w:tcPr>
            <w:tcW w:w="1220" w:type="dxa"/>
            <w:vMerge/>
            <w:tcBorders>
              <w:top w:val="nil"/>
            </w:tcBorders>
          </w:tcPr>
          <w:p>
            <w:pPr>
              <w:rPr>
                <w:sz w:val="2"/>
                <w:szCs w:val="2"/>
              </w:rPr>
            </w:pPr>
          </w:p>
        </w:tc>
        <w:tc>
          <w:tcPr>
            <w:tcW w:w="711" w:type="dxa"/>
            <w:vMerge/>
            <w:tcBorders>
              <w:top w:val="nil"/>
            </w:tcBorders>
            <w:textDirection w:val="btLr"/>
          </w:tcPr>
          <w:p>
            <w:pPr>
              <w:rPr>
                <w:sz w:val="2"/>
                <w:szCs w:val="2"/>
              </w:rPr>
            </w:pPr>
          </w:p>
        </w:tc>
        <w:tc>
          <w:tcPr>
            <w:tcW w:w="1566" w:type="dxa"/>
          </w:tcPr>
          <w:p>
            <w:pPr>
              <w:pStyle w:val="TableParagraph"/>
              <w:spacing w:line="253" w:lineRule="exact"/>
              <w:ind w:left="493"/>
              <w:rPr>
                <w:sz w:val="24"/>
              </w:rPr>
            </w:pPr>
            <w:r>
              <w:rPr>
                <w:sz w:val="24"/>
              </w:rPr>
              <w:t>м’ясо</w:t>
            </w:r>
          </w:p>
        </w:tc>
        <w:tc>
          <w:tcPr>
            <w:tcW w:w="1133" w:type="dxa"/>
          </w:tcPr>
          <w:p>
            <w:pPr>
              <w:pStyle w:val="TableParagraph"/>
              <w:spacing w:line="253" w:lineRule="exact"/>
              <w:ind w:left="104"/>
              <w:rPr>
                <w:sz w:val="24"/>
              </w:rPr>
            </w:pPr>
            <w:r>
              <w:rPr>
                <w:sz w:val="24"/>
              </w:rPr>
              <w:t>сало</w:t>
            </w:r>
          </w:p>
        </w:tc>
        <w:tc>
          <w:tcPr>
            <w:tcW w:w="1291" w:type="dxa"/>
          </w:tcPr>
          <w:p>
            <w:pPr>
              <w:pStyle w:val="TableParagraph"/>
              <w:spacing w:line="253" w:lineRule="exact"/>
              <w:ind w:left="109"/>
              <w:rPr>
                <w:sz w:val="24"/>
              </w:rPr>
            </w:pPr>
            <w:r>
              <w:rPr>
                <w:sz w:val="24"/>
              </w:rPr>
              <w:t>кістки</w:t>
            </w:r>
          </w:p>
        </w:tc>
        <w:tc>
          <w:tcPr>
            <w:tcW w:w="1262" w:type="dxa"/>
          </w:tcPr>
          <w:p>
            <w:pPr>
              <w:pStyle w:val="TableParagraph"/>
              <w:spacing w:line="253" w:lineRule="exact"/>
              <w:ind w:left="95"/>
              <w:rPr>
                <w:sz w:val="24"/>
              </w:rPr>
            </w:pPr>
            <w:r>
              <w:rPr>
                <w:sz w:val="24"/>
              </w:rPr>
              <w:t>м’ясо</w:t>
            </w:r>
          </w:p>
        </w:tc>
        <w:tc>
          <w:tcPr>
            <w:tcW w:w="1214" w:type="dxa"/>
          </w:tcPr>
          <w:p>
            <w:pPr>
              <w:pStyle w:val="TableParagraph"/>
              <w:spacing w:line="253" w:lineRule="exact"/>
              <w:ind w:left="106"/>
              <w:rPr>
                <w:sz w:val="24"/>
              </w:rPr>
            </w:pPr>
            <w:r>
              <w:rPr>
                <w:sz w:val="24"/>
              </w:rPr>
              <w:t>сало</w:t>
            </w:r>
          </w:p>
        </w:tc>
        <w:tc>
          <w:tcPr>
            <w:tcW w:w="1128" w:type="dxa"/>
          </w:tcPr>
          <w:p>
            <w:pPr>
              <w:pStyle w:val="TableParagraph"/>
              <w:spacing w:line="253" w:lineRule="exact"/>
              <w:ind w:left="111"/>
              <w:rPr>
                <w:sz w:val="24"/>
              </w:rPr>
            </w:pPr>
            <w:r>
              <w:rPr>
                <w:sz w:val="24"/>
              </w:rPr>
              <w:t>кістки</w:t>
            </w:r>
          </w:p>
        </w:tc>
      </w:tr>
      <w:tr>
        <w:trPr>
          <w:trHeight w:val="552" w:hRule="atLeast"/>
        </w:trPr>
        <w:tc>
          <w:tcPr>
            <w:tcW w:w="1220" w:type="dxa"/>
            <w:vMerge w:val="restart"/>
          </w:tcPr>
          <w:p>
            <w:pPr>
              <w:pStyle w:val="TableParagraph"/>
              <w:spacing w:line="268" w:lineRule="exact"/>
              <w:ind w:left="81"/>
              <w:rPr>
                <w:sz w:val="24"/>
              </w:rPr>
            </w:pPr>
            <w:r>
              <w:rPr>
                <w:sz w:val="24"/>
              </w:rPr>
              <w:t>П’єтрен</w:t>
            </w:r>
          </w:p>
        </w:tc>
        <w:tc>
          <w:tcPr>
            <w:tcW w:w="711" w:type="dxa"/>
          </w:tcPr>
          <w:p>
            <w:pPr>
              <w:pStyle w:val="TableParagraph"/>
              <w:spacing w:line="268" w:lineRule="exact"/>
              <w:ind w:left="109"/>
              <w:rPr>
                <w:sz w:val="24"/>
              </w:rPr>
            </w:pPr>
            <w:r>
              <w:rPr>
                <w:sz w:val="24"/>
              </w:rPr>
              <w:t>П</w:t>
            </w:r>
          </w:p>
        </w:tc>
        <w:tc>
          <w:tcPr>
            <w:tcW w:w="1566" w:type="dxa"/>
          </w:tcPr>
          <w:p>
            <w:pPr>
              <w:pStyle w:val="TableParagraph"/>
              <w:spacing w:line="268" w:lineRule="exact"/>
              <w:ind w:left="104"/>
              <w:rPr>
                <w:sz w:val="24"/>
              </w:rPr>
            </w:pPr>
            <w:r>
              <w:rPr>
                <w:sz w:val="24"/>
              </w:rPr>
              <w:t>76,8±0,86</w:t>
            </w:r>
          </w:p>
          <w:p>
            <w:pPr>
              <w:pStyle w:val="TableParagraph"/>
              <w:spacing w:line="261" w:lineRule="exact" w:before="3"/>
              <w:ind w:left="-35"/>
              <w:rPr>
                <w:sz w:val="24"/>
              </w:rPr>
            </w:pPr>
            <w:r>
              <w:rPr>
                <w:sz w:val="24"/>
              </w:rPr>
              <w:t>***</w:t>
            </w:r>
          </w:p>
        </w:tc>
        <w:tc>
          <w:tcPr>
            <w:tcW w:w="1133" w:type="dxa"/>
          </w:tcPr>
          <w:p>
            <w:pPr>
              <w:pStyle w:val="TableParagraph"/>
              <w:spacing w:line="268" w:lineRule="exact"/>
              <w:ind w:left="-16"/>
              <w:rPr>
                <w:sz w:val="24"/>
              </w:rPr>
            </w:pPr>
            <w:r>
              <w:rPr>
                <w:sz w:val="24"/>
              </w:rPr>
              <w:t>12,7±0,86</w:t>
            </w:r>
          </w:p>
          <w:p>
            <w:pPr>
              <w:pStyle w:val="TableParagraph"/>
              <w:spacing w:line="261" w:lineRule="exact" w:before="3"/>
              <w:ind w:left="104"/>
              <w:rPr>
                <w:sz w:val="24"/>
              </w:rPr>
            </w:pPr>
            <w:r>
              <w:rPr>
                <w:sz w:val="24"/>
              </w:rPr>
              <w:t>***</w:t>
            </w:r>
          </w:p>
        </w:tc>
        <w:tc>
          <w:tcPr>
            <w:tcW w:w="1291" w:type="dxa"/>
          </w:tcPr>
          <w:p>
            <w:pPr>
              <w:pStyle w:val="TableParagraph"/>
              <w:spacing w:line="268" w:lineRule="exact"/>
              <w:ind w:left="-11"/>
              <w:rPr>
                <w:sz w:val="24"/>
              </w:rPr>
            </w:pPr>
            <w:r>
              <w:rPr>
                <w:sz w:val="24"/>
              </w:rPr>
              <w:t>10,5±0,31</w:t>
            </w:r>
          </w:p>
        </w:tc>
        <w:tc>
          <w:tcPr>
            <w:tcW w:w="1262" w:type="dxa"/>
          </w:tcPr>
          <w:p>
            <w:pPr>
              <w:pStyle w:val="TableParagraph"/>
              <w:spacing w:line="268" w:lineRule="exact"/>
              <w:ind w:left="-15"/>
              <w:rPr>
                <w:sz w:val="24"/>
              </w:rPr>
            </w:pPr>
            <w:r>
              <w:rPr>
                <w:sz w:val="24"/>
              </w:rPr>
              <w:t>75,5±0,90</w:t>
            </w:r>
          </w:p>
          <w:p>
            <w:pPr>
              <w:pStyle w:val="TableParagraph"/>
              <w:spacing w:line="261" w:lineRule="exact" w:before="3"/>
              <w:ind w:left="124"/>
              <w:rPr>
                <w:sz w:val="24"/>
              </w:rPr>
            </w:pPr>
            <w:r>
              <w:rPr>
                <w:sz w:val="24"/>
              </w:rPr>
              <w:t>***</w:t>
            </w:r>
          </w:p>
        </w:tc>
        <w:tc>
          <w:tcPr>
            <w:tcW w:w="1214" w:type="dxa"/>
          </w:tcPr>
          <w:p>
            <w:pPr>
              <w:pStyle w:val="TableParagraph"/>
              <w:spacing w:line="268" w:lineRule="exact"/>
              <w:ind w:left="-14"/>
              <w:rPr>
                <w:sz w:val="24"/>
              </w:rPr>
            </w:pPr>
            <w:r>
              <w:rPr>
                <w:sz w:val="24"/>
              </w:rPr>
              <w:t>14,6±0,90</w:t>
            </w:r>
          </w:p>
          <w:p>
            <w:pPr>
              <w:pStyle w:val="TableParagraph"/>
              <w:spacing w:line="261" w:lineRule="exact" w:before="3"/>
              <w:ind w:left="106"/>
              <w:rPr>
                <w:sz w:val="24"/>
              </w:rPr>
            </w:pPr>
            <w:r>
              <w:rPr>
                <w:sz w:val="24"/>
              </w:rPr>
              <w:t>***</w:t>
            </w:r>
          </w:p>
        </w:tc>
        <w:tc>
          <w:tcPr>
            <w:tcW w:w="1128" w:type="dxa"/>
          </w:tcPr>
          <w:p>
            <w:pPr>
              <w:pStyle w:val="TableParagraph"/>
              <w:spacing w:line="268" w:lineRule="exact"/>
              <w:ind w:left="-9" w:right="270"/>
              <w:jc w:val="center"/>
              <w:rPr>
                <w:sz w:val="24"/>
              </w:rPr>
            </w:pPr>
            <w:r>
              <w:rPr>
                <w:sz w:val="24"/>
              </w:rPr>
              <w:t>9,9±0,29</w:t>
            </w:r>
          </w:p>
          <w:p>
            <w:pPr>
              <w:pStyle w:val="TableParagraph"/>
              <w:spacing w:line="261" w:lineRule="exact" w:before="3"/>
              <w:ind w:left="3"/>
              <w:jc w:val="center"/>
              <w:rPr>
                <w:sz w:val="24"/>
              </w:rPr>
            </w:pPr>
            <w:r>
              <w:rPr>
                <w:sz w:val="24"/>
              </w:rPr>
              <w:t>*</w:t>
            </w:r>
          </w:p>
        </w:tc>
      </w:tr>
      <w:tr>
        <w:trPr>
          <w:trHeight w:val="556" w:hRule="atLeast"/>
        </w:trPr>
        <w:tc>
          <w:tcPr>
            <w:tcW w:w="1220" w:type="dxa"/>
            <w:vMerge/>
            <w:tcBorders>
              <w:top w:val="nil"/>
            </w:tcBorders>
          </w:tcPr>
          <w:p>
            <w:pPr>
              <w:rPr>
                <w:sz w:val="2"/>
                <w:szCs w:val="2"/>
              </w:rPr>
            </w:pPr>
          </w:p>
        </w:tc>
        <w:tc>
          <w:tcPr>
            <w:tcW w:w="711" w:type="dxa"/>
          </w:tcPr>
          <w:p>
            <w:pPr>
              <w:pStyle w:val="TableParagraph"/>
              <w:spacing w:line="273" w:lineRule="exact"/>
              <w:ind w:left="109"/>
              <w:rPr>
                <w:sz w:val="24"/>
              </w:rPr>
            </w:pPr>
            <w:r>
              <w:rPr>
                <w:sz w:val="24"/>
              </w:rPr>
              <w:t>С</w:t>
            </w:r>
          </w:p>
        </w:tc>
        <w:tc>
          <w:tcPr>
            <w:tcW w:w="1566" w:type="dxa"/>
          </w:tcPr>
          <w:p>
            <w:pPr>
              <w:pStyle w:val="TableParagraph"/>
              <w:spacing w:line="271" w:lineRule="exact"/>
              <w:ind w:left="104"/>
              <w:rPr>
                <w:sz w:val="24"/>
              </w:rPr>
            </w:pPr>
            <w:r>
              <w:rPr>
                <w:sz w:val="24"/>
              </w:rPr>
              <w:t>67,5±0,57</w:t>
            </w:r>
          </w:p>
          <w:p>
            <w:pPr>
              <w:pStyle w:val="TableParagraph"/>
              <w:spacing w:line="265" w:lineRule="exact"/>
              <w:ind w:left="104"/>
              <w:rPr>
                <w:sz w:val="24"/>
              </w:rPr>
            </w:pPr>
            <w:r>
              <w:rPr>
                <w:sz w:val="24"/>
              </w:rPr>
              <w:t>***</w:t>
            </w:r>
          </w:p>
        </w:tc>
        <w:tc>
          <w:tcPr>
            <w:tcW w:w="1133" w:type="dxa"/>
          </w:tcPr>
          <w:p>
            <w:pPr>
              <w:pStyle w:val="TableParagraph"/>
              <w:spacing w:line="271" w:lineRule="exact"/>
              <w:ind w:left="-16"/>
              <w:rPr>
                <w:sz w:val="24"/>
              </w:rPr>
            </w:pPr>
            <w:r>
              <w:rPr>
                <w:sz w:val="24"/>
              </w:rPr>
              <w:t>19,5±0,39</w:t>
            </w:r>
          </w:p>
          <w:p>
            <w:pPr>
              <w:pStyle w:val="TableParagraph"/>
              <w:spacing w:line="265" w:lineRule="exact"/>
              <w:ind w:left="104"/>
              <w:rPr>
                <w:sz w:val="24"/>
              </w:rPr>
            </w:pPr>
            <w:r>
              <w:rPr>
                <w:sz w:val="24"/>
              </w:rPr>
              <w:t>***</w:t>
            </w:r>
          </w:p>
        </w:tc>
        <w:tc>
          <w:tcPr>
            <w:tcW w:w="1291" w:type="dxa"/>
          </w:tcPr>
          <w:p>
            <w:pPr>
              <w:pStyle w:val="TableParagraph"/>
              <w:spacing w:line="271" w:lineRule="exact"/>
              <w:ind w:left="-11"/>
              <w:rPr>
                <w:sz w:val="24"/>
              </w:rPr>
            </w:pPr>
            <w:r>
              <w:rPr>
                <w:sz w:val="24"/>
              </w:rPr>
              <w:t>13,0±0,26</w:t>
            </w:r>
          </w:p>
          <w:p>
            <w:pPr>
              <w:pStyle w:val="TableParagraph"/>
              <w:spacing w:line="265" w:lineRule="exact"/>
              <w:ind w:left="-11"/>
              <w:rPr>
                <w:sz w:val="24"/>
              </w:rPr>
            </w:pPr>
            <w:r>
              <w:rPr>
                <w:sz w:val="24"/>
              </w:rPr>
              <w:t>*</w:t>
            </w:r>
          </w:p>
        </w:tc>
        <w:tc>
          <w:tcPr>
            <w:tcW w:w="1262" w:type="dxa"/>
          </w:tcPr>
          <w:p>
            <w:pPr>
              <w:pStyle w:val="TableParagraph"/>
              <w:spacing w:line="271" w:lineRule="exact"/>
              <w:ind w:left="-15"/>
              <w:rPr>
                <w:sz w:val="24"/>
              </w:rPr>
            </w:pPr>
            <w:r>
              <w:rPr>
                <w:sz w:val="24"/>
              </w:rPr>
              <w:t>66,4±0,67</w:t>
            </w:r>
          </w:p>
          <w:p>
            <w:pPr>
              <w:pStyle w:val="TableParagraph"/>
              <w:spacing w:line="265" w:lineRule="exact"/>
              <w:ind w:left="124"/>
              <w:rPr>
                <w:sz w:val="24"/>
              </w:rPr>
            </w:pPr>
            <w:r>
              <w:rPr>
                <w:sz w:val="24"/>
              </w:rPr>
              <w:t>***</w:t>
            </w:r>
          </w:p>
        </w:tc>
        <w:tc>
          <w:tcPr>
            <w:tcW w:w="1214" w:type="dxa"/>
          </w:tcPr>
          <w:p>
            <w:pPr>
              <w:pStyle w:val="TableParagraph"/>
              <w:spacing w:line="271" w:lineRule="exact"/>
              <w:ind w:left="-14" w:right="242"/>
              <w:jc w:val="center"/>
              <w:rPr>
                <w:sz w:val="24"/>
              </w:rPr>
            </w:pPr>
            <w:r>
              <w:rPr>
                <w:sz w:val="24"/>
              </w:rPr>
              <w:t>20,9±0,46</w:t>
            </w:r>
          </w:p>
          <w:p>
            <w:pPr>
              <w:pStyle w:val="TableParagraph"/>
              <w:spacing w:line="265" w:lineRule="exact"/>
              <w:ind w:left="237" w:right="242"/>
              <w:jc w:val="center"/>
              <w:rPr>
                <w:sz w:val="24"/>
              </w:rPr>
            </w:pPr>
            <w:r>
              <w:rPr>
                <w:sz w:val="24"/>
              </w:rPr>
              <w:t>***</w:t>
            </w:r>
          </w:p>
        </w:tc>
        <w:tc>
          <w:tcPr>
            <w:tcW w:w="1128" w:type="dxa"/>
          </w:tcPr>
          <w:p>
            <w:pPr>
              <w:pStyle w:val="TableParagraph"/>
              <w:spacing w:line="273" w:lineRule="exact"/>
              <w:ind w:left="-9"/>
              <w:rPr>
                <w:sz w:val="24"/>
              </w:rPr>
            </w:pPr>
            <w:r>
              <w:rPr>
                <w:sz w:val="24"/>
              </w:rPr>
              <w:t>12,7±0,26</w:t>
            </w:r>
          </w:p>
        </w:tc>
      </w:tr>
      <w:tr>
        <w:trPr>
          <w:trHeight w:val="551" w:hRule="atLeast"/>
        </w:trPr>
        <w:tc>
          <w:tcPr>
            <w:tcW w:w="1220" w:type="dxa"/>
            <w:vMerge/>
            <w:tcBorders>
              <w:top w:val="nil"/>
            </w:tcBorders>
          </w:tcPr>
          <w:p>
            <w:pPr>
              <w:rPr>
                <w:sz w:val="2"/>
                <w:szCs w:val="2"/>
              </w:rPr>
            </w:pPr>
          </w:p>
        </w:tc>
        <w:tc>
          <w:tcPr>
            <w:tcW w:w="711" w:type="dxa"/>
          </w:tcPr>
          <w:p>
            <w:pPr>
              <w:pStyle w:val="TableParagraph"/>
              <w:spacing w:line="268" w:lineRule="exact"/>
              <w:ind w:left="109"/>
              <w:rPr>
                <w:sz w:val="24"/>
              </w:rPr>
            </w:pPr>
            <w:r>
              <w:rPr>
                <w:sz w:val="24"/>
              </w:rPr>
              <w:t>Т</w:t>
            </w:r>
          </w:p>
        </w:tc>
        <w:tc>
          <w:tcPr>
            <w:tcW w:w="1566" w:type="dxa"/>
          </w:tcPr>
          <w:p>
            <w:pPr>
              <w:pStyle w:val="TableParagraph"/>
              <w:spacing w:line="267" w:lineRule="exact"/>
              <w:ind w:left="104"/>
              <w:rPr>
                <w:sz w:val="24"/>
              </w:rPr>
            </w:pPr>
            <w:r>
              <w:rPr>
                <w:sz w:val="24"/>
              </w:rPr>
              <w:t>77,0±0,54</w:t>
            </w:r>
          </w:p>
          <w:p>
            <w:pPr>
              <w:pStyle w:val="TableParagraph"/>
              <w:spacing w:line="265" w:lineRule="exact"/>
              <w:ind w:left="104"/>
              <w:rPr>
                <w:sz w:val="24"/>
              </w:rPr>
            </w:pPr>
            <w:r>
              <w:rPr>
                <w:sz w:val="24"/>
              </w:rPr>
              <w:t>***</w:t>
            </w:r>
          </w:p>
        </w:tc>
        <w:tc>
          <w:tcPr>
            <w:tcW w:w="1133" w:type="dxa"/>
          </w:tcPr>
          <w:p>
            <w:pPr>
              <w:pStyle w:val="TableParagraph"/>
              <w:spacing w:line="267" w:lineRule="exact"/>
              <w:ind w:left="-16"/>
              <w:rPr>
                <w:sz w:val="24"/>
              </w:rPr>
            </w:pPr>
            <w:r>
              <w:rPr>
                <w:sz w:val="24"/>
              </w:rPr>
              <w:t>10,4±0,96</w:t>
            </w:r>
          </w:p>
          <w:p>
            <w:pPr>
              <w:pStyle w:val="TableParagraph"/>
              <w:spacing w:line="265" w:lineRule="exact"/>
              <w:ind w:left="104"/>
              <w:rPr>
                <w:sz w:val="24"/>
              </w:rPr>
            </w:pPr>
            <w:r>
              <w:rPr>
                <w:sz w:val="24"/>
              </w:rPr>
              <w:t>***</w:t>
            </w:r>
          </w:p>
        </w:tc>
        <w:tc>
          <w:tcPr>
            <w:tcW w:w="1291" w:type="dxa"/>
          </w:tcPr>
          <w:p>
            <w:pPr>
              <w:pStyle w:val="TableParagraph"/>
              <w:spacing w:line="268" w:lineRule="exact"/>
              <w:ind w:left="-11"/>
              <w:rPr>
                <w:sz w:val="24"/>
              </w:rPr>
            </w:pPr>
            <w:r>
              <w:rPr>
                <w:sz w:val="24"/>
              </w:rPr>
              <w:t>12,6±0,62</w:t>
            </w:r>
          </w:p>
        </w:tc>
        <w:tc>
          <w:tcPr>
            <w:tcW w:w="1262" w:type="dxa"/>
          </w:tcPr>
          <w:p>
            <w:pPr>
              <w:pStyle w:val="TableParagraph"/>
              <w:spacing w:line="267" w:lineRule="exact"/>
              <w:ind w:left="-15"/>
              <w:rPr>
                <w:sz w:val="24"/>
              </w:rPr>
            </w:pPr>
            <w:r>
              <w:rPr>
                <w:sz w:val="24"/>
              </w:rPr>
              <w:t>74,2±0,64</w:t>
            </w:r>
          </w:p>
          <w:p>
            <w:pPr>
              <w:pStyle w:val="TableParagraph"/>
              <w:spacing w:line="265" w:lineRule="exact"/>
              <w:ind w:left="124"/>
              <w:rPr>
                <w:sz w:val="24"/>
              </w:rPr>
            </w:pPr>
            <w:r>
              <w:rPr>
                <w:sz w:val="24"/>
              </w:rPr>
              <w:t>***</w:t>
            </w:r>
          </w:p>
        </w:tc>
        <w:tc>
          <w:tcPr>
            <w:tcW w:w="1214" w:type="dxa"/>
          </w:tcPr>
          <w:p>
            <w:pPr>
              <w:pStyle w:val="TableParagraph"/>
              <w:spacing w:line="267" w:lineRule="exact"/>
              <w:ind w:left="-14" w:right="242"/>
              <w:jc w:val="center"/>
              <w:rPr>
                <w:sz w:val="24"/>
              </w:rPr>
            </w:pPr>
            <w:r>
              <w:rPr>
                <w:sz w:val="24"/>
              </w:rPr>
              <w:t>13,5±1,10</w:t>
            </w:r>
          </w:p>
          <w:p>
            <w:pPr>
              <w:pStyle w:val="TableParagraph"/>
              <w:spacing w:line="265" w:lineRule="exact"/>
              <w:ind w:left="237" w:right="242"/>
              <w:jc w:val="center"/>
              <w:rPr>
                <w:sz w:val="24"/>
              </w:rPr>
            </w:pPr>
            <w:r>
              <w:rPr>
                <w:sz w:val="24"/>
              </w:rPr>
              <w:t>***</w:t>
            </w:r>
          </w:p>
        </w:tc>
        <w:tc>
          <w:tcPr>
            <w:tcW w:w="1128" w:type="dxa"/>
          </w:tcPr>
          <w:p>
            <w:pPr>
              <w:pStyle w:val="TableParagraph"/>
              <w:spacing w:line="268" w:lineRule="exact"/>
              <w:ind w:left="-9"/>
              <w:rPr>
                <w:sz w:val="24"/>
              </w:rPr>
            </w:pPr>
            <w:r>
              <w:rPr>
                <w:sz w:val="24"/>
              </w:rPr>
              <w:t>12,3±0,57</w:t>
            </w:r>
          </w:p>
        </w:tc>
      </w:tr>
    </w:tbl>
    <w:p>
      <w:pPr>
        <w:spacing w:line="266" w:lineRule="exact" w:before="0"/>
        <w:ind w:left="759" w:right="0" w:firstLine="0"/>
        <w:jc w:val="left"/>
        <w:rPr>
          <w:i/>
          <w:sz w:val="24"/>
        </w:rPr>
      </w:pPr>
      <w:r>
        <w:rPr>
          <w:b/>
          <w:i/>
          <w:sz w:val="24"/>
        </w:rPr>
        <w:t>Примітки: </w:t>
      </w:r>
      <w:r>
        <w:rPr>
          <w:i/>
          <w:sz w:val="24"/>
        </w:rPr>
        <w:t>П – плечолопаткова, С – спинопоперекова, Т – тазостегнова, * - р &lt; 0,05; **</w:t>
      </w:r>
    </w:p>
    <w:p>
      <w:pPr>
        <w:spacing w:line="275" w:lineRule="exact" w:before="0"/>
        <w:ind w:left="193" w:right="0" w:firstLine="0"/>
        <w:jc w:val="both"/>
        <w:rPr>
          <w:i/>
          <w:sz w:val="24"/>
        </w:rPr>
      </w:pPr>
      <w:r>
        <w:rPr>
          <w:i/>
          <w:sz w:val="24"/>
        </w:rPr>
        <w:t>- р &lt; 0,01; *** - р &lt; 0,001</w:t>
      </w:r>
    </w:p>
    <w:p>
      <w:pPr>
        <w:pStyle w:val="BodyText"/>
        <w:spacing w:before="3"/>
        <w:ind w:left="0"/>
        <w:jc w:val="left"/>
        <w:rPr>
          <w:i/>
        </w:rPr>
      </w:pPr>
    </w:p>
    <w:p>
      <w:pPr>
        <w:pStyle w:val="BodyText"/>
        <w:ind w:right="610" w:firstLine="566"/>
      </w:pPr>
      <w:r>
        <w:rPr/>
        <w:t>За живої маси 100 кг найбільший вміст сала та кісток встановлено у спинопоперековому відрубі відповідно 19,5% та 13,0 %, а за живої маси 100 кг дані</w:t>
      </w:r>
      <w:r>
        <w:rPr>
          <w:spacing w:val="-13"/>
        </w:rPr>
        <w:t> </w:t>
      </w:r>
      <w:r>
        <w:rPr/>
        <w:t>показники</w:t>
      </w:r>
      <w:r>
        <w:rPr>
          <w:spacing w:val="-2"/>
        </w:rPr>
        <w:t> </w:t>
      </w:r>
      <w:r>
        <w:rPr/>
        <w:t>відповідно</w:t>
      </w:r>
      <w:r>
        <w:rPr>
          <w:spacing w:val="-7"/>
        </w:rPr>
        <w:t> </w:t>
      </w:r>
      <w:r>
        <w:rPr/>
        <w:t>склали</w:t>
      </w:r>
      <w:r>
        <w:rPr>
          <w:spacing w:val="-7"/>
        </w:rPr>
        <w:t> </w:t>
      </w:r>
      <w:r>
        <w:rPr/>
        <w:t>20,9</w:t>
      </w:r>
      <w:r>
        <w:rPr>
          <w:spacing w:val="-6"/>
        </w:rPr>
        <w:t> </w:t>
      </w:r>
      <w:r>
        <w:rPr/>
        <w:t>%</w:t>
      </w:r>
      <w:r>
        <w:rPr>
          <w:spacing w:val="-4"/>
        </w:rPr>
        <w:t> </w:t>
      </w:r>
      <w:r>
        <w:rPr/>
        <w:t>та</w:t>
      </w:r>
      <w:r>
        <w:rPr>
          <w:spacing w:val="-6"/>
        </w:rPr>
        <w:t> </w:t>
      </w:r>
      <w:r>
        <w:rPr/>
        <w:t>12,7</w:t>
      </w:r>
      <w:r>
        <w:rPr>
          <w:spacing w:val="-7"/>
        </w:rPr>
        <w:t> </w:t>
      </w:r>
      <w:r>
        <w:rPr/>
        <w:t>%.</w:t>
      </w:r>
      <w:r>
        <w:rPr>
          <w:spacing w:val="-4"/>
        </w:rPr>
        <w:t> </w:t>
      </w:r>
      <w:r>
        <w:rPr/>
        <w:t>При</w:t>
      </w:r>
      <w:r>
        <w:rPr>
          <w:spacing w:val="-7"/>
        </w:rPr>
        <w:t> </w:t>
      </w:r>
      <w:r>
        <w:rPr/>
        <w:t>збільшені</w:t>
      </w:r>
      <w:r>
        <w:rPr>
          <w:spacing w:val="-12"/>
        </w:rPr>
        <w:t> </w:t>
      </w:r>
      <w:r>
        <w:rPr/>
        <w:t>передзабійної живої маси молодняку до 120 кг у тварин породи п’єтрен спостерігається зменшення вмісту м’язової тканини у плечелопатковому відрубі з 76,8% до 75,5%, а у тазостегновому відрубі породи п’єтрен – з 77,0% до 74,2 %. У цілому слід зазначити, що морфологічний склад </w:t>
      </w:r>
      <w:r>
        <w:rPr>
          <w:spacing w:val="-3"/>
        </w:rPr>
        <w:t>туш </w:t>
      </w:r>
      <w:r>
        <w:rPr/>
        <w:t>молодняку свиней породи п’єтрен має характерну специфіку, що полягає у підвищеному вмісті м’яса в усіх анатомічних відрубах</w:t>
      </w:r>
      <w:r>
        <w:rPr>
          <w:spacing w:val="-7"/>
        </w:rPr>
        <w:t> </w:t>
      </w:r>
      <w:r>
        <w:rPr/>
        <w:t>туші.</w:t>
      </w:r>
    </w:p>
    <w:p>
      <w:pPr>
        <w:pStyle w:val="BodyText"/>
        <w:ind w:right="609" w:firstLine="566"/>
      </w:pPr>
      <w:r>
        <w:rPr/>
        <w:t>При визначенні комплексного класу бонітування за показником живої маси усі</w:t>
      </w:r>
      <w:r>
        <w:rPr>
          <w:spacing w:val="-17"/>
        </w:rPr>
        <w:t> </w:t>
      </w:r>
      <w:r>
        <w:rPr/>
        <w:t>100%</w:t>
      </w:r>
      <w:r>
        <w:rPr>
          <w:spacing w:val="-13"/>
        </w:rPr>
        <w:t> </w:t>
      </w:r>
      <w:r>
        <w:rPr/>
        <w:t>кнурів</w:t>
      </w:r>
      <w:r>
        <w:rPr>
          <w:spacing w:val="-9"/>
        </w:rPr>
        <w:t> </w:t>
      </w:r>
      <w:r>
        <w:rPr/>
        <w:t>та</w:t>
      </w:r>
      <w:r>
        <w:rPr>
          <w:spacing w:val="-11"/>
        </w:rPr>
        <w:t> </w:t>
      </w:r>
      <w:r>
        <w:rPr/>
        <w:t>маток</w:t>
      </w:r>
      <w:r>
        <w:rPr>
          <w:spacing w:val="-13"/>
        </w:rPr>
        <w:t> </w:t>
      </w:r>
      <w:r>
        <w:rPr/>
        <w:t>даного</w:t>
      </w:r>
      <w:r>
        <w:rPr>
          <w:spacing w:val="-11"/>
        </w:rPr>
        <w:t> </w:t>
      </w:r>
      <w:r>
        <w:rPr/>
        <w:t>стада</w:t>
      </w:r>
      <w:r>
        <w:rPr>
          <w:spacing w:val="-11"/>
        </w:rPr>
        <w:t> </w:t>
      </w:r>
      <w:r>
        <w:rPr/>
        <w:t>віднесено</w:t>
      </w:r>
      <w:r>
        <w:rPr>
          <w:spacing w:val="-12"/>
        </w:rPr>
        <w:t> </w:t>
      </w:r>
      <w:r>
        <w:rPr/>
        <w:t>до</w:t>
      </w:r>
      <w:r>
        <w:rPr>
          <w:spacing w:val="-11"/>
        </w:rPr>
        <w:t> </w:t>
      </w:r>
      <w:r>
        <w:rPr/>
        <w:t>класу</w:t>
      </w:r>
      <w:r>
        <w:rPr>
          <w:spacing w:val="-17"/>
        </w:rPr>
        <w:t> </w:t>
      </w:r>
      <w:r>
        <w:rPr/>
        <w:t>еліта,</w:t>
      </w:r>
      <w:r>
        <w:rPr>
          <w:spacing w:val="-9"/>
        </w:rPr>
        <w:t> </w:t>
      </w:r>
      <w:r>
        <w:rPr/>
        <w:t>а</w:t>
      </w:r>
      <w:r>
        <w:rPr>
          <w:spacing w:val="-11"/>
        </w:rPr>
        <w:t> </w:t>
      </w:r>
      <w:r>
        <w:rPr/>
        <w:t>за</w:t>
      </w:r>
      <w:r>
        <w:rPr>
          <w:spacing w:val="-11"/>
        </w:rPr>
        <w:t> </w:t>
      </w:r>
      <w:r>
        <w:rPr/>
        <w:t>показниками довжини тулуба свиноматки належать до ІІ класу, що пояснюється специфічністю даної породи та невідповідністю вимог діючої Інструкції з бонітування свиней, що висуваються до інших м’ясних порід (ландрас, дюрок). Слід зауважити, що бонітування даної породи було проведено з урахуванням вимог, що висуваються до другої групи порід свиней, які мають суттєві відмінності</w:t>
      </w:r>
      <w:r>
        <w:rPr>
          <w:spacing w:val="-12"/>
        </w:rPr>
        <w:t> </w:t>
      </w:r>
      <w:r>
        <w:rPr/>
        <w:t>за</w:t>
      </w:r>
      <w:r>
        <w:rPr>
          <w:spacing w:val="-9"/>
        </w:rPr>
        <w:t> </w:t>
      </w:r>
      <w:r>
        <w:rPr/>
        <w:t>показниками</w:t>
      </w:r>
      <w:r>
        <w:rPr>
          <w:spacing w:val="-10"/>
        </w:rPr>
        <w:t> </w:t>
      </w:r>
      <w:r>
        <w:rPr/>
        <w:t>багатоплідності,</w:t>
      </w:r>
      <w:r>
        <w:rPr>
          <w:spacing w:val="-8"/>
        </w:rPr>
        <w:t> </w:t>
      </w:r>
      <w:r>
        <w:rPr/>
        <w:t>довжини</w:t>
      </w:r>
      <w:r>
        <w:rPr>
          <w:spacing w:val="-11"/>
        </w:rPr>
        <w:t> </w:t>
      </w:r>
      <w:r>
        <w:rPr/>
        <w:t>тулуба</w:t>
      </w:r>
      <w:r>
        <w:rPr>
          <w:spacing w:val="-10"/>
        </w:rPr>
        <w:t> </w:t>
      </w:r>
      <w:r>
        <w:rPr/>
        <w:t>(наприклад</w:t>
      </w:r>
      <w:r>
        <w:rPr>
          <w:spacing w:val="-8"/>
        </w:rPr>
        <w:t> </w:t>
      </w:r>
      <w:r>
        <w:rPr/>
        <w:t>порода ландрас). За показниками відгодівельних та м’ясних якостей стадо має показники, що суттєво перевищують вимоги класу еліта діючої інструкції з бонітування свиней. Розподіл тварин за класами за результатами бонітування 2019 р. – сумарна оцінка представлена у таблиці</w:t>
      </w:r>
      <w:r>
        <w:rPr>
          <w:spacing w:val="6"/>
        </w:rPr>
        <w:t> </w:t>
      </w:r>
      <w:r>
        <w:rPr/>
        <w:t>6.</w:t>
      </w:r>
    </w:p>
    <w:p>
      <w:pPr>
        <w:pStyle w:val="BodyText"/>
        <w:ind w:right="614" w:firstLine="710"/>
      </w:pPr>
      <w:r>
        <w:rPr/>
        <w:t>Генеалогічний розподіл стада основних кнурів включає 4 генеалогічні лінії:   08NUF2501887,   62ND62012501925,   22KRW081475,</w:t>
      </w:r>
      <w:r>
        <w:rPr>
          <w:spacing w:val="14"/>
        </w:rPr>
        <w:t> </w:t>
      </w:r>
      <w:r>
        <w:rPr/>
        <w:t>29CSR2013501963.</w:t>
      </w:r>
    </w:p>
    <w:p>
      <w:pPr>
        <w:pStyle w:val="BodyText"/>
        <w:spacing w:before="3"/>
        <w:ind w:right="611"/>
      </w:pPr>
      <w:r>
        <w:rPr/>
        <w:t>Генеалогічний розподіл стада основних свиноматок включає 8 генеалогічних родин:</w:t>
      </w:r>
      <w:r>
        <w:rPr>
          <w:spacing w:val="-21"/>
        </w:rPr>
        <w:t> </w:t>
      </w:r>
      <w:r>
        <w:rPr/>
        <w:t>1830</w:t>
      </w:r>
      <w:r>
        <w:rPr>
          <w:spacing w:val="-12"/>
        </w:rPr>
        <w:t> </w:t>
      </w:r>
      <w:r>
        <w:rPr/>
        <w:t>(n=4),</w:t>
      </w:r>
      <w:r>
        <w:rPr>
          <w:spacing w:val="-14"/>
        </w:rPr>
        <w:t> </w:t>
      </w:r>
      <w:r>
        <w:rPr/>
        <w:t>1382</w:t>
      </w:r>
      <w:r>
        <w:rPr>
          <w:spacing w:val="-17"/>
        </w:rPr>
        <w:t> </w:t>
      </w:r>
      <w:r>
        <w:rPr/>
        <w:t>(n=5),</w:t>
      </w:r>
      <w:r>
        <w:rPr>
          <w:spacing w:val="-14"/>
        </w:rPr>
        <w:t> </w:t>
      </w:r>
      <w:r>
        <w:rPr/>
        <w:t>1510</w:t>
      </w:r>
      <w:r>
        <w:rPr>
          <w:spacing w:val="-11"/>
        </w:rPr>
        <w:t> </w:t>
      </w:r>
      <w:r>
        <w:rPr/>
        <w:t>(n=6),</w:t>
      </w:r>
      <w:r>
        <w:rPr>
          <w:spacing w:val="-10"/>
        </w:rPr>
        <w:t> </w:t>
      </w:r>
      <w:r>
        <w:rPr/>
        <w:t>2005</w:t>
      </w:r>
      <w:r>
        <w:rPr>
          <w:spacing w:val="-16"/>
        </w:rPr>
        <w:t> </w:t>
      </w:r>
      <w:r>
        <w:rPr/>
        <w:t>(n=5),</w:t>
      </w:r>
      <w:r>
        <w:rPr>
          <w:spacing w:val="-15"/>
        </w:rPr>
        <w:t> </w:t>
      </w:r>
      <w:r>
        <w:rPr/>
        <w:t>0464</w:t>
      </w:r>
      <w:r>
        <w:rPr>
          <w:spacing w:val="-11"/>
        </w:rPr>
        <w:t> </w:t>
      </w:r>
      <w:r>
        <w:rPr/>
        <w:t>(n=7),</w:t>
      </w:r>
      <w:r>
        <w:rPr>
          <w:spacing w:val="-14"/>
        </w:rPr>
        <w:t> </w:t>
      </w:r>
      <w:r>
        <w:rPr/>
        <w:t>7135</w:t>
      </w:r>
      <w:r>
        <w:rPr>
          <w:spacing w:val="-12"/>
        </w:rPr>
        <w:t> </w:t>
      </w:r>
      <w:r>
        <w:rPr/>
        <w:t>(n=5),</w:t>
      </w:r>
      <w:r>
        <w:rPr>
          <w:spacing w:val="-13"/>
        </w:rPr>
        <w:t> </w:t>
      </w:r>
      <w:r>
        <w:rPr/>
        <w:t>1838</w:t>
      </w:r>
    </w:p>
    <w:p>
      <w:pPr>
        <w:pStyle w:val="BodyText"/>
        <w:ind w:right="612"/>
      </w:pPr>
      <w:r>
        <w:rPr/>
        <w:t>(n=5),</w:t>
      </w:r>
      <w:r>
        <w:rPr>
          <w:spacing w:val="-13"/>
        </w:rPr>
        <w:t> </w:t>
      </w:r>
      <w:r>
        <w:rPr/>
        <w:t>1002</w:t>
      </w:r>
      <w:r>
        <w:rPr>
          <w:spacing w:val="-15"/>
        </w:rPr>
        <w:t> </w:t>
      </w:r>
      <w:r>
        <w:rPr/>
        <w:t>(n=3).</w:t>
      </w:r>
      <w:r>
        <w:rPr>
          <w:spacing w:val="-12"/>
        </w:rPr>
        <w:t> </w:t>
      </w:r>
      <w:r>
        <w:rPr/>
        <w:t>У</w:t>
      </w:r>
      <w:r>
        <w:rPr>
          <w:spacing w:val="-14"/>
        </w:rPr>
        <w:t> </w:t>
      </w:r>
      <w:r>
        <w:rPr/>
        <w:t>господарстві</w:t>
      </w:r>
      <w:r>
        <w:rPr>
          <w:spacing w:val="-19"/>
        </w:rPr>
        <w:t> </w:t>
      </w:r>
      <w:r>
        <w:rPr/>
        <w:t>підтримують</w:t>
      </w:r>
      <w:r>
        <w:rPr>
          <w:spacing w:val="-17"/>
        </w:rPr>
        <w:t> </w:t>
      </w:r>
      <w:r>
        <w:rPr/>
        <w:t>таку</w:t>
      </w:r>
      <w:r>
        <w:rPr>
          <w:spacing w:val="-19"/>
        </w:rPr>
        <w:t> </w:t>
      </w:r>
      <w:r>
        <w:rPr/>
        <w:t>кількість</w:t>
      </w:r>
      <w:r>
        <w:rPr>
          <w:spacing w:val="-16"/>
        </w:rPr>
        <w:t> </w:t>
      </w:r>
      <w:r>
        <w:rPr/>
        <w:t>генеалогічних</w:t>
      </w:r>
      <w:r>
        <w:rPr>
          <w:spacing w:val="-19"/>
        </w:rPr>
        <w:t> </w:t>
      </w:r>
      <w:r>
        <w:rPr/>
        <w:t>ліній та родин з метою профілактики прояву явища інбридингу в стаді. Крім того, </w:t>
      </w:r>
      <w:r>
        <w:rPr>
          <w:spacing w:val="7"/>
        </w:rPr>
        <w:t>ще </w:t>
      </w:r>
      <w:r>
        <w:rPr/>
        <w:t>у</w:t>
      </w:r>
      <w:r>
        <w:rPr>
          <w:spacing w:val="-11"/>
        </w:rPr>
        <w:t> </w:t>
      </w:r>
      <w:r>
        <w:rPr/>
        <w:t>2018</w:t>
      </w:r>
      <w:r>
        <w:rPr>
          <w:spacing w:val="-6"/>
        </w:rPr>
        <w:t> </w:t>
      </w:r>
      <w:r>
        <w:rPr/>
        <w:t>році</w:t>
      </w:r>
      <w:r>
        <w:rPr>
          <w:spacing w:val="-7"/>
        </w:rPr>
        <w:t> </w:t>
      </w:r>
      <w:r>
        <w:rPr/>
        <w:t>генеалогічну</w:t>
      </w:r>
      <w:r>
        <w:rPr>
          <w:spacing w:val="-6"/>
        </w:rPr>
        <w:t> </w:t>
      </w:r>
      <w:r>
        <w:rPr/>
        <w:t>структуру</w:t>
      </w:r>
      <w:r>
        <w:rPr>
          <w:spacing w:val="-5"/>
        </w:rPr>
        <w:t> </w:t>
      </w:r>
      <w:r>
        <w:rPr/>
        <w:t>стада</w:t>
      </w:r>
      <w:r>
        <w:rPr>
          <w:spacing w:val="-6"/>
        </w:rPr>
        <w:t> </w:t>
      </w:r>
      <w:r>
        <w:rPr/>
        <w:t>було</w:t>
      </w:r>
      <w:r>
        <w:rPr>
          <w:spacing w:val="-6"/>
        </w:rPr>
        <w:t> </w:t>
      </w:r>
      <w:r>
        <w:rPr/>
        <w:t>розширено</w:t>
      </w:r>
      <w:r>
        <w:rPr>
          <w:spacing w:val="-6"/>
        </w:rPr>
        <w:t> </w:t>
      </w:r>
      <w:r>
        <w:rPr/>
        <w:t>за</w:t>
      </w:r>
      <w:r>
        <w:rPr>
          <w:spacing w:val="-5"/>
        </w:rPr>
        <w:t> </w:t>
      </w:r>
      <w:r>
        <w:rPr/>
        <w:t>рахунок</w:t>
      </w:r>
      <w:r>
        <w:rPr>
          <w:spacing w:val="-8"/>
        </w:rPr>
        <w:t> </w:t>
      </w:r>
      <w:r>
        <w:rPr>
          <w:spacing w:val="2"/>
        </w:rPr>
        <w:t>закупівлі</w:t>
      </w:r>
      <w:r>
        <w:rPr>
          <w:spacing w:val="-11"/>
        </w:rPr>
        <w:t> </w:t>
      </w:r>
      <w:r>
        <w:rPr/>
        <w:t>6</w:t>
      </w:r>
    </w:p>
    <w:p>
      <w:pPr>
        <w:spacing w:after="0"/>
        <w:sectPr>
          <w:pgSz w:w="11910" w:h="16840"/>
          <w:pgMar w:header="713" w:footer="778" w:top="1140" w:bottom="960" w:left="940" w:right="520"/>
        </w:sectPr>
      </w:pPr>
    </w:p>
    <w:p>
      <w:pPr>
        <w:pStyle w:val="BodyText"/>
        <w:spacing w:before="92"/>
        <w:ind w:right="613"/>
      </w:pPr>
      <w:r>
        <w:rPr/>
        <w:t>ремонтних кнурців та 16 голів ремонтних свинок нових генеалогічних ліній та родин.</w:t>
      </w:r>
      <w:r>
        <w:rPr>
          <w:spacing w:val="-7"/>
        </w:rPr>
        <w:t> </w:t>
      </w:r>
      <w:r>
        <w:rPr/>
        <w:t>Так,</w:t>
      </w:r>
      <w:r>
        <w:rPr>
          <w:spacing w:val="-6"/>
        </w:rPr>
        <w:t> </w:t>
      </w:r>
      <w:r>
        <w:rPr/>
        <w:t>на</w:t>
      </w:r>
      <w:r>
        <w:rPr>
          <w:spacing w:val="-8"/>
        </w:rPr>
        <w:t> </w:t>
      </w:r>
      <w:r>
        <w:rPr/>
        <w:t>даному</w:t>
      </w:r>
      <w:r>
        <w:rPr>
          <w:spacing w:val="-13"/>
        </w:rPr>
        <w:t> </w:t>
      </w:r>
      <w:r>
        <w:rPr/>
        <w:t>етапі</w:t>
      </w:r>
      <w:r>
        <w:rPr>
          <w:spacing w:val="-14"/>
        </w:rPr>
        <w:t> </w:t>
      </w:r>
      <w:r>
        <w:rPr/>
        <w:t>стадо</w:t>
      </w:r>
      <w:r>
        <w:rPr>
          <w:spacing w:val="-8"/>
        </w:rPr>
        <w:t> </w:t>
      </w:r>
      <w:r>
        <w:rPr/>
        <w:t>свиней</w:t>
      </w:r>
      <w:r>
        <w:rPr>
          <w:spacing w:val="-8"/>
        </w:rPr>
        <w:t> </w:t>
      </w:r>
      <w:r>
        <w:rPr/>
        <w:t>представлено</w:t>
      </w:r>
      <w:r>
        <w:rPr>
          <w:spacing w:val="-8"/>
        </w:rPr>
        <w:t> </w:t>
      </w:r>
      <w:r>
        <w:rPr/>
        <w:t>кнурами</w:t>
      </w:r>
      <w:r>
        <w:rPr>
          <w:spacing w:val="-9"/>
        </w:rPr>
        <w:t> </w:t>
      </w:r>
      <w:r>
        <w:rPr/>
        <w:t>4</w:t>
      </w:r>
      <w:r>
        <w:rPr>
          <w:spacing w:val="-8"/>
        </w:rPr>
        <w:t> </w:t>
      </w:r>
      <w:r>
        <w:rPr/>
        <w:t>генеалогічних ліній та свиноматками 8 генеалогічних родин. Також у стаді використовуються кнури-плідники</w:t>
      </w:r>
      <w:r>
        <w:rPr>
          <w:spacing w:val="-9"/>
        </w:rPr>
        <w:t> </w:t>
      </w:r>
      <w:r>
        <w:rPr/>
        <w:t>породи</w:t>
      </w:r>
      <w:r>
        <w:rPr>
          <w:spacing w:val="-9"/>
        </w:rPr>
        <w:t> </w:t>
      </w:r>
      <w:r>
        <w:rPr/>
        <w:t>дюрок</w:t>
      </w:r>
      <w:r>
        <w:rPr>
          <w:spacing w:val="-9"/>
        </w:rPr>
        <w:t> </w:t>
      </w:r>
      <w:r>
        <w:rPr/>
        <w:t>при</w:t>
      </w:r>
      <w:r>
        <w:rPr>
          <w:spacing w:val="-10"/>
        </w:rPr>
        <w:t> </w:t>
      </w:r>
      <w:r>
        <w:rPr/>
        <w:t>виробництві</w:t>
      </w:r>
      <w:r>
        <w:rPr>
          <w:spacing w:val="-14"/>
        </w:rPr>
        <w:t> </w:t>
      </w:r>
      <w:r>
        <w:rPr/>
        <w:t>гібридних</w:t>
      </w:r>
      <w:r>
        <w:rPr>
          <w:spacing w:val="-13"/>
        </w:rPr>
        <w:t> </w:t>
      </w:r>
      <w:r>
        <w:rPr/>
        <w:t>кнурців,</w:t>
      </w:r>
      <w:r>
        <w:rPr>
          <w:spacing w:val="-7"/>
        </w:rPr>
        <w:t> </w:t>
      </w:r>
      <w:r>
        <w:rPr/>
        <w:t>що</w:t>
      </w:r>
      <w:r>
        <w:rPr>
          <w:spacing w:val="-8"/>
        </w:rPr>
        <w:t> </w:t>
      </w:r>
      <w:r>
        <w:rPr/>
        <w:t>належать також до 2 генеалогічних ліній за своїм походженням. Селекційно-племінна робота </w:t>
      </w:r>
      <w:r>
        <w:rPr>
          <w:spacing w:val="-3"/>
        </w:rPr>
        <w:t>із </w:t>
      </w:r>
      <w:r>
        <w:rPr/>
        <w:t>стадом свиней породи п’єтрен в господарстві продовжується в напрямку консолідації стада за основними ознаками продуктивності під керівництвом науковців Одеського державного аграрного</w:t>
      </w:r>
      <w:r>
        <w:rPr>
          <w:spacing w:val="-5"/>
        </w:rPr>
        <w:t> </w:t>
      </w:r>
      <w:r>
        <w:rPr/>
        <w:t>університету.</w:t>
      </w:r>
    </w:p>
    <w:p>
      <w:pPr>
        <w:pStyle w:val="BodyText"/>
        <w:spacing w:before="2" w:after="7"/>
        <w:ind w:left="903"/>
      </w:pPr>
      <w:r>
        <w:rPr/>
        <w:t>Таблиця 6. Розподіл тварин за класами бонітування (2019 р.)</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807"/>
        <w:gridCol w:w="806"/>
        <w:gridCol w:w="941"/>
        <w:gridCol w:w="850"/>
        <w:gridCol w:w="850"/>
        <w:gridCol w:w="851"/>
        <w:gridCol w:w="995"/>
        <w:gridCol w:w="995"/>
      </w:tblGrid>
      <w:tr>
        <w:trPr>
          <w:trHeight w:val="273" w:hRule="atLeast"/>
        </w:trPr>
        <w:tc>
          <w:tcPr>
            <w:tcW w:w="2660" w:type="dxa"/>
            <w:vMerge w:val="restart"/>
          </w:tcPr>
          <w:p>
            <w:pPr>
              <w:pStyle w:val="TableParagraph"/>
              <w:spacing w:before="136"/>
              <w:ind w:left="110"/>
              <w:rPr>
                <w:sz w:val="24"/>
              </w:rPr>
            </w:pPr>
            <w:r>
              <w:rPr>
                <w:sz w:val="24"/>
              </w:rPr>
              <w:t>Статево-вікові групи</w:t>
            </w:r>
          </w:p>
        </w:tc>
        <w:tc>
          <w:tcPr>
            <w:tcW w:w="1613" w:type="dxa"/>
            <w:gridSpan w:val="2"/>
          </w:tcPr>
          <w:p>
            <w:pPr>
              <w:pStyle w:val="TableParagraph"/>
              <w:spacing w:line="253" w:lineRule="exact"/>
              <w:ind w:left="110"/>
              <w:rPr>
                <w:sz w:val="24"/>
              </w:rPr>
            </w:pPr>
            <w:r>
              <w:rPr>
                <w:sz w:val="24"/>
              </w:rPr>
              <w:t>Еліта-рекорд</w:t>
            </w:r>
          </w:p>
        </w:tc>
        <w:tc>
          <w:tcPr>
            <w:tcW w:w="1791" w:type="dxa"/>
            <w:gridSpan w:val="2"/>
          </w:tcPr>
          <w:p>
            <w:pPr>
              <w:pStyle w:val="TableParagraph"/>
              <w:spacing w:line="253" w:lineRule="exact"/>
              <w:ind w:left="907"/>
              <w:rPr>
                <w:sz w:val="24"/>
              </w:rPr>
            </w:pPr>
            <w:r>
              <w:rPr>
                <w:sz w:val="24"/>
              </w:rPr>
              <w:t>Еліта</w:t>
            </w:r>
          </w:p>
        </w:tc>
        <w:tc>
          <w:tcPr>
            <w:tcW w:w="1701" w:type="dxa"/>
            <w:gridSpan w:val="2"/>
          </w:tcPr>
          <w:p>
            <w:pPr>
              <w:pStyle w:val="TableParagraph"/>
              <w:spacing w:line="253" w:lineRule="exact"/>
              <w:ind w:left="835"/>
              <w:rPr>
                <w:sz w:val="24"/>
              </w:rPr>
            </w:pPr>
            <w:r>
              <w:rPr>
                <w:sz w:val="24"/>
              </w:rPr>
              <w:t>І клас</w:t>
            </w:r>
          </w:p>
        </w:tc>
        <w:tc>
          <w:tcPr>
            <w:tcW w:w="1990" w:type="dxa"/>
            <w:gridSpan w:val="2"/>
          </w:tcPr>
          <w:p>
            <w:pPr>
              <w:pStyle w:val="TableParagraph"/>
              <w:spacing w:line="253" w:lineRule="exact"/>
              <w:ind w:left="940"/>
              <w:rPr>
                <w:sz w:val="24"/>
              </w:rPr>
            </w:pPr>
            <w:r>
              <w:rPr>
                <w:sz w:val="24"/>
              </w:rPr>
              <w:t>ІІ клас</w:t>
            </w:r>
          </w:p>
        </w:tc>
      </w:tr>
      <w:tr>
        <w:trPr>
          <w:trHeight w:val="278" w:hRule="atLeast"/>
        </w:trPr>
        <w:tc>
          <w:tcPr>
            <w:tcW w:w="2660" w:type="dxa"/>
            <w:vMerge/>
            <w:tcBorders>
              <w:top w:val="nil"/>
            </w:tcBorders>
          </w:tcPr>
          <w:p>
            <w:pPr>
              <w:rPr>
                <w:sz w:val="2"/>
                <w:szCs w:val="2"/>
              </w:rPr>
            </w:pPr>
          </w:p>
        </w:tc>
        <w:tc>
          <w:tcPr>
            <w:tcW w:w="807" w:type="dxa"/>
          </w:tcPr>
          <w:p>
            <w:pPr>
              <w:pStyle w:val="TableParagraph"/>
              <w:spacing w:line="258" w:lineRule="exact"/>
              <w:ind w:left="110"/>
              <w:rPr>
                <w:sz w:val="24"/>
              </w:rPr>
            </w:pPr>
            <w:r>
              <w:rPr>
                <w:sz w:val="24"/>
              </w:rPr>
              <w:t>гол.</w:t>
            </w:r>
          </w:p>
        </w:tc>
        <w:tc>
          <w:tcPr>
            <w:tcW w:w="806" w:type="dxa"/>
          </w:tcPr>
          <w:p>
            <w:pPr>
              <w:pStyle w:val="TableParagraph"/>
              <w:spacing w:line="258" w:lineRule="exact"/>
              <w:ind w:left="110"/>
              <w:rPr>
                <w:sz w:val="24"/>
              </w:rPr>
            </w:pPr>
            <w:r>
              <w:rPr>
                <w:w w:val="99"/>
                <w:sz w:val="24"/>
              </w:rPr>
              <w:t>%</w:t>
            </w:r>
          </w:p>
        </w:tc>
        <w:tc>
          <w:tcPr>
            <w:tcW w:w="941" w:type="dxa"/>
          </w:tcPr>
          <w:p>
            <w:pPr>
              <w:pStyle w:val="TableParagraph"/>
              <w:spacing w:line="258" w:lineRule="exact"/>
              <w:ind w:left="110"/>
              <w:rPr>
                <w:sz w:val="24"/>
              </w:rPr>
            </w:pPr>
            <w:r>
              <w:rPr>
                <w:sz w:val="24"/>
              </w:rPr>
              <w:t>гол.</w:t>
            </w:r>
          </w:p>
        </w:tc>
        <w:tc>
          <w:tcPr>
            <w:tcW w:w="850" w:type="dxa"/>
          </w:tcPr>
          <w:p>
            <w:pPr>
              <w:pStyle w:val="TableParagraph"/>
              <w:spacing w:line="258" w:lineRule="exact"/>
              <w:ind w:left="106"/>
              <w:rPr>
                <w:sz w:val="24"/>
              </w:rPr>
            </w:pPr>
            <w:r>
              <w:rPr>
                <w:w w:val="99"/>
                <w:sz w:val="24"/>
              </w:rPr>
              <w:t>%</w:t>
            </w:r>
          </w:p>
        </w:tc>
        <w:tc>
          <w:tcPr>
            <w:tcW w:w="850" w:type="dxa"/>
          </w:tcPr>
          <w:p>
            <w:pPr>
              <w:pStyle w:val="TableParagraph"/>
              <w:spacing w:line="258" w:lineRule="exact"/>
              <w:ind w:left="110"/>
              <w:rPr>
                <w:sz w:val="24"/>
              </w:rPr>
            </w:pPr>
            <w:r>
              <w:rPr>
                <w:sz w:val="24"/>
              </w:rPr>
              <w:t>гол.</w:t>
            </w:r>
          </w:p>
        </w:tc>
        <w:tc>
          <w:tcPr>
            <w:tcW w:w="851" w:type="dxa"/>
          </w:tcPr>
          <w:p>
            <w:pPr>
              <w:pStyle w:val="TableParagraph"/>
              <w:spacing w:line="258" w:lineRule="exact"/>
              <w:ind w:left="110"/>
              <w:rPr>
                <w:sz w:val="24"/>
              </w:rPr>
            </w:pPr>
            <w:r>
              <w:rPr>
                <w:w w:val="99"/>
                <w:sz w:val="24"/>
              </w:rPr>
              <w:t>%</w:t>
            </w:r>
          </w:p>
        </w:tc>
        <w:tc>
          <w:tcPr>
            <w:tcW w:w="995" w:type="dxa"/>
          </w:tcPr>
          <w:p>
            <w:pPr>
              <w:pStyle w:val="TableParagraph"/>
              <w:spacing w:line="258" w:lineRule="exact"/>
              <w:ind w:left="109"/>
              <w:rPr>
                <w:sz w:val="24"/>
              </w:rPr>
            </w:pPr>
            <w:r>
              <w:rPr>
                <w:sz w:val="24"/>
              </w:rPr>
              <w:t>гол.</w:t>
            </w:r>
          </w:p>
        </w:tc>
        <w:tc>
          <w:tcPr>
            <w:tcW w:w="995" w:type="dxa"/>
          </w:tcPr>
          <w:p>
            <w:pPr>
              <w:pStyle w:val="TableParagraph"/>
              <w:spacing w:line="258" w:lineRule="exact"/>
              <w:ind w:right="107"/>
              <w:jc w:val="right"/>
              <w:rPr>
                <w:sz w:val="24"/>
              </w:rPr>
            </w:pPr>
            <w:r>
              <w:rPr>
                <w:w w:val="99"/>
                <w:sz w:val="24"/>
              </w:rPr>
              <w:t>%</w:t>
            </w:r>
          </w:p>
        </w:tc>
      </w:tr>
      <w:tr>
        <w:trPr>
          <w:trHeight w:val="278" w:hRule="atLeast"/>
        </w:trPr>
        <w:tc>
          <w:tcPr>
            <w:tcW w:w="2660" w:type="dxa"/>
          </w:tcPr>
          <w:p>
            <w:pPr>
              <w:pStyle w:val="TableParagraph"/>
              <w:spacing w:line="258" w:lineRule="exact"/>
              <w:ind w:left="671"/>
              <w:rPr>
                <w:sz w:val="24"/>
              </w:rPr>
            </w:pPr>
            <w:r>
              <w:rPr>
                <w:sz w:val="24"/>
              </w:rPr>
              <w:t>Кнури</w:t>
            </w:r>
          </w:p>
        </w:tc>
        <w:tc>
          <w:tcPr>
            <w:tcW w:w="807" w:type="dxa"/>
          </w:tcPr>
          <w:p>
            <w:pPr>
              <w:pStyle w:val="TableParagraph"/>
              <w:spacing w:line="258" w:lineRule="exact"/>
              <w:ind w:right="2"/>
              <w:jc w:val="right"/>
              <w:rPr>
                <w:sz w:val="24"/>
              </w:rPr>
            </w:pPr>
            <w:r>
              <w:rPr>
                <w:sz w:val="24"/>
              </w:rPr>
              <w:t>4</w:t>
            </w:r>
          </w:p>
        </w:tc>
        <w:tc>
          <w:tcPr>
            <w:tcW w:w="806" w:type="dxa"/>
          </w:tcPr>
          <w:p>
            <w:pPr>
              <w:pStyle w:val="TableParagraph"/>
              <w:spacing w:line="258" w:lineRule="exact"/>
              <w:ind w:left="110"/>
              <w:rPr>
                <w:sz w:val="24"/>
              </w:rPr>
            </w:pPr>
            <w:r>
              <w:rPr>
                <w:sz w:val="24"/>
              </w:rPr>
              <w:t>100</w:t>
            </w:r>
          </w:p>
        </w:tc>
        <w:tc>
          <w:tcPr>
            <w:tcW w:w="941" w:type="dxa"/>
          </w:tcPr>
          <w:p>
            <w:pPr>
              <w:pStyle w:val="TableParagraph"/>
              <w:spacing w:line="258" w:lineRule="exact"/>
              <w:ind w:right="137"/>
              <w:jc w:val="right"/>
              <w:rPr>
                <w:sz w:val="24"/>
              </w:rPr>
            </w:pPr>
            <w:r>
              <w:rPr>
                <w:w w:val="99"/>
                <w:sz w:val="24"/>
              </w:rPr>
              <w:t>-</w:t>
            </w:r>
          </w:p>
        </w:tc>
        <w:tc>
          <w:tcPr>
            <w:tcW w:w="850" w:type="dxa"/>
          </w:tcPr>
          <w:p>
            <w:pPr>
              <w:pStyle w:val="TableParagraph"/>
              <w:rPr>
                <w:sz w:val="20"/>
              </w:rPr>
            </w:pPr>
          </w:p>
        </w:tc>
        <w:tc>
          <w:tcPr>
            <w:tcW w:w="850" w:type="dxa"/>
          </w:tcPr>
          <w:p>
            <w:pPr>
              <w:pStyle w:val="TableParagraph"/>
              <w:spacing w:line="258" w:lineRule="exact"/>
              <w:ind w:right="85"/>
              <w:jc w:val="right"/>
              <w:rPr>
                <w:sz w:val="24"/>
              </w:rPr>
            </w:pPr>
            <w:r>
              <w:rPr>
                <w:w w:val="99"/>
                <w:sz w:val="24"/>
              </w:rPr>
              <w:t>-</w:t>
            </w:r>
          </w:p>
        </w:tc>
        <w:tc>
          <w:tcPr>
            <w:tcW w:w="851" w:type="dxa"/>
          </w:tcPr>
          <w:p>
            <w:pPr>
              <w:pStyle w:val="TableParagraph"/>
              <w:rPr>
                <w:sz w:val="20"/>
              </w:rPr>
            </w:pPr>
          </w:p>
        </w:tc>
        <w:tc>
          <w:tcPr>
            <w:tcW w:w="995" w:type="dxa"/>
          </w:tcPr>
          <w:p>
            <w:pPr>
              <w:pStyle w:val="TableParagraph"/>
              <w:spacing w:line="258" w:lineRule="exact"/>
              <w:ind w:right="164"/>
              <w:jc w:val="right"/>
              <w:rPr>
                <w:sz w:val="24"/>
              </w:rPr>
            </w:pPr>
            <w:r>
              <w:rPr>
                <w:w w:val="99"/>
                <w:sz w:val="24"/>
              </w:rPr>
              <w:t>-</w:t>
            </w:r>
          </w:p>
        </w:tc>
        <w:tc>
          <w:tcPr>
            <w:tcW w:w="995" w:type="dxa"/>
          </w:tcPr>
          <w:p>
            <w:pPr>
              <w:pStyle w:val="TableParagraph"/>
              <w:rPr>
                <w:sz w:val="20"/>
              </w:rPr>
            </w:pPr>
          </w:p>
        </w:tc>
      </w:tr>
      <w:tr>
        <w:trPr>
          <w:trHeight w:val="273" w:hRule="atLeast"/>
        </w:trPr>
        <w:tc>
          <w:tcPr>
            <w:tcW w:w="2660" w:type="dxa"/>
          </w:tcPr>
          <w:p>
            <w:pPr>
              <w:pStyle w:val="TableParagraph"/>
              <w:spacing w:line="253" w:lineRule="exact"/>
              <w:ind w:left="671"/>
              <w:rPr>
                <w:sz w:val="24"/>
              </w:rPr>
            </w:pPr>
            <w:r>
              <w:rPr>
                <w:sz w:val="24"/>
              </w:rPr>
              <w:t>Свиноматки</w:t>
            </w:r>
          </w:p>
        </w:tc>
        <w:tc>
          <w:tcPr>
            <w:tcW w:w="807" w:type="dxa"/>
          </w:tcPr>
          <w:p>
            <w:pPr>
              <w:pStyle w:val="TableParagraph"/>
              <w:spacing w:line="253" w:lineRule="exact"/>
              <w:ind w:left="110"/>
              <w:rPr>
                <w:sz w:val="24"/>
              </w:rPr>
            </w:pPr>
            <w:r>
              <w:rPr>
                <w:sz w:val="24"/>
              </w:rPr>
              <w:t>16</w:t>
            </w:r>
          </w:p>
        </w:tc>
        <w:tc>
          <w:tcPr>
            <w:tcW w:w="806" w:type="dxa"/>
          </w:tcPr>
          <w:p>
            <w:pPr>
              <w:pStyle w:val="TableParagraph"/>
              <w:spacing w:line="253" w:lineRule="exact"/>
              <w:ind w:left="110"/>
              <w:rPr>
                <w:sz w:val="24"/>
              </w:rPr>
            </w:pPr>
            <w:r>
              <w:rPr>
                <w:sz w:val="24"/>
              </w:rPr>
              <w:t>40</w:t>
            </w:r>
          </w:p>
        </w:tc>
        <w:tc>
          <w:tcPr>
            <w:tcW w:w="941" w:type="dxa"/>
          </w:tcPr>
          <w:p>
            <w:pPr>
              <w:pStyle w:val="TableParagraph"/>
              <w:spacing w:line="253" w:lineRule="exact"/>
              <w:ind w:left="110"/>
              <w:rPr>
                <w:sz w:val="24"/>
              </w:rPr>
            </w:pPr>
            <w:r>
              <w:rPr>
                <w:sz w:val="24"/>
              </w:rPr>
              <w:t>24</w:t>
            </w:r>
          </w:p>
        </w:tc>
        <w:tc>
          <w:tcPr>
            <w:tcW w:w="850" w:type="dxa"/>
          </w:tcPr>
          <w:p>
            <w:pPr>
              <w:pStyle w:val="TableParagraph"/>
              <w:spacing w:line="253" w:lineRule="exact"/>
              <w:ind w:left="106"/>
              <w:rPr>
                <w:sz w:val="24"/>
              </w:rPr>
            </w:pPr>
            <w:r>
              <w:rPr>
                <w:sz w:val="24"/>
              </w:rPr>
              <w:t>60</w:t>
            </w:r>
          </w:p>
        </w:tc>
        <w:tc>
          <w:tcPr>
            <w:tcW w:w="850" w:type="dxa"/>
          </w:tcPr>
          <w:p>
            <w:pPr>
              <w:pStyle w:val="TableParagraph"/>
              <w:spacing w:line="253" w:lineRule="exact"/>
              <w:ind w:right="85"/>
              <w:jc w:val="right"/>
              <w:rPr>
                <w:sz w:val="24"/>
              </w:rPr>
            </w:pPr>
            <w:r>
              <w:rPr>
                <w:w w:val="99"/>
                <w:sz w:val="24"/>
              </w:rPr>
              <w:t>-</w:t>
            </w:r>
          </w:p>
        </w:tc>
        <w:tc>
          <w:tcPr>
            <w:tcW w:w="851" w:type="dxa"/>
          </w:tcPr>
          <w:p>
            <w:pPr>
              <w:pStyle w:val="TableParagraph"/>
              <w:rPr>
                <w:sz w:val="20"/>
              </w:rPr>
            </w:pPr>
          </w:p>
        </w:tc>
        <w:tc>
          <w:tcPr>
            <w:tcW w:w="995" w:type="dxa"/>
          </w:tcPr>
          <w:p>
            <w:pPr>
              <w:pStyle w:val="TableParagraph"/>
              <w:spacing w:line="253" w:lineRule="exact"/>
              <w:ind w:right="164"/>
              <w:jc w:val="right"/>
              <w:rPr>
                <w:sz w:val="24"/>
              </w:rPr>
            </w:pPr>
            <w:r>
              <w:rPr>
                <w:w w:val="99"/>
                <w:sz w:val="24"/>
              </w:rPr>
              <w:t>-</w:t>
            </w:r>
          </w:p>
        </w:tc>
        <w:tc>
          <w:tcPr>
            <w:tcW w:w="995" w:type="dxa"/>
          </w:tcPr>
          <w:p>
            <w:pPr>
              <w:pStyle w:val="TableParagraph"/>
              <w:rPr>
                <w:sz w:val="20"/>
              </w:rPr>
            </w:pPr>
          </w:p>
        </w:tc>
      </w:tr>
      <w:tr>
        <w:trPr>
          <w:trHeight w:val="278" w:hRule="atLeast"/>
        </w:trPr>
        <w:tc>
          <w:tcPr>
            <w:tcW w:w="2660" w:type="dxa"/>
          </w:tcPr>
          <w:p>
            <w:pPr>
              <w:pStyle w:val="TableParagraph"/>
              <w:spacing w:line="258" w:lineRule="exact"/>
              <w:ind w:left="110"/>
              <w:rPr>
                <w:sz w:val="24"/>
              </w:rPr>
            </w:pPr>
            <w:r>
              <w:rPr>
                <w:sz w:val="24"/>
              </w:rPr>
              <w:t>Кнурці у 4-міс. віці</w:t>
            </w:r>
          </w:p>
        </w:tc>
        <w:tc>
          <w:tcPr>
            <w:tcW w:w="807" w:type="dxa"/>
          </w:tcPr>
          <w:p>
            <w:pPr>
              <w:pStyle w:val="TableParagraph"/>
              <w:spacing w:line="258" w:lineRule="exact"/>
              <w:ind w:right="42"/>
              <w:jc w:val="right"/>
              <w:rPr>
                <w:sz w:val="24"/>
              </w:rPr>
            </w:pPr>
            <w:r>
              <w:rPr>
                <w:w w:val="99"/>
                <w:sz w:val="24"/>
              </w:rPr>
              <w:t>-</w:t>
            </w:r>
          </w:p>
        </w:tc>
        <w:tc>
          <w:tcPr>
            <w:tcW w:w="806" w:type="dxa"/>
          </w:tcPr>
          <w:p>
            <w:pPr>
              <w:pStyle w:val="TableParagraph"/>
              <w:rPr>
                <w:sz w:val="20"/>
              </w:rPr>
            </w:pPr>
          </w:p>
        </w:tc>
        <w:tc>
          <w:tcPr>
            <w:tcW w:w="941" w:type="dxa"/>
          </w:tcPr>
          <w:p>
            <w:pPr>
              <w:pStyle w:val="TableParagraph"/>
              <w:spacing w:line="258" w:lineRule="exact"/>
              <w:ind w:left="110"/>
              <w:rPr>
                <w:sz w:val="24"/>
              </w:rPr>
            </w:pPr>
            <w:r>
              <w:rPr>
                <w:sz w:val="24"/>
              </w:rPr>
              <w:t>16</w:t>
            </w:r>
          </w:p>
        </w:tc>
        <w:tc>
          <w:tcPr>
            <w:tcW w:w="850" w:type="dxa"/>
          </w:tcPr>
          <w:p>
            <w:pPr>
              <w:pStyle w:val="TableParagraph"/>
              <w:spacing w:line="258" w:lineRule="exact"/>
              <w:ind w:left="106"/>
              <w:rPr>
                <w:sz w:val="24"/>
              </w:rPr>
            </w:pPr>
            <w:r>
              <w:rPr>
                <w:sz w:val="24"/>
              </w:rPr>
              <w:t>100</w:t>
            </w:r>
          </w:p>
        </w:tc>
        <w:tc>
          <w:tcPr>
            <w:tcW w:w="850" w:type="dxa"/>
          </w:tcPr>
          <w:p>
            <w:pPr>
              <w:pStyle w:val="TableParagraph"/>
              <w:spacing w:line="258" w:lineRule="exact"/>
              <w:ind w:right="85"/>
              <w:jc w:val="right"/>
              <w:rPr>
                <w:sz w:val="24"/>
              </w:rPr>
            </w:pPr>
            <w:r>
              <w:rPr>
                <w:w w:val="99"/>
                <w:sz w:val="24"/>
              </w:rPr>
              <w:t>-</w:t>
            </w:r>
          </w:p>
        </w:tc>
        <w:tc>
          <w:tcPr>
            <w:tcW w:w="851" w:type="dxa"/>
          </w:tcPr>
          <w:p>
            <w:pPr>
              <w:pStyle w:val="TableParagraph"/>
              <w:rPr>
                <w:sz w:val="20"/>
              </w:rPr>
            </w:pPr>
          </w:p>
        </w:tc>
        <w:tc>
          <w:tcPr>
            <w:tcW w:w="995" w:type="dxa"/>
          </w:tcPr>
          <w:p>
            <w:pPr>
              <w:pStyle w:val="TableParagraph"/>
              <w:spacing w:line="258" w:lineRule="exact"/>
              <w:ind w:right="164"/>
              <w:jc w:val="right"/>
              <w:rPr>
                <w:sz w:val="24"/>
              </w:rPr>
            </w:pPr>
            <w:r>
              <w:rPr>
                <w:w w:val="99"/>
                <w:sz w:val="24"/>
              </w:rPr>
              <w:t>-</w:t>
            </w:r>
          </w:p>
        </w:tc>
        <w:tc>
          <w:tcPr>
            <w:tcW w:w="995" w:type="dxa"/>
          </w:tcPr>
          <w:p>
            <w:pPr>
              <w:pStyle w:val="TableParagraph"/>
              <w:rPr>
                <w:sz w:val="20"/>
              </w:rPr>
            </w:pPr>
          </w:p>
        </w:tc>
      </w:tr>
      <w:tr>
        <w:trPr>
          <w:trHeight w:val="273" w:hRule="atLeast"/>
        </w:trPr>
        <w:tc>
          <w:tcPr>
            <w:tcW w:w="2660" w:type="dxa"/>
          </w:tcPr>
          <w:p>
            <w:pPr>
              <w:pStyle w:val="TableParagraph"/>
              <w:spacing w:line="253" w:lineRule="exact"/>
              <w:ind w:left="110"/>
              <w:rPr>
                <w:sz w:val="24"/>
              </w:rPr>
            </w:pPr>
            <w:r>
              <w:rPr>
                <w:sz w:val="24"/>
              </w:rPr>
              <w:t>Кнурці при І паруванні</w:t>
            </w:r>
          </w:p>
        </w:tc>
        <w:tc>
          <w:tcPr>
            <w:tcW w:w="807" w:type="dxa"/>
          </w:tcPr>
          <w:p>
            <w:pPr>
              <w:pStyle w:val="TableParagraph"/>
              <w:spacing w:line="253" w:lineRule="exact"/>
              <w:ind w:right="42"/>
              <w:jc w:val="right"/>
              <w:rPr>
                <w:sz w:val="24"/>
              </w:rPr>
            </w:pPr>
            <w:r>
              <w:rPr>
                <w:w w:val="99"/>
                <w:sz w:val="24"/>
              </w:rPr>
              <w:t>-</w:t>
            </w:r>
          </w:p>
        </w:tc>
        <w:tc>
          <w:tcPr>
            <w:tcW w:w="806" w:type="dxa"/>
          </w:tcPr>
          <w:p>
            <w:pPr>
              <w:pStyle w:val="TableParagraph"/>
              <w:rPr>
                <w:sz w:val="20"/>
              </w:rPr>
            </w:pPr>
          </w:p>
        </w:tc>
        <w:tc>
          <w:tcPr>
            <w:tcW w:w="941" w:type="dxa"/>
          </w:tcPr>
          <w:p>
            <w:pPr>
              <w:pStyle w:val="TableParagraph"/>
              <w:spacing w:line="253" w:lineRule="exact"/>
              <w:ind w:left="110"/>
              <w:rPr>
                <w:sz w:val="24"/>
              </w:rPr>
            </w:pPr>
            <w:r>
              <w:rPr>
                <w:sz w:val="24"/>
              </w:rPr>
              <w:t>4</w:t>
            </w:r>
          </w:p>
        </w:tc>
        <w:tc>
          <w:tcPr>
            <w:tcW w:w="850" w:type="dxa"/>
          </w:tcPr>
          <w:p>
            <w:pPr>
              <w:pStyle w:val="TableParagraph"/>
              <w:spacing w:line="253" w:lineRule="exact"/>
              <w:ind w:left="106"/>
              <w:rPr>
                <w:sz w:val="24"/>
              </w:rPr>
            </w:pPr>
            <w:r>
              <w:rPr>
                <w:sz w:val="24"/>
              </w:rPr>
              <w:t>100</w:t>
            </w:r>
          </w:p>
        </w:tc>
        <w:tc>
          <w:tcPr>
            <w:tcW w:w="850" w:type="dxa"/>
          </w:tcPr>
          <w:p>
            <w:pPr>
              <w:pStyle w:val="TableParagraph"/>
              <w:spacing w:line="253" w:lineRule="exact"/>
              <w:ind w:right="85"/>
              <w:jc w:val="right"/>
              <w:rPr>
                <w:sz w:val="24"/>
              </w:rPr>
            </w:pPr>
            <w:r>
              <w:rPr>
                <w:w w:val="99"/>
                <w:sz w:val="24"/>
              </w:rPr>
              <w:t>-</w:t>
            </w:r>
          </w:p>
        </w:tc>
        <w:tc>
          <w:tcPr>
            <w:tcW w:w="851" w:type="dxa"/>
          </w:tcPr>
          <w:p>
            <w:pPr>
              <w:pStyle w:val="TableParagraph"/>
              <w:rPr>
                <w:sz w:val="20"/>
              </w:rPr>
            </w:pPr>
          </w:p>
        </w:tc>
        <w:tc>
          <w:tcPr>
            <w:tcW w:w="995" w:type="dxa"/>
          </w:tcPr>
          <w:p>
            <w:pPr>
              <w:pStyle w:val="TableParagraph"/>
              <w:spacing w:line="253" w:lineRule="exact"/>
              <w:ind w:right="164"/>
              <w:jc w:val="right"/>
              <w:rPr>
                <w:sz w:val="24"/>
              </w:rPr>
            </w:pPr>
            <w:r>
              <w:rPr>
                <w:w w:val="99"/>
                <w:sz w:val="24"/>
              </w:rPr>
              <w:t>-</w:t>
            </w:r>
          </w:p>
        </w:tc>
        <w:tc>
          <w:tcPr>
            <w:tcW w:w="995" w:type="dxa"/>
          </w:tcPr>
          <w:p>
            <w:pPr>
              <w:pStyle w:val="TableParagraph"/>
              <w:rPr>
                <w:sz w:val="20"/>
              </w:rPr>
            </w:pPr>
          </w:p>
        </w:tc>
      </w:tr>
      <w:tr>
        <w:trPr>
          <w:trHeight w:val="278" w:hRule="atLeast"/>
        </w:trPr>
        <w:tc>
          <w:tcPr>
            <w:tcW w:w="2660" w:type="dxa"/>
          </w:tcPr>
          <w:p>
            <w:pPr>
              <w:pStyle w:val="TableParagraph"/>
              <w:spacing w:line="258" w:lineRule="exact"/>
              <w:ind w:left="110"/>
              <w:rPr>
                <w:sz w:val="24"/>
              </w:rPr>
            </w:pPr>
            <w:r>
              <w:rPr>
                <w:sz w:val="24"/>
              </w:rPr>
              <w:t>Свинки у 4-міс. віці</w:t>
            </w:r>
          </w:p>
        </w:tc>
        <w:tc>
          <w:tcPr>
            <w:tcW w:w="807" w:type="dxa"/>
          </w:tcPr>
          <w:p>
            <w:pPr>
              <w:pStyle w:val="TableParagraph"/>
              <w:spacing w:line="258" w:lineRule="exact"/>
              <w:ind w:right="42"/>
              <w:jc w:val="right"/>
              <w:rPr>
                <w:sz w:val="24"/>
              </w:rPr>
            </w:pPr>
            <w:r>
              <w:rPr>
                <w:w w:val="99"/>
                <w:sz w:val="24"/>
              </w:rPr>
              <w:t>-</w:t>
            </w:r>
          </w:p>
        </w:tc>
        <w:tc>
          <w:tcPr>
            <w:tcW w:w="806" w:type="dxa"/>
          </w:tcPr>
          <w:p>
            <w:pPr>
              <w:pStyle w:val="TableParagraph"/>
              <w:rPr>
                <w:sz w:val="20"/>
              </w:rPr>
            </w:pPr>
          </w:p>
        </w:tc>
        <w:tc>
          <w:tcPr>
            <w:tcW w:w="941" w:type="dxa"/>
          </w:tcPr>
          <w:p>
            <w:pPr>
              <w:pStyle w:val="TableParagraph"/>
              <w:spacing w:line="258" w:lineRule="exact"/>
              <w:ind w:left="110"/>
              <w:rPr>
                <w:sz w:val="24"/>
              </w:rPr>
            </w:pPr>
            <w:r>
              <w:rPr>
                <w:sz w:val="24"/>
              </w:rPr>
              <w:t>86</w:t>
            </w:r>
          </w:p>
        </w:tc>
        <w:tc>
          <w:tcPr>
            <w:tcW w:w="850" w:type="dxa"/>
          </w:tcPr>
          <w:p>
            <w:pPr>
              <w:pStyle w:val="TableParagraph"/>
              <w:spacing w:line="258" w:lineRule="exact"/>
              <w:ind w:left="106"/>
              <w:rPr>
                <w:sz w:val="24"/>
              </w:rPr>
            </w:pPr>
            <w:r>
              <w:rPr>
                <w:sz w:val="24"/>
              </w:rPr>
              <w:t>100</w:t>
            </w:r>
          </w:p>
        </w:tc>
        <w:tc>
          <w:tcPr>
            <w:tcW w:w="850" w:type="dxa"/>
          </w:tcPr>
          <w:p>
            <w:pPr>
              <w:pStyle w:val="TableParagraph"/>
              <w:spacing w:line="258" w:lineRule="exact"/>
              <w:ind w:right="85"/>
              <w:jc w:val="right"/>
              <w:rPr>
                <w:sz w:val="24"/>
              </w:rPr>
            </w:pPr>
            <w:r>
              <w:rPr>
                <w:w w:val="99"/>
                <w:sz w:val="24"/>
              </w:rPr>
              <w:t>-</w:t>
            </w:r>
          </w:p>
        </w:tc>
        <w:tc>
          <w:tcPr>
            <w:tcW w:w="851" w:type="dxa"/>
          </w:tcPr>
          <w:p>
            <w:pPr>
              <w:pStyle w:val="TableParagraph"/>
              <w:rPr>
                <w:sz w:val="20"/>
              </w:rPr>
            </w:pPr>
          </w:p>
        </w:tc>
        <w:tc>
          <w:tcPr>
            <w:tcW w:w="995" w:type="dxa"/>
          </w:tcPr>
          <w:p>
            <w:pPr>
              <w:pStyle w:val="TableParagraph"/>
              <w:spacing w:line="258" w:lineRule="exact"/>
              <w:ind w:right="164"/>
              <w:jc w:val="right"/>
              <w:rPr>
                <w:sz w:val="24"/>
              </w:rPr>
            </w:pPr>
            <w:r>
              <w:rPr>
                <w:w w:val="99"/>
                <w:sz w:val="24"/>
              </w:rPr>
              <w:t>-</w:t>
            </w:r>
          </w:p>
        </w:tc>
        <w:tc>
          <w:tcPr>
            <w:tcW w:w="995" w:type="dxa"/>
          </w:tcPr>
          <w:p>
            <w:pPr>
              <w:pStyle w:val="TableParagraph"/>
              <w:rPr>
                <w:sz w:val="20"/>
              </w:rPr>
            </w:pPr>
          </w:p>
        </w:tc>
      </w:tr>
      <w:tr>
        <w:trPr>
          <w:trHeight w:val="278" w:hRule="atLeast"/>
        </w:trPr>
        <w:tc>
          <w:tcPr>
            <w:tcW w:w="2660" w:type="dxa"/>
          </w:tcPr>
          <w:p>
            <w:pPr>
              <w:pStyle w:val="TableParagraph"/>
              <w:spacing w:line="259" w:lineRule="exact"/>
              <w:ind w:left="110"/>
              <w:rPr>
                <w:sz w:val="24"/>
              </w:rPr>
            </w:pPr>
            <w:r>
              <w:rPr>
                <w:sz w:val="24"/>
              </w:rPr>
              <w:t>Свинки при І паруванні</w:t>
            </w:r>
          </w:p>
        </w:tc>
        <w:tc>
          <w:tcPr>
            <w:tcW w:w="807" w:type="dxa"/>
          </w:tcPr>
          <w:p>
            <w:pPr>
              <w:pStyle w:val="TableParagraph"/>
              <w:spacing w:line="259" w:lineRule="exact"/>
              <w:ind w:right="42"/>
              <w:jc w:val="right"/>
              <w:rPr>
                <w:sz w:val="24"/>
              </w:rPr>
            </w:pPr>
            <w:r>
              <w:rPr>
                <w:w w:val="99"/>
                <w:sz w:val="24"/>
              </w:rPr>
              <w:t>-</w:t>
            </w:r>
          </w:p>
        </w:tc>
        <w:tc>
          <w:tcPr>
            <w:tcW w:w="806" w:type="dxa"/>
          </w:tcPr>
          <w:p>
            <w:pPr>
              <w:pStyle w:val="TableParagraph"/>
              <w:rPr>
                <w:sz w:val="20"/>
              </w:rPr>
            </w:pPr>
          </w:p>
        </w:tc>
        <w:tc>
          <w:tcPr>
            <w:tcW w:w="941" w:type="dxa"/>
          </w:tcPr>
          <w:p>
            <w:pPr>
              <w:pStyle w:val="TableParagraph"/>
              <w:spacing w:line="259" w:lineRule="exact"/>
              <w:ind w:left="110"/>
              <w:rPr>
                <w:sz w:val="24"/>
              </w:rPr>
            </w:pPr>
            <w:r>
              <w:rPr>
                <w:sz w:val="24"/>
              </w:rPr>
              <w:t>56</w:t>
            </w:r>
          </w:p>
        </w:tc>
        <w:tc>
          <w:tcPr>
            <w:tcW w:w="850" w:type="dxa"/>
          </w:tcPr>
          <w:p>
            <w:pPr>
              <w:pStyle w:val="TableParagraph"/>
              <w:spacing w:line="259" w:lineRule="exact"/>
              <w:ind w:left="106"/>
              <w:rPr>
                <w:sz w:val="24"/>
              </w:rPr>
            </w:pPr>
            <w:r>
              <w:rPr>
                <w:sz w:val="24"/>
              </w:rPr>
              <w:t>100</w:t>
            </w:r>
          </w:p>
        </w:tc>
        <w:tc>
          <w:tcPr>
            <w:tcW w:w="850" w:type="dxa"/>
          </w:tcPr>
          <w:p>
            <w:pPr>
              <w:pStyle w:val="TableParagraph"/>
              <w:spacing w:line="259" w:lineRule="exact"/>
              <w:ind w:right="85"/>
              <w:jc w:val="right"/>
              <w:rPr>
                <w:sz w:val="24"/>
              </w:rPr>
            </w:pPr>
            <w:r>
              <w:rPr>
                <w:w w:val="99"/>
                <w:sz w:val="24"/>
              </w:rPr>
              <w:t>-</w:t>
            </w:r>
          </w:p>
        </w:tc>
        <w:tc>
          <w:tcPr>
            <w:tcW w:w="851" w:type="dxa"/>
          </w:tcPr>
          <w:p>
            <w:pPr>
              <w:pStyle w:val="TableParagraph"/>
              <w:rPr>
                <w:sz w:val="20"/>
              </w:rPr>
            </w:pPr>
          </w:p>
        </w:tc>
        <w:tc>
          <w:tcPr>
            <w:tcW w:w="995" w:type="dxa"/>
          </w:tcPr>
          <w:p>
            <w:pPr>
              <w:pStyle w:val="TableParagraph"/>
              <w:spacing w:line="259" w:lineRule="exact"/>
              <w:ind w:right="164"/>
              <w:jc w:val="right"/>
              <w:rPr>
                <w:sz w:val="24"/>
              </w:rPr>
            </w:pPr>
            <w:r>
              <w:rPr>
                <w:w w:val="99"/>
                <w:sz w:val="24"/>
              </w:rPr>
              <w:t>-</w:t>
            </w:r>
          </w:p>
        </w:tc>
        <w:tc>
          <w:tcPr>
            <w:tcW w:w="995" w:type="dxa"/>
          </w:tcPr>
          <w:p>
            <w:pPr>
              <w:pStyle w:val="TableParagraph"/>
              <w:rPr>
                <w:sz w:val="20"/>
              </w:rPr>
            </w:pPr>
          </w:p>
        </w:tc>
      </w:tr>
    </w:tbl>
    <w:p>
      <w:pPr>
        <w:pStyle w:val="BodyText"/>
        <w:spacing w:before="4"/>
        <w:ind w:left="0"/>
        <w:jc w:val="left"/>
        <w:rPr>
          <w:sz w:val="27"/>
        </w:rPr>
      </w:pPr>
    </w:p>
    <w:p>
      <w:pPr>
        <w:pStyle w:val="BodyText"/>
        <w:ind w:right="614" w:firstLine="710"/>
      </w:pPr>
      <w:r>
        <w:rPr/>
        <w:t>При цьому звертається увага на ознаки в першу чергу м’ясної та відгодівельної продуктивності, а також на багатоплідність, великоплідність, масу гнізда при відлученні та масу 1 голови при відлученні, вирівняність гнізда при народженні та при відлученні у 28-денному віці, інтервалу між опоросами. Ремонтний молодняк відбирається з урахуванням як традиційних методів його оцінки так і з урахуванням ДНК-тестування. У 2019 році показники продуктивності основного стада, ремонтного та племінного молодняку були високими та незначно відхилялися від попереднього 2018 року, що свідчить про високий генетичний потенціал стада свиней у даному господарстві. При цьому простежується чітка тенденція до збільшення живої маси молодняку у різні вікові періоди, до зменшення віку І опоросу, до підвищення продуктивності свиноматок основного стада.</w:t>
      </w:r>
    </w:p>
    <w:p>
      <w:pPr>
        <w:pStyle w:val="BodyText"/>
        <w:spacing w:before="1"/>
        <w:ind w:right="612" w:firstLine="710"/>
      </w:pPr>
      <w:r>
        <w:rPr>
          <w:b/>
        </w:rPr>
        <w:t>Висновки. </w:t>
      </w:r>
      <w:r>
        <w:rPr/>
        <w:t>Встановлено, що свині породи п’єтрен французького походження відзначаються специфічними продуктивними характеристиками: помірними репродуктивними ознаками (середня багатоплідність свиноматок основного стада 9,5 голів, а тварин провідної групи – 10,4 голів, тобто селекційний</w:t>
      </w:r>
      <w:r>
        <w:rPr>
          <w:spacing w:val="-15"/>
        </w:rPr>
        <w:t> </w:t>
      </w:r>
      <w:r>
        <w:rPr/>
        <w:t>ефект</w:t>
      </w:r>
      <w:r>
        <w:rPr>
          <w:spacing w:val="-13"/>
        </w:rPr>
        <w:t> </w:t>
      </w:r>
      <w:r>
        <w:rPr/>
        <w:t>–</w:t>
      </w:r>
      <w:r>
        <w:rPr>
          <w:spacing w:val="-13"/>
        </w:rPr>
        <w:t> </w:t>
      </w:r>
      <w:r>
        <w:rPr/>
        <w:t>0,9</w:t>
      </w:r>
      <w:r>
        <w:rPr>
          <w:spacing w:val="-14"/>
        </w:rPr>
        <w:t> </w:t>
      </w:r>
      <w:r>
        <w:rPr/>
        <w:t>голів)</w:t>
      </w:r>
      <w:r>
        <w:rPr>
          <w:spacing w:val="-15"/>
        </w:rPr>
        <w:t> </w:t>
      </w:r>
      <w:r>
        <w:rPr/>
        <w:t>та</w:t>
      </w:r>
      <w:r>
        <w:rPr>
          <w:spacing w:val="-13"/>
        </w:rPr>
        <w:t> </w:t>
      </w:r>
      <w:r>
        <w:rPr/>
        <w:t>високими</w:t>
      </w:r>
      <w:r>
        <w:rPr>
          <w:spacing w:val="-14"/>
        </w:rPr>
        <w:t> </w:t>
      </w:r>
      <w:r>
        <w:rPr/>
        <w:t>відгодівельними</w:t>
      </w:r>
      <w:r>
        <w:rPr>
          <w:spacing w:val="-13"/>
        </w:rPr>
        <w:t> </w:t>
      </w:r>
      <w:r>
        <w:rPr/>
        <w:t>ознаками</w:t>
      </w:r>
      <w:r>
        <w:rPr>
          <w:spacing w:val="-14"/>
        </w:rPr>
        <w:t> </w:t>
      </w:r>
      <w:r>
        <w:rPr/>
        <w:t>(молодняк даної породи має середній вік досягнення живої маси 100 кг 156 днів при витратах корму 3,1 корм. од. на 1 кг приросту) і відмінними м’ясними якостями (довжині туші 94 см, товщина шпику на рівні </w:t>
      </w:r>
      <w:r>
        <w:rPr>
          <w:spacing w:val="2"/>
        </w:rPr>
        <w:t>6-7 </w:t>
      </w:r>
      <w:r>
        <w:rPr/>
        <w:t>грудних хребців 8 мм; вміст м’яса</w:t>
      </w:r>
      <w:r>
        <w:rPr>
          <w:spacing w:val="-11"/>
        </w:rPr>
        <w:t> </w:t>
      </w:r>
      <w:r>
        <w:rPr/>
        <w:t>76,8%</w:t>
      </w:r>
      <w:r>
        <w:rPr>
          <w:spacing w:val="-10"/>
        </w:rPr>
        <w:t> </w:t>
      </w:r>
      <w:r>
        <w:rPr/>
        <w:t>та</w:t>
      </w:r>
      <w:r>
        <w:rPr>
          <w:spacing w:val="-11"/>
        </w:rPr>
        <w:t> </w:t>
      </w:r>
      <w:r>
        <w:rPr/>
        <w:t>75,5%</w:t>
      </w:r>
      <w:r>
        <w:rPr>
          <w:spacing w:val="-9"/>
        </w:rPr>
        <w:t> </w:t>
      </w:r>
      <w:r>
        <w:rPr/>
        <w:t>відповідно</w:t>
      </w:r>
      <w:r>
        <w:rPr>
          <w:spacing w:val="-7"/>
        </w:rPr>
        <w:t> </w:t>
      </w:r>
      <w:r>
        <w:rPr/>
        <w:t>за</w:t>
      </w:r>
      <w:r>
        <w:rPr>
          <w:spacing w:val="-6"/>
        </w:rPr>
        <w:t> </w:t>
      </w:r>
      <w:r>
        <w:rPr/>
        <w:t>живої</w:t>
      </w:r>
      <w:r>
        <w:rPr>
          <w:spacing w:val="-13"/>
        </w:rPr>
        <w:t> </w:t>
      </w:r>
      <w:r>
        <w:rPr/>
        <w:t>маси</w:t>
      </w:r>
      <w:r>
        <w:rPr>
          <w:spacing w:val="-7"/>
        </w:rPr>
        <w:t> </w:t>
      </w:r>
      <w:r>
        <w:rPr/>
        <w:t>молодняку</w:t>
      </w:r>
      <w:r>
        <w:rPr>
          <w:spacing w:val="-12"/>
        </w:rPr>
        <w:t> </w:t>
      </w:r>
      <w:r>
        <w:rPr/>
        <w:t>100</w:t>
      </w:r>
      <w:r>
        <w:rPr>
          <w:spacing w:val="-7"/>
        </w:rPr>
        <w:t> </w:t>
      </w:r>
      <w:r>
        <w:rPr/>
        <w:t>кг</w:t>
      </w:r>
      <w:r>
        <w:rPr>
          <w:spacing w:val="-8"/>
        </w:rPr>
        <w:t> </w:t>
      </w:r>
      <w:r>
        <w:rPr/>
        <w:t>та</w:t>
      </w:r>
      <w:r>
        <w:rPr>
          <w:spacing w:val="-11"/>
        </w:rPr>
        <w:t> </w:t>
      </w:r>
      <w:r>
        <w:rPr/>
        <w:t>120</w:t>
      </w:r>
      <w:r>
        <w:rPr>
          <w:spacing w:val="-7"/>
        </w:rPr>
        <w:t> </w:t>
      </w:r>
      <w:r>
        <w:rPr/>
        <w:t>кг).</w:t>
      </w:r>
      <w:r>
        <w:rPr>
          <w:spacing w:val="-2"/>
        </w:rPr>
        <w:t> </w:t>
      </w:r>
      <w:r>
        <w:rPr/>
        <w:t>Крім того, свині породи п’єтрен перевищують існуючі вимоги класу еліта діючої інструкції з бонітування свиней (2003 р.), що висуваються до ІІ групи порід за середніми показниками живої маси, проте за показником довжини тулубу встановлена відповідність вимогам переважно ІІ класу бонітувальної шкали, що можна цілком пояснити специфічністю екстер’єру даної породи порівняно з іншими м’ясними породами (ландрас, дюрок та</w:t>
      </w:r>
      <w:r>
        <w:rPr>
          <w:spacing w:val="3"/>
        </w:rPr>
        <w:t> </w:t>
      </w:r>
      <w:r>
        <w:rPr/>
        <w:t>іншими).</w:t>
      </w:r>
    </w:p>
    <w:p>
      <w:pPr>
        <w:spacing w:after="0"/>
        <w:sectPr>
          <w:pgSz w:w="11910" w:h="16840"/>
          <w:pgMar w:header="713" w:footer="778" w:top="1140" w:bottom="960" w:left="940" w:right="520"/>
        </w:sectPr>
      </w:pPr>
    </w:p>
    <w:p>
      <w:pPr>
        <w:pStyle w:val="BodyText"/>
        <w:spacing w:before="92"/>
        <w:ind w:right="614" w:firstLine="710"/>
      </w:pPr>
      <w:r>
        <w:rPr>
          <w:b/>
        </w:rPr>
        <w:t>Перспектива подальших досліджень. </w:t>
      </w:r>
      <w:r>
        <w:rPr/>
        <w:t>В майбутньому буде проведена оцінка репродуктивних, відгодівельних та м’ясних якостей стада свиней породи п’єтрен з урахуванням генеалогічного походження, комбінаційного поєднання, стресреактивності.</w:t>
      </w:r>
    </w:p>
    <w:p>
      <w:pPr>
        <w:pStyle w:val="Heading1"/>
        <w:spacing w:line="322" w:lineRule="exact" w:before="4"/>
        <w:ind w:left="894"/>
      </w:pPr>
      <w:r>
        <w:rPr/>
        <w:t>ЛІТЕРАТУРА</w:t>
      </w:r>
    </w:p>
    <w:p>
      <w:pPr>
        <w:pStyle w:val="ListParagraph"/>
        <w:numPr>
          <w:ilvl w:val="2"/>
          <w:numId w:val="19"/>
        </w:numPr>
        <w:tabs>
          <w:tab w:pos="1124" w:val="left" w:leader="none"/>
        </w:tabs>
        <w:spacing w:line="240" w:lineRule="auto" w:before="0" w:after="0"/>
        <w:ind w:left="193" w:right="616" w:firstLine="710"/>
        <w:jc w:val="both"/>
        <w:rPr>
          <w:sz w:val="28"/>
        </w:rPr>
      </w:pPr>
      <w:r>
        <w:rPr>
          <w:spacing w:val="2"/>
          <w:sz w:val="28"/>
        </w:rPr>
        <w:t>Аналіз </w:t>
      </w:r>
      <w:r>
        <w:rPr>
          <w:spacing w:val="3"/>
          <w:sz w:val="28"/>
        </w:rPr>
        <w:t>біометричних даних </w:t>
      </w:r>
      <w:r>
        <w:rPr>
          <w:sz w:val="28"/>
        </w:rPr>
        <w:t>у </w:t>
      </w:r>
      <w:r>
        <w:rPr>
          <w:spacing w:val="3"/>
          <w:sz w:val="28"/>
        </w:rPr>
        <w:t>розведенні </w:t>
      </w:r>
      <w:r>
        <w:rPr>
          <w:sz w:val="28"/>
        </w:rPr>
        <w:t>та </w:t>
      </w:r>
      <w:r>
        <w:rPr>
          <w:spacing w:val="2"/>
          <w:sz w:val="28"/>
        </w:rPr>
        <w:t>селекції тварин </w:t>
      </w:r>
      <w:r>
        <w:rPr>
          <w:sz w:val="28"/>
        </w:rPr>
        <w:t>: </w:t>
      </w:r>
      <w:r>
        <w:rPr>
          <w:spacing w:val="2"/>
          <w:sz w:val="28"/>
        </w:rPr>
        <w:t>навчальний посібник </w:t>
      </w:r>
      <w:r>
        <w:rPr>
          <w:sz w:val="28"/>
        </w:rPr>
        <w:t>/ С. С. </w:t>
      </w:r>
      <w:r>
        <w:rPr>
          <w:spacing w:val="2"/>
          <w:sz w:val="28"/>
        </w:rPr>
        <w:t>[Крамаренко, </w:t>
      </w:r>
      <w:r>
        <w:rPr>
          <w:spacing w:val="3"/>
          <w:sz w:val="28"/>
        </w:rPr>
        <w:t>С. </w:t>
      </w:r>
      <w:r>
        <w:rPr>
          <w:sz w:val="28"/>
        </w:rPr>
        <w:t>І. </w:t>
      </w:r>
      <w:r>
        <w:rPr>
          <w:spacing w:val="2"/>
          <w:sz w:val="28"/>
        </w:rPr>
        <w:t>Луговий, </w:t>
      </w:r>
      <w:r>
        <w:rPr>
          <w:sz w:val="28"/>
        </w:rPr>
        <w:t>А. В. Лихач]. </w:t>
      </w:r>
      <w:r>
        <w:rPr>
          <w:spacing w:val="2"/>
          <w:sz w:val="28"/>
        </w:rPr>
        <w:t>Миколаїв: </w:t>
      </w:r>
      <w:r>
        <w:rPr>
          <w:sz w:val="28"/>
        </w:rPr>
        <w:t>МНАУ, </w:t>
      </w:r>
      <w:r>
        <w:rPr>
          <w:spacing w:val="2"/>
          <w:sz w:val="28"/>
        </w:rPr>
        <w:t>2019. 211</w:t>
      </w:r>
      <w:r>
        <w:rPr>
          <w:spacing w:val="24"/>
          <w:sz w:val="28"/>
        </w:rPr>
        <w:t> </w:t>
      </w:r>
      <w:r>
        <w:rPr>
          <w:sz w:val="28"/>
        </w:rPr>
        <w:t>с.</w:t>
      </w:r>
    </w:p>
    <w:p>
      <w:pPr>
        <w:pStyle w:val="ListParagraph"/>
        <w:numPr>
          <w:ilvl w:val="2"/>
          <w:numId w:val="19"/>
        </w:numPr>
        <w:tabs>
          <w:tab w:pos="1115" w:val="left" w:leader="none"/>
        </w:tabs>
        <w:spacing w:line="240" w:lineRule="auto" w:before="0" w:after="0"/>
        <w:ind w:left="193" w:right="612" w:firstLine="710"/>
        <w:jc w:val="both"/>
        <w:rPr>
          <w:sz w:val="28"/>
        </w:rPr>
      </w:pPr>
      <w:r>
        <w:rPr>
          <w:sz w:val="28"/>
        </w:rPr>
        <w:t>Біологія продуктивності сільськогосподарських тварин : навчальний посібник / за ред. Р. Л. Сусола. Одеса : Бондаренко М. О., 2019. 280</w:t>
      </w:r>
      <w:r>
        <w:rPr>
          <w:spacing w:val="10"/>
          <w:sz w:val="28"/>
        </w:rPr>
        <w:t> </w:t>
      </w:r>
      <w:r>
        <w:rPr>
          <w:sz w:val="28"/>
        </w:rPr>
        <w:t>с</w:t>
      </w:r>
    </w:p>
    <w:p>
      <w:pPr>
        <w:pStyle w:val="ListParagraph"/>
        <w:numPr>
          <w:ilvl w:val="2"/>
          <w:numId w:val="19"/>
        </w:numPr>
        <w:tabs>
          <w:tab w:pos="1115" w:val="left" w:leader="none"/>
        </w:tabs>
        <w:spacing w:line="240" w:lineRule="auto" w:before="0" w:after="0"/>
        <w:ind w:left="193" w:right="616" w:firstLine="710"/>
        <w:jc w:val="both"/>
        <w:rPr>
          <w:sz w:val="28"/>
        </w:rPr>
      </w:pPr>
      <w:r>
        <w:rPr>
          <w:sz w:val="28"/>
        </w:rPr>
        <w:t>Біометричний аналіз мінливості ознак сільськогосподарських тварин і птиці : навчальний посібник [В. </w:t>
      </w:r>
      <w:r>
        <w:rPr>
          <w:spacing w:val="-3"/>
          <w:sz w:val="28"/>
        </w:rPr>
        <w:t>П. </w:t>
      </w:r>
      <w:r>
        <w:rPr>
          <w:sz w:val="28"/>
        </w:rPr>
        <w:t>Коваленко, В. І. Халак, Т. І. Нежлукченко]. Херсон: Олді-плюс, 2010. 225</w:t>
      </w:r>
      <w:r>
        <w:rPr>
          <w:spacing w:val="4"/>
          <w:sz w:val="28"/>
        </w:rPr>
        <w:t> </w:t>
      </w:r>
      <w:r>
        <w:rPr>
          <w:sz w:val="28"/>
        </w:rPr>
        <w:t>с</w:t>
      </w:r>
    </w:p>
    <w:p>
      <w:pPr>
        <w:pStyle w:val="ListParagraph"/>
        <w:numPr>
          <w:ilvl w:val="2"/>
          <w:numId w:val="19"/>
        </w:numPr>
        <w:tabs>
          <w:tab w:pos="1116" w:val="left" w:leader="none"/>
        </w:tabs>
        <w:spacing w:line="240" w:lineRule="auto" w:before="0" w:after="0"/>
        <w:ind w:left="193" w:right="610" w:firstLine="710"/>
        <w:jc w:val="both"/>
        <w:rPr>
          <w:sz w:val="28"/>
        </w:rPr>
      </w:pPr>
      <w:r>
        <w:rPr>
          <w:sz w:val="28"/>
        </w:rPr>
        <w:t>Сусол Р. Л. Науково-практичні методи використання свиней породи п’єтрен у системі «генотип × середовище» : моногр. / Р. Л. Сусол. Одеса: Букаєв В. В., 2015. 177</w:t>
      </w:r>
      <w:r>
        <w:rPr>
          <w:spacing w:val="12"/>
          <w:sz w:val="28"/>
        </w:rPr>
        <w:t> </w:t>
      </w:r>
      <w:r>
        <w:rPr>
          <w:sz w:val="28"/>
        </w:rPr>
        <w:t>с.</w:t>
      </w:r>
    </w:p>
    <w:p>
      <w:pPr>
        <w:pStyle w:val="ListParagraph"/>
        <w:numPr>
          <w:ilvl w:val="2"/>
          <w:numId w:val="19"/>
        </w:numPr>
        <w:tabs>
          <w:tab w:pos="1115" w:val="left" w:leader="none"/>
        </w:tabs>
        <w:spacing w:line="242" w:lineRule="auto" w:before="0" w:after="0"/>
        <w:ind w:left="193" w:right="610" w:firstLine="710"/>
        <w:jc w:val="both"/>
        <w:rPr>
          <w:sz w:val="28"/>
        </w:rPr>
      </w:pPr>
      <w:r>
        <w:rPr>
          <w:sz w:val="28"/>
        </w:rPr>
        <w:t>Селекция на мясность: качество продукции и стрессустойчивость свиней :  учеб.  пособ.  /  [Г. В. Максимов,  В. </w:t>
      </w:r>
      <w:r>
        <w:rPr>
          <w:spacing w:val="-3"/>
          <w:sz w:val="28"/>
        </w:rPr>
        <w:t>Н. </w:t>
      </w:r>
      <w:r>
        <w:rPr>
          <w:sz w:val="28"/>
        </w:rPr>
        <w:t>Василенко,  В. Г. Максимов,   </w:t>
      </w:r>
      <w:r>
        <w:rPr>
          <w:spacing w:val="-3"/>
          <w:sz w:val="28"/>
        </w:rPr>
        <w:t>А. </w:t>
      </w:r>
      <w:r>
        <w:rPr>
          <w:sz w:val="28"/>
        </w:rPr>
        <w:t>Г. Максимов]. Ростов н/Д : Ростиздат, 2003. 352</w:t>
      </w:r>
      <w:r>
        <w:rPr>
          <w:spacing w:val="19"/>
          <w:sz w:val="28"/>
        </w:rPr>
        <w:t> </w:t>
      </w:r>
      <w:r>
        <w:rPr>
          <w:sz w:val="28"/>
        </w:rPr>
        <w:t>с.</w:t>
      </w:r>
    </w:p>
    <w:p>
      <w:pPr>
        <w:pStyle w:val="ListParagraph"/>
        <w:numPr>
          <w:ilvl w:val="2"/>
          <w:numId w:val="19"/>
        </w:numPr>
        <w:tabs>
          <w:tab w:pos="1115" w:val="left" w:leader="none"/>
        </w:tabs>
        <w:spacing w:line="240" w:lineRule="auto" w:before="0" w:after="0"/>
        <w:ind w:left="193" w:right="623" w:firstLine="710"/>
        <w:jc w:val="both"/>
        <w:rPr>
          <w:sz w:val="28"/>
        </w:rPr>
      </w:pPr>
      <w:r>
        <w:rPr>
          <w:sz w:val="28"/>
        </w:rPr>
        <w:t>Бажов Г. М., Комлацкий В. </w:t>
      </w:r>
      <w:r>
        <w:rPr>
          <w:spacing w:val="-3"/>
          <w:sz w:val="28"/>
        </w:rPr>
        <w:t>И. </w:t>
      </w:r>
      <w:r>
        <w:rPr>
          <w:sz w:val="28"/>
        </w:rPr>
        <w:t>Биотехнология интенсивного свиноводства. Москва: Росагропромиздат, 1989. 269</w:t>
      </w:r>
      <w:r>
        <w:rPr>
          <w:spacing w:val="5"/>
          <w:sz w:val="28"/>
        </w:rPr>
        <w:t> </w:t>
      </w:r>
      <w:r>
        <w:rPr>
          <w:sz w:val="28"/>
        </w:rPr>
        <w:t>с.</w:t>
      </w:r>
    </w:p>
    <w:p>
      <w:pPr>
        <w:pStyle w:val="ListParagraph"/>
        <w:numPr>
          <w:ilvl w:val="2"/>
          <w:numId w:val="19"/>
        </w:numPr>
        <w:tabs>
          <w:tab w:pos="1115" w:val="left" w:leader="none"/>
        </w:tabs>
        <w:spacing w:line="321" w:lineRule="exact" w:before="0" w:after="0"/>
        <w:ind w:left="1114" w:right="0" w:hanging="212"/>
        <w:jc w:val="both"/>
        <w:rPr>
          <w:sz w:val="28"/>
        </w:rPr>
      </w:pPr>
      <w:r>
        <w:rPr>
          <w:sz w:val="28"/>
        </w:rPr>
        <w:t>Свинарство : монографія / за наук. ред. В. М. Волощука. К. :</w:t>
      </w:r>
      <w:r>
        <w:rPr>
          <w:spacing w:val="-21"/>
          <w:sz w:val="28"/>
        </w:rPr>
        <w:t> </w:t>
      </w:r>
      <w:r>
        <w:rPr>
          <w:sz w:val="28"/>
        </w:rPr>
        <w:t>Аграр.</w:t>
      </w:r>
    </w:p>
    <w:p>
      <w:pPr>
        <w:pStyle w:val="BodyText"/>
        <w:spacing w:line="322" w:lineRule="exact"/>
      </w:pPr>
      <w:r>
        <w:rPr/>
        <w:t>Наука, 2014. 592 с.</w:t>
      </w:r>
    </w:p>
    <w:p>
      <w:pPr>
        <w:pStyle w:val="ListParagraph"/>
        <w:numPr>
          <w:ilvl w:val="2"/>
          <w:numId w:val="19"/>
        </w:numPr>
        <w:tabs>
          <w:tab w:pos="1115" w:val="left" w:leader="none"/>
        </w:tabs>
        <w:spacing w:line="240" w:lineRule="auto" w:before="0" w:after="0"/>
        <w:ind w:left="193" w:right="625" w:firstLine="710"/>
        <w:jc w:val="both"/>
        <w:rPr>
          <w:sz w:val="28"/>
        </w:rPr>
      </w:pPr>
      <w:r>
        <w:rPr>
          <w:sz w:val="28"/>
        </w:rPr>
        <w:t>Сучасні    методики    досліджень    у    свинарстві     [В.П.     Рибалко, М. Д. Березовський, Г.А. Богданов та ін.]. Полтава: ІС УААН, 2005. 228</w:t>
      </w:r>
      <w:r>
        <w:rPr>
          <w:spacing w:val="-5"/>
          <w:sz w:val="28"/>
        </w:rPr>
        <w:t> </w:t>
      </w:r>
      <w:r>
        <w:rPr>
          <w:sz w:val="28"/>
        </w:rPr>
        <w:t>с.</w:t>
      </w:r>
    </w:p>
    <w:p>
      <w:pPr>
        <w:pStyle w:val="ListParagraph"/>
        <w:numPr>
          <w:ilvl w:val="2"/>
          <w:numId w:val="19"/>
        </w:numPr>
        <w:tabs>
          <w:tab w:pos="1115" w:val="left" w:leader="none"/>
        </w:tabs>
        <w:spacing w:line="240" w:lineRule="auto" w:before="0" w:after="0"/>
        <w:ind w:left="193" w:right="618" w:firstLine="710"/>
        <w:jc w:val="both"/>
        <w:rPr>
          <w:sz w:val="28"/>
        </w:rPr>
      </w:pPr>
      <w:r>
        <w:rPr>
          <w:sz w:val="28"/>
        </w:rPr>
        <w:t>Методики исследований по свиноводству / Полтавский НИИ свиноводства. Харьков, 1977. 151</w:t>
      </w:r>
      <w:r>
        <w:rPr>
          <w:spacing w:val="11"/>
          <w:sz w:val="28"/>
        </w:rPr>
        <w:t> </w:t>
      </w:r>
      <w:r>
        <w:rPr>
          <w:sz w:val="28"/>
        </w:rPr>
        <w:t>с.</w:t>
      </w:r>
    </w:p>
    <w:p>
      <w:pPr>
        <w:pStyle w:val="BodyText"/>
        <w:spacing w:before="5"/>
        <w:ind w:left="0"/>
        <w:jc w:val="left"/>
        <w:rPr>
          <w:sz w:val="27"/>
        </w:rPr>
      </w:pPr>
    </w:p>
    <w:p>
      <w:pPr>
        <w:pStyle w:val="Heading1"/>
        <w:ind w:left="2185" w:right="799" w:hanging="1047"/>
        <w:jc w:val="left"/>
      </w:pPr>
      <w:r>
        <w:rPr/>
        <w:t>ХОЗЯЙСТВЕННО-ПОЛЕЗНЫЕ КАЧЕСТВА СВИНЕЙ ПОРОДЫ ПЬЕТРЕН В УСЛОВИЯХ ЮГА УКРАИНЫ</w:t>
      </w:r>
    </w:p>
    <w:p>
      <w:pPr>
        <w:pStyle w:val="BodyText"/>
        <w:spacing w:line="316" w:lineRule="exact"/>
        <w:ind w:left="4241"/>
      </w:pPr>
      <w:r>
        <w:rPr/>
        <w:t>Сусол Р., Таций А.</w:t>
      </w:r>
    </w:p>
    <w:p>
      <w:pPr>
        <w:spacing w:before="4"/>
        <w:ind w:left="193" w:right="612" w:firstLine="710"/>
        <w:jc w:val="both"/>
        <w:rPr>
          <w:i/>
          <w:sz w:val="28"/>
        </w:rPr>
      </w:pPr>
      <w:r>
        <w:rPr>
          <w:i/>
          <w:sz w:val="28"/>
        </w:rPr>
        <w:t>Исследовано хозяйственно-полезные признаки свиней породы пьетрен в </w:t>
      </w:r>
      <w:r>
        <w:rPr>
          <w:i/>
          <w:sz w:val="28"/>
        </w:rPr>
        <w:t>условиях юга Украины на современном этапе развития данного генотипа. </w:t>
      </w:r>
      <w:r>
        <w:rPr>
          <w:i/>
          <w:spacing w:val="2"/>
          <w:sz w:val="28"/>
        </w:rPr>
        <w:t>Так, </w:t>
      </w:r>
      <w:r>
        <w:rPr>
          <w:i/>
          <w:sz w:val="28"/>
        </w:rPr>
        <w:t>свиньи породы пьетрен французского происхождения отмечаются специфическими продуктивными характеристиками: умеренными репродуктивными качествами (среднее многоплодие свиноматок основного стада</w:t>
      </w:r>
      <w:r>
        <w:rPr>
          <w:i/>
          <w:spacing w:val="-16"/>
          <w:sz w:val="28"/>
        </w:rPr>
        <w:t> </w:t>
      </w:r>
      <w:r>
        <w:rPr>
          <w:i/>
          <w:sz w:val="28"/>
        </w:rPr>
        <w:t>9,5</w:t>
      </w:r>
      <w:r>
        <w:rPr>
          <w:i/>
          <w:spacing w:val="-16"/>
          <w:sz w:val="28"/>
        </w:rPr>
        <w:t> </w:t>
      </w:r>
      <w:r>
        <w:rPr>
          <w:i/>
          <w:sz w:val="28"/>
        </w:rPr>
        <w:t>голов,</w:t>
      </w:r>
      <w:r>
        <w:rPr>
          <w:i/>
          <w:spacing w:val="-14"/>
          <w:sz w:val="28"/>
        </w:rPr>
        <w:t> </w:t>
      </w:r>
      <w:r>
        <w:rPr>
          <w:i/>
          <w:sz w:val="28"/>
        </w:rPr>
        <w:t>а</w:t>
      </w:r>
      <w:r>
        <w:rPr>
          <w:i/>
          <w:spacing w:val="-16"/>
          <w:sz w:val="28"/>
        </w:rPr>
        <w:t> </w:t>
      </w:r>
      <w:r>
        <w:rPr>
          <w:i/>
          <w:sz w:val="28"/>
        </w:rPr>
        <w:t>животных</w:t>
      </w:r>
      <w:r>
        <w:rPr>
          <w:i/>
          <w:spacing w:val="-15"/>
          <w:sz w:val="28"/>
        </w:rPr>
        <w:t> </w:t>
      </w:r>
      <w:r>
        <w:rPr>
          <w:i/>
          <w:sz w:val="28"/>
        </w:rPr>
        <w:t>ведущей</w:t>
      </w:r>
      <w:r>
        <w:rPr>
          <w:i/>
          <w:spacing w:val="-16"/>
          <w:sz w:val="28"/>
        </w:rPr>
        <w:t> </w:t>
      </w:r>
      <w:r>
        <w:rPr>
          <w:i/>
          <w:sz w:val="28"/>
        </w:rPr>
        <w:t>группы</w:t>
      </w:r>
      <w:r>
        <w:rPr>
          <w:i/>
          <w:spacing w:val="-11"/>
          <w:sz w:val="28"/>
        </w:rPr>
        <w:t> </w:t>
      </w:r>
      <w:r>
        <w:rPr>
          <w:i/>
          <w:sz w:val="28"/>
        </w:rPr>
        <w:t>-</w:t>
      </w:r>
      <w:r>
        <w:rPr>
          <w:i/>
          <w:spacing w:val="-17"/>
          <w:sz w:val="28"/>
        </w:rPr>
        <w:t> </w:t>
      </w:r>
      <w:r>
        <w:rPr>
          <w:i/>
          <w:sz w:val="28"/>
        </w:rPr>
        <w:t>10,4</w:t>
      </w:r>
      <w:r>
        <w:rPr>
          <w:i/>
          <w:spacing w:val="-16"/>
          <w:sz w:val="28"/>
        </w:rPr>
        <w:t> </w:t>
      </w:r>
      <w:r>
        <w:rPr>
          <w:i/>
          <w:sz w:val="28"/>
        </w:rPr>
        <w:t>голов,</w:t>
      </w:r>
      <w:r>
        <w:rPr>
          <w:i/>
          <w:spacing w:val="-14"/>
          <w:sz w:val="28"/>
        </w:rPr>
        <w:t> </w:t>
      </w:r>
      <w:r>
        <w:rPr>
          <w:i/>
          <w:sz w:val="28"/>
        </w:rPr>
        <w:t>то</w:t>
      </w:r>
      <w:r>
        <w:rPr>
          <w:i/>
          <w:spacing w:val="-15"/>
          <w:sz w:val="28"/>
        </w:rPr>
        <w:t> </w:t>
      </w:r>
      <w:r>
        <w:rPr>
          <w:i/>
          <w:sz w:val="28"/>
        </w:rPr>
        <w:t>есть</w:t>
      </w:r>
      <w:r>
        <w:rPr>
          <w:i/>
          <w:spacing w:val="-17"/>
          <w:sz w:val="28"/>
        </w:rPr>
        <w:t> </w:t>
      </w:r>
      <w:r>
        <w:rPr>
          <w:i/>
          <w:sz w:val="28"/>
        </w:rPr>
        <w:t>селекционный эффект - 0,9 голов) и высокими откормочными качествами (молодняк данной породы имеет средний возраст достижения живой массы 100 кг 156 дней при затратах корма 3,1 корм. ед. на 1 кг прироста) и отличными мясными качествами (длина полутуши 94 см, толщина шпика на уровне 6-7 грудных позвонков 8 мм, содержание мяса 76,8% и </w:t>
      </w:r>
      <w:r>
        <w:rPr>
          <w:i/>
          <w:spacing w:val="2"/>
          <w:sz w:val="28"/>
        </w:rPr>
        <w:t>75,5% </w:t>
      </w:r>
      <w:r>
        <w:rPr>
          <w:i/>
          <w:sz w:val="28"/>
        </w:rPr>
        <w:t>соответственно при живой массе молодняка 100 кг и 120 кг). Результаты исследований показывают, что свиньи</w:t>
      </w:r>
      <w:r>
        <w:rPr>
          <w:i/>
          <w:spacing w:val="29"/>
          <w:sz w:val="28"/>
        </w:rPr>
        <w:t> </w:t>
      </w:r>
      <w:r>
        <w:rPr>
          <w:i/>
          <w:sz w:val="28"/>
        </w:rPr>
        <w:t>породы</w:t>
      </w:r>
      <w:r>
        <w:rPr>
          <w:i/>
          <w:spacing w:val="27"/>
          <w:sz w:val="28"/>
        </w:rPr>
        <w:t> </w:t>
      </w:r>
      <w:r>
        <w:rPr>
          <w:i/>
          <w:sz w:val="28"/>
        </w:rPr>
        <w:t>пьетрен</w:t>
      </w:r>
      <w:r>
        <w:rPr>
          <w:i/>
          <w:spacing w:val="30"/>
          <w:sz w:val="28"/>
        </w:rPr>
        <w:t> </w:t>
      </w:r>
      <w:r>
        <w:rPr>
          <w:i/>
          <w:sz w:val="28"/>
        </w:rPr>
        <w:t>превышают</w:t>
      </w:r>
      <w:r>
        <w:rPr>
          <w:i/>
          <w:spacing w:val="30"/>
          <w:sz w:val="28"/>
        </w:rPr>
        <w:t> </w:t>
      </w:r>
      <w:r>
        <w:rPr>
          <w:i/>
          <w:sz w:val="28"/>
        </w:rPr>
        <w:t>существующие</w:t>
      </w:r>
      <w:r>
        <w:rPr>
          <w:i/>
          <w:spacing w:val="30"/>
          <w:sz w:val="28"/>
        </w:rPr>
        <w:t> </w:t>
      </w:r>
      <w:r>
        <w:rPr>
          <w:i/>
          <w:sz w:val="28"/>
        </w:rPr>
        <w:t>требования</w:t>
      </w:r>
      <w:r>
        <w:rPr>
          <w:i/>
          <w:spacing w:val="29"/>
          <w:sz w:val="28"/>
        </w:rPr>
        <w:t> </w:t>
      </w:r>
      <w:r>
        <w:rPr>
          <w:i/>
          <w:sz w:val="28"/>
        </w:rPr>
        <w:t>класса</w:t>
      </w:r>
      <w:r>
        <w:rPr>
          <w:i/>
          <w:spacing w:val="29"/>
          <w:sz w:val="28"/>
        </w:rPr>
        <w:t> </w:t>
      </w:r>
      <w:r>
        <w:rPr>
          <w:i/>
          <w:sz w:val="28"/>
        </w:rPr>
        <w:t>элита</w:t>
      </w:r>
    </w:p>
    <w:p>
      <w:pPr>
        <w:spacing w:after="0"/>
        <w:jc w:val="both"/>
        <w:rPr>
          <w:sz w:val="28"/>
        </w:rPr>
        <w:sectPr>
          <w:pgSz w:w="11910" w:h="16840"/>
          <w:pgMar w:header="713" w:footer="778" w:top="1140" w:bottom="960" w:left="940" w:right="520"/>
        </w:sectPr>
      </w:pPr>
    </w:p>
    <w:p>
      <w:pPr>
        <w:spacing w:line="240" w:lineRule="auto" w:before="92"/>
        <w:ind w:left="193" w:right="620" w:firstLine="0"/>
        <w:jc w:val="both"/>
        <w:rPr>
          <w:i/>
          <w:sz w:val="28"/>
        </w:rPr>
      </w:pPr>
      <w:r>
        <w:rPr>
          <w:i/>
          <w:sz w:val="28"/>
        </w:rPr>
        <w:t>действующей инструкции по бонитировке свиней (2003 г.), предъявляемых ко II </w:t>
      </w:r>
      <w:r>
        <w:rPr>
          <w:i/>
          <w:sz w:val="28"/>
        </w:rPr>
        <w:t>группе пород по средним показателям живой массы, однако по показателю длины туловища установлено соответствие требованиям преимущественно II класса бонитировочной шкалы, что можно вполне объяснить специфичностью экстерьера</w:t>
      </w:r>
      <w:r>
        <w:rPr>
          <w:i/>
          <w:spacing w:val="-15"/>
          <w:sz w:val="28"/>
        </w:rPr>
        <w:t> </w:t>
      </w:r>
      <w:r>
        <w:rPr>
          <w:i/>
          <w:sz w:val="28"/>
        </w:rPr>
        <w:t>данной</w:t>
      </w:r>
      <w:r>
        <w:rPr>
          <w:i/>
          <w:spacing w:val="-15"/>
          <w:sz w:val="28"/>
        </w:rPr>
        <w:t> </w:t>
      </w:r>
      <w:r>
        <w:rPr>
          <w:i/>
          <w:sz w:val="28"/>
        </w:rPr>
        <w:t>породы</w:t>
      </w:r>
      <w:r>
        <w:rPr>
          <w:i/>
          <w:spacing w:val="-16"/>
          <w:sz w:val="28"/>
        </w:rPr>
        <w:t> </w:t>
      </w:r>
      <w:r>
        <w:rPr>
          <w:i/>
          <w:sz w:val="28"/>
        </w:rPr>
        <w:t>по</w:t>
      </w:r>
      <w:r>
        <w:rPr>
          <w:i/>
          <w:spacing w:val="-15"/>
          <w:sz w:val="28"/>
        </w:rPr>
        <w:t> </w:t>
      </w:r>
      <w:r>
        <w:rPr>
          <w:i/>
          <w:sz w:val="28"/>
        </w:rPr>
        <w:t>сравнению</w:t>
      </w:r>
      <w:r>
        <w:rPr>
          <w:i/>
          <w:spacing w:val="-10"/>
          <w:sz w:val="28"/>
        </w:rPr>
        <w:t> </w:t>
      </w:r>
      <w:r>
        <w:rPr>
          <w:i/>
          <w:sz w:val="28"/>
        </w:rPr>
        <w:t>с</w:t>
      </w:r>
      <w:r>
        <w:rPr>
          <w:i/>
          <w:spacing w:val="-14"/>
          <w:sz w:val="28"/>
        </w:rPr>
        <w:t> </w:t>
      </w:r>
      <w:r>
        <w:rPr>
          <w:i/>
          <w:sz w:val="28"/>
        </w:rPr>
        <w:t>другими</w:t>
      </w:r>
      <w:r>
        <w:rPr>
          <w:i/>
          <w:spacing w:val="-15"/>
          <w:sz w:val="28"/>
        </w:rPr>
        <w:t> </w:t>
      </w:r>
      <w:r>
        <w:rPr>
          <w:i/>
          <w:sz w:val="28"/>
        </w:rPr>
        <w:t>мясными</w:t>
      </w:r>
      <w:r>
        <w:rPr>
          <w:i/>
          <w:spacing w:val="-15"/>
          <w:sz w:val="28"/>
        </w:rPr>
        <w:t> </w:t>
      </w:r>
      <w:r>
        <w:rPr>
          <w:i/>
          <w:sz w:val="28"/>
        </w:rPr>
        <w:t>породами</w:t>
      </w:r>
      <w:r>
        <w:rPr>
          <w:i/>
          <w:spacing w:val="-10"/>
          <w:sz w:val="28"/>
        </w:rPr>
        <w:t> </w:t>
      </w:r>
      <w:r>
        <w:rPr>
          <w:i/>
          <w:sz w:val="28"/>
        </w:rPr>
        <w:t>(ландрас, дюрок и</w:t>
      </w:r>
      <w:r>
        <w:rPr>
          <w:i/>
          <w:spacing w:val="1"/>
          <w:sz w:val="28"/>
        </w:rPr>
        <w:t> </w:t>
      </w:r>
      <w:r>
        <w:rPr>
          <w:i/>
          <w:sz w:val="28"/>
        </w:rPr>
        <w:t>другими).</w:t>
      </w:r>
    </w:p>
    <w:p>
      <w:pPr>
        <w:spacing w:before="3"/>
        <w:ind w:left="193" w:right="616" w:firstLine="710"/>
        <w:jc w:val="both"/>
        <w:rPr>
          <w:i/>
          <w:sz w:val="28"/>
        </w:rPr>
      </w:pPr>
      <w:r>
        <w:rPr>
          <w:b/>
          <w:i/>
          <w:sz w:val="28"/>
        </w:rPr>
        <w:t>Ключевые слова: </w:t>
      </w:r>
      <w:r>
        <w:rPr>
          <w:i/>
          <w:sz w:val="28"/>
        </w:rPr>
        <w:t>производительность, основное стадо, молодняк, </w:t>
      </w:r>
      <w:r>
        <w:rPr>
          <w:i/>
          <w:sz w:val="28"/>
        </w:rPr>
        <w:t>репродуктивные, откормочные, мясные качества, экстерьер, порода пьетрен.</w:t>
      </w:r>
    </w:p>
    <w:p>
      <w:pPr>
        <w:pStyle w:val="BodyText"/>
        <w:spacing w:before="3"/>
        <w:ind w:left="0"/>
        <w:jc w:val="left"/>
        <w:rPr>
          <w:i/>
        </w:rPr>
      </w:pPr>
    </w:p>
    <w:p>
      <w:pPr>
        <w:pStyle w:val="Heading1"/>
        <w:ind w:left="3266" w:right="705" w:hanging="2262"/>
        <w:jc w:val="left"/>
      </w:pPr>
      <w:r>
        <w:rPr/>
        <w:t>ECONOMIC AND BENEFICIAL QUALITIES OF PIETRAIN PIGS IN THE SOUTH OF UKRAINE</w:t>
      </w:r>
    </w:p>
    <w:p>
      <w:pPr>
        <w:pStyle w:val="BodyText"/>
        <w:spacing w:line="317" w:lineRule="exact"/>
        <w:ind w:left="4298"/>
      </w:pPr>
      <w:r>
        <w:rPr/>
        <w:t>Susol R., Tatsiy О.</w:t>
      </w:r>
    </w:p>
    <w:p>
      <w:pPr>
        <w:spacing w:line="240" w:lineRule="auto" w:before="0"/>
        <w:ind w:left="193" w:right="605" w:firstLine="705"/>
        <w:jc w:val="both"/>
        <w:rPr>
          <w:i/>
          <w:sz w:val="28"/>
        </w:rPr>
      </w:pPr>
      <w:r>
        <w:rPr>
          <w:i/>
          <w:sz w:val="28"/>
        </w:rPr>
        <w:t>The economically useful traits of Pietrain pigs were studied in the conditions of </w:t>
      </w:r>
      <w:r>
        <w:rPr>
          <w:i/>
          <w:sz w:val="28"/>
        </w:rPr>
        <w:t>South</w:t>
      </w:r>
      <w:r>
        <w:rPr>
          <w:i/>
          <w:spacing w:val="-9"/>
          <w:sz w:val="28"/>
        </w:rPr>
        <w:t> </w:t>
      </w:r>
      <w:r>
        <w:rPr>
          <w:i/>
          <w:sz w:val="28"/>
        </w:rPr>
        <w:t>Ukraine</w:t>
      </w:r>
      <w:r>
        <w:rPr>
          <w:i/>
          <w:spacing w:val="-7"/>
          <w:sz w:val="28"/>
        </w:rPr>
        <w:t> </w:t>
      </w:r>
      <w:r>
        <w:rPr>
          <w:i/>
          <w:sz w:val="28"/>
        </w:rPr>
        <w:t>at</w:t>
      </w:r>
      <w:r>
        <w:rPr>
          <w:i/>
          <w:spacing w:val="-8"/>
          <w:sz w:val="28"/>
        </w:rPr>
        <w:t> </w:t>
      </w:r>
      <w:r>
        <w:rPr>
          <w:i/>
          <w:sz w:val="28"/>
        </w:rPr>
        <w:t>the</w:t>
      </w:r>
      <w:r>
        <w:rPr>
          <w:i/>
          <w:spacing w:val="-8"/>
          <w:sz w:val="28"/>
        </w:rPr>
        <w:t> </w:t>
      </w:r>
      <w:r>
        <w:rPr>
          <w:i/>
          <w:sz w:val="28"/>
        </w:rPr>
        <w:t>present</w:t>
      </w:r>
      <w:r>
        <w:rPr>
          <w:i/>
          <w:spacing w:val="-13"/>
          <w:sz w:val="28"/>
        </w:rPr>
        <w:t> </w:t>
      </w:r>
      <w:r>
        <w:rPr>
          <w:i/>
          <w:sz w:val="28"/>
        </w:rPr>
        <w:t>stage</w:t>
      </w:r>
      <w:r>
        <w:rPr>
          <w:i/>
          <w:spacing w:val="-7"/>
          <w:sz w:val="28"/>
        </w:rPr>
        <w:t> </w:t>
      </w:r>
      <w:r>
        <w:rPr>
          <w:i/>
          <w:sz w:val="28"/>
        </w:rPr>
        <w:t>of</w:t>
      </w:r>
      <w:r>
        <w:rPr>
          <w:i/>
          <w:spacing w:val="-13"/>
          <w:sz w:val="28"/>
        </w:rPr>
        <w:t> </w:t>
      </w:r>
      <w:r>
        <w:rPr>
          <w:i/>
          <w:sz w:val="28"/>
        </w:rPr>
        <w:t>development</w:t>
      </w:r>
      <w:r>
        <w:rPr>
          <w:i/>
          <w:spacing w:val="-8"/>
          <w:sz w:val="28"/>
        </w:rPr>
        <w:t> </w:t>
      </w:r>
      <w:r>
        <w:rPr>
          <w:i/>
          <w:sz w:val="28"/>
        </w:rPr>
        <w:t>of</w:t>
      </w:r>
      <w:r>
        <w:rPr>
          <w:i/>
          <w:spacing w:val="-8"/>
          <w:sz w:val="28"/>
        </w:rPr>
        <w:t> </w:t>
      </w:r>
      <w:r>
        <w:rPr>
          <w:i/>
          <w:sz w:val="28"/>
        </w:rPr>
        <w:t>this</w:t>
      </w:r>
      <w:r>
        <w:rPr>
          <w:i/>
          <w:spacing w:val="-6"/>
          <w:sz w:val="28"/>
        </w:rPr>
        <w:t> </w:t>
      </w:r>
      <w:r>
        <w:rPr>
          <w:i/>
          <w:sz w:val="28"/>
        </w:rPr>
        <w:t>genotype.</w:t>
      </w:r>
      <w:r>
        <w:rPr>
          <w:i/>
          <w:spacing w:val="-10"/>
          <w:sz w:val="28"/>
        </w:rPr>
        <w:t> </w:t>
      </w:r>
      <w:r>
        <w:rPr>
          <w:i/>
          <w:sz w:val="28"/>
        </w:rPr>
        <w:t>So</w:t>
      </w:r>
      <w:r>
        <w:rPr>
          <w:i/>
          <w:spacing w:val="-7"/>
          <w:sz w:val="28"/>
        </w:rPr>
        <w:t> </w:t>
      </w:r>
      <w:r>
        <w:rPr>
          <w:i/>
          <w:sz w:val="28"/>
        </w:rPr>
        <w:t>pigs</w:t>
      </w:r>
      <w:r>
        <w:rPr>
          <w:i/>
          <w:spacing w:val="-11"/>
          <w:sz w:val="28"/>
        </w:rPr>
        <w:t> </w:t>
      </w:r>
      <w:r>
        <w:rPr>
          <w:i/>
          <w:sz w:val="28"/>
        </w:rPr>
        <w:t>of</w:t>
      </w:r>
      <w:r>
        <w:rPr>
          <w:i/>
          <w:spacing w:val="-1"/>
          <w:sz w:val="28"/>
        </w:rPr>
        <w:t> </w:t>
      </w:r>
      <w:r>
        <w:rPr>
          <w:i/>
          <w:sz w:val="28"/>
        </w:rPr>
        <w:t>Pietrain breed</w:t>
      </w:r>
      <w:r>
        <w:rPr>
          <w:i/>
          <w:spacing w:val="-10"/>
          <w:sz w:val="28"/>
        </w:rPr>
        <w:t> </w:t>
      </w:r>
      <w:r>
        <w:rPr>
          <w:i/>
          <w:sz w:val="28"/>
        </w:rPr>
        <w:t>of</w:t>
      </w:r>
      <w:r>
        <w:rPr>
          <w:i/>
          <w:spacing w:val="-10"/>
          <w:sz w:val="28"/>
        </w:rPr>
        <w:t> </w:t>
      </w:r>
      <w:r>
        <w:rPr>
          <w:i/>
          <w:sz w:val="28"/>
        </w:rPr>
        <w:t>French</w:t>
      </w:r>
      <w:r>
        <w:rPr>
          <w:i/>
          <w:spacing w:val="-9"/>
          <w:sz w:val="28"/>
        </w:rPr>
        <w:t> </w:t>
      </w:r>
      <w:r>
        <w:rPr>
          <w:i/>
          <w:sz w:val="28"/>
        </w:rPr>
        <w:t>origin</w:t>
      </w:r>
      <w:r>
        <w:rPr>
          <w:i/>
          <w:spacing w:val="-9"/>
          <w:sz w:val="28"/>
        </w:rPr>
        <w:t> </w:t>
      </w:r>
      <w:r>
        <w:rPr>
          <w:i/>
          <w:sz w:val="28"/>
        </w:rPr>
        <w:t>had</w:t>
      </w:r>
      <w:r>
        <w:rPr>
          <w:i/>
          <w:spacing w:val="-14"/>
          <w:sz w:val="28"/>
        </w:rPr>
        <w:t> </w:t>
      </w:r>
      <w:r>
        <w:rPr>
          <w:i/>
          <w:sz w:val="28"/>
        </w:rPr>
        <w:t>specific</w:t>
      </w:r>
      <w:r>
        <w:rPr>
          <w:i/>
          <w:spacing w:val="-9"/>
          <w:sz w:val="28"/>
        </w:rPr>
        <w:t> </w:t>
      </w:r>
      <w:r>
        <w:rPr>
          <w:i/>
          <w:sz w:val="28"/>
        </w:rPr>
        <w:t>productive</w:t>
      </w:r>
      <w:r>
        <w:rPr>
          <w:i/>
          <w:spacing w:val="-10"/>
          <w:sz w:val="28"/>
        </w:rPr>
        <w:t> </w:t>
      </w:r>
      <w:r>
        <w:rPr>
          <w:i/>
          <w:sz w:val="28"/>
        </w:rPr>
        <w:t>characteristics:</w:t>
      </w:r>
      <w:r>
        <w:rPr>
          <w:i/>
          <w:spacing w:val="-15"/>
          <w:sz w:val="28"/>
        </w:rPr>
        <w:t> </w:t>
      </w:r>
      <w:r>
        <w:rPr>
          <w:i/>
          <w:sz w:val="28"/>
        </w:rPr>
        <w:t>moderate</w:t>
      </w:r>
      <w:r>
        <w:rPr>
          <w:i/>
          <w:spacing w:val="-10"/>
          <w:sz w:val="28"/>
        </w:rPr>
        <w:t> </w:t>
      </w:r>
      <w:r>
        <w:rPr>
          <w:i/>
          <w:sz w:val="28"/>
        </w:rPr>
        <w:t>reproductive qualities (the average multiplicity of sows of the main herd is 9.5 heads , and animals of</w:t>
      </w:r>
      <w:r>
        <w:rPr>
          <w:i/>
          <w:spacing w:val="-7"/>
          <w:sz w:val="28"/>
        </w:rPr>
        <w:t> </w:t>
      </w:r>
      <w:r>
        <w:rPr>
          <w:i/>
          <w:sz w:val="28"/>
        </w:rPr>
        <w:t>the</w:t>
      </w:r>
      <w:r>
        <w:rPr>
          <w:i/>
          <w:spacing w:val="-6"/>
          <w:sz w:val="28"/>
        </w:rPr>
        <w:t> </w:t>
      </w:r>
      <w:r>
        <w:rPr>
          <w:i/>
          <w:sz w:val="28"/>
        </w:rPr>
        <w:t>leading</w:t>
      </w:r>
      <w:r>
        <w:rPr>
          <w:i/>
          <w:spacing w:val="-6"/>
          <w:sz w:val="28"/>
        </w:rPr>
        <w:t> </w:t>
      </w:r>
      <w:r>
        <w:rPr>
          <w:i/>
          <w:sz w:val="28"/>
        </w:rPr>
        <w:t>group</w:t>
      </w:r>
      <w:r>
        <w:rPr>
          <w:i/>
          <w:spacing w:val="-5"/>
          <w:sz w:val="28"/>
        </w:rPr>
        <w:t> </w:t>
      </w:r>
      <w:r>
        <w:rPr>
          <w:i/>
          <w:sz w:val="28"/>
        </w:rPr>
        <w:t>-</w:t>
      </w:r>
      <w:r>
        <w:rPr>
          <w:i/>
          <w:spacing w:val="-13"/>
          <w:sz w:val="28"/>
        </w:rPr>
        <w:t> </w:t>
      </w:r>
      <w:r>
        <w:rPr>
          <w:i/>
          <w:sz w:val="28"/>
        </w:rPr>
        <w:t>10.4</w:t>
      </w:r>
      <w:r>
        <w:rPr>
          <w:i/>
          <w:spacing w:val="-6"/>
          <w:sz w:val="28"/>
        </w:rPr>
        <w:t> </w:t>
      </w:r>
      <w:r>
        <w:rPr>
          <w:i/>
          <w:sz w:val="28"/>
        </w:rPr>
        <w:t>heads,</w:t>
      </w:r>
      <w:r>
        <w:rPr>
          <w:i/>
          <w:spacing w:val="-8"/>
          <w:sz w:val="28"/>
        </w:rPr>
        <w:t> </w:t>
      </w:r>
      <w:r>
        <w:rPr>
          <w:i/>
          <w:sz w:val="28"/>
        </w:rPr>
        <w:t>that</w:t>
      </w:r>
      <w:r>
        <w:rPr>
          <w:i/>
          <w:spacing w:val="-7"/>
          <w:sz w:val="28"/>
        </w:rPr>
        <w:t> </w:t>
      </w:r>
      <w:r>
        <w:rPr>
          <w:i/>
          <w:sz w:val="28"/>
        </w:rPr>
        <w:t>is</w:t>
      </w:r>
      <w:r>
        <w:rPr>
          <w:i/>
          <w:spacing w:val="-8"/>
          <w:sz w:val="28"/>
        </w:rPr>
        <w:t> </w:t>
      </w:r>
      <w:r>
        <w:rPr>
          <w:i/>
          <w:sz w:val="28"/>
        </w:rPr>
        <w:t>breeding</w:t>
      </w:r>
      <w:r>
        <w:rPr>
          <w:i/>
          <w:spacing w:val="-7"/>
          <w:sz w:val="28"/>
        </w:rPr>
        <w:t> </w:t>
      </w:r>
      <w:r>
        <w:rPr>
          <w:i/>
          <w:sz w:val="28"/>
        </w:rPr>
        <w:t>effect</w:t>
      </w:r>
      <w:r>
        <w:rPr>
          <w:i/>
          <w:spacing w:val="-7"/>
          <w:sz w:val="28"/>
        </w:rPr>
        <w:t> </w:t>
      </w:r>
      <w:r>
        <w:rPr>
          <w:i/>
          <w:sz w:val="28"/>
        </w:rPr>
        <w:t>is</w:t>
      </w:r>
      <w:r>
        <w:rPr>
          <w:i/>
          <w:spacing w:val="-9"/>
          <w:sz w:val="28"/>
        </w:rPr>
        <w:t> </w:t>
      </w:r>
      <w:r>
        <w:rPr>
          <w:i/>
          <w:sz w:val="28"/>
        </w:rPr>
        <w:t>0.9</w:t>
      </w:r>
      <w:r>
        <w:rPr>
          <w:i/>
          <w:spacing w:val="-11"/>
          <w:sz w:val="28"/>
        </w:rPr>
        <w:t> </w:t>
      </w:r>
      <w:r>
        <w:rPr>
          <w:i/>
          <w:sz w:val="28"/>
        </w:rPr>
        <w:t>heads)</w:t>
      </w:r>
      <w:r>
        <w:rPr>
          <w:i/>
          <w:spacing w:val="-8"/>
          <w:sz w:val="28"/>
        </w:rPr>
        <w:t> </w:t>
      </w:r>
      <w:r>
        <w:rPr>
          <w:i/>
          <w:sz w:val="28"/>
        </w:rPr>
        <w:t>and</w:t>
      </w:r>
      <w:r>
        <w:rPr>
          <w:i/>
          <w:spacing w:val="-6"/>
          <w:sz w:val="28"/>
        </w:rPr>
        <w:t> </w:t>
      </w:r>
      <w:r>
        <w:rPr>
          <w:i/>
          <w:sz w:val="28"/>
        </w:rPr>
        <w:t>high</w:t>
      </w:r>
      <w:r>
        <w:rPr>
          <w:i/>
          <w:spacing w:val="-7"/>
          <w:sz w:val="28"/>
        </w:rPr>
        <w:t> </w:t>
      </w:r>
      <w:r>
        <w:rPr>
          <w:i/>
          <w:sz w:val="28"/>
        </w:rPr>
        <w:t>feeding qualities (young animals of this breed have an average age of live weight of 100 kg 156 days at a feed cost of 3.1 fodder units per 1 kg of growth) and excellent meat qualities</w:t>
      </w:r>
      <w:r>
        <w:rPr>
          <w:i/>
          <w:spacing w:val="-6"/>
          <w:sz w:val="28"/>
        </w:rPr>
        <w:t> </w:t>
      </w:r>
      <w:r>
        <w:rPr>
          <w:i/>
          <w:sz w:val="28"/>
        </w:rPr>
        <w:t>(half-carcass</w:t>
      </w:r>
      <w:r>
        <w:rPr>
          <w:i/>
          <w:spacing w:val="-10"/>
          <w:sz w:val="28"/>
        </w:rPr>
        <w:t> </w:t>
      </w:r>
      <w:r>
        <w:rPr>
          <w:i/>
          <w:sz w:val="28"/>
        </w:rPr>
        <w:t>length</w:t>
      </w:r>
      <w:r>
        <w:rPr>
          <w:i/>
          <w:spacing w:val="-12"/>
          <w:sz w:val="28"/>
        </w:rPr>
        <w:t> </w:t>
      </w:r>
      <w:r>
        <w:rPr>
          <w:i/>
          <w:sz w:val="28"/>
        </w:rPr>
        <w:t>94</w:t>
      </w:r>
      <w:r>
        <w:rPr>
          <w:i/>
          <w:spacing w:val="-12"/>
          <w:sz w:val="28"/>
        </w:rPr>
        <w:t> </w:t>
      </w:r>
      <w:r>
        <w:rPr>
          <w:i/>
          <w:sz w:val="28"/>
        </w:rPr>
        <w:t>cm,</w:t>
      </w:r>
      <w:r>
        <w:rPr>
          <w:i/>
          <w:spacing w:val="-9"/>
          <w:sz w:val="28"/>
        </w:rPr>
        <w:t> </w:t>
      </w:r>
      <w:r>
        <w:rPr>
          <w:i/>
          <w:sz w:val="28"/>
        </w:rPr>
        <w:t>fat</w:t>
      </w:r>
      <w:r>
        <w:rPr>
          <w:i/>
          <w:spacing w:val="-13"/>
          <w:sz w:val="28"/>
        </w:rPr>
        <w:t> </w:t>
      </w:r>
      <w:r>
        <w:rPr>
          <w:i/>
          <w:sz w:val="28"/>
        </w:rPr>
        <w:t>thickness</w:t>
      </w:r>
      <w:r>
        <w:rPr>
          <w:i/>
          <w:spacing w:val="-10"/>
          <w:sz w:val="28"/>
        </w:rPr>
        <w:t> </w:t>
      </w:r>
      <w:r>
        <w:rPr>
          <w:i/>
          <w:sz w:val="28"/>
        </w:rPr>
        <w:t>at</w:t>
      </w:r>
      <w:r>
        <w:rPr>
          <w:i/>
          <w:spacing w:val="-13"/>
          <w:sz w:val="28"/>
        </w:rPr>
        <w:t> </w:t>
      </w:r>
      <w:r>
        <w:rPr>
          <w:i/>
          <w:sz w:val="28"/>
        </w:rPr>
        <w:t>the</w:t>
      </w:r>
      <w:r>
        <w:rPr>
          <w:i/>
          <w:spacing w:val="-11"/>
          <w:sz w:val="28"/>
        </w:rPr>
        <w:t> </w:t>
      </w:r>
      <w:r>
        <w:rPr>
          <w:i/>
          <w:sz w:val="28"/>
        </w:rPr>
        <w:t>level</w:t>
      </w:r>
      <w:r>
        <w:rPr>
          <w:i/>
          <w:spacing w:val="-13"/>
          <w:sz w:val="28"/>
        </w:rPr>
        <w:t> </w:t>
      </w:r>
      <w:r>
        <w:rPr>
          <w:i/>
          <w:sz w:val="28"/>
        </w:rPr>
        <w:t>of</w:t>
      </w:r>
      <w:r>
        <w:rPr>
          <w:i/>
          <w:spacing w:val="-13"/>
          <w:sz w:val="28"/>
        </w:rPr>
        <w:t> </w:t>
      </w:r>
      <w:r>
        <w:rPr>
          <w:i/>
          <w:sz w:val="28"/>
        </w:rPr>
        <w:t>6-7</w:t>
      </w:r>
      <w:r>
        <w:rPr>
          <w:i/>
          <w:spacing w:val="-12"/>
          <w:sz w:val="28"/>
        </w:rPr>
        <w:t> </w:t>
      </w:r>
      <w:r>
        <w:rPr>
          <w:i/>
          <w:sz w:val="28"/>
        </w:rPr>
        <w:t>chest</w:t>
      </w:r>
      <w:r>
        <w:rPr>
          <w:i/>
          <w:spacing w:val="-13"/>
          <w:sz w:val="28"/>
        </w:rPr>
        <w:t> </w:t>
      </w:r>
      <w:r>
        <w:rPr>
          <w:i/>
          <w:sz w:val="28"/>
        </w:rPr>
        <w:t>vertebrae</w:t>
      </w:r>
      <w:r>
        <w:rPr>
          <w:i/>
          <w:spacing w:val="-11"/>
          <w:sz w:val="28"/>
        </w:rPr>
        <w:t> </w:t>
      </w:r>
      <w:r>
        <w:rPr>
          <w:i/>
          <w:sz w:val="28"/>
        </w:rPr>
        <w:t>for 8 mm, meat content 76.8% and 75.5%, respectively, </w:t>
      </w:r>
      <w:r>
        <w:rPr>
          <w:i/>
          <w:spacing w:val="-3"/>
          <w:sz w:val="28"/>
        </w:rPr>
        <w:t>with </w:t>
      </w:r>
      <w:r>
        <w:rPr>
          <w:i/>
          <w:sz w:val="28"/>
        </w:rPr>
        <w:t>live weight of young animals 100 kg and 120 kg). The research results showed that Pietrain pigs exceeded the existing</w:t>
      </w:r>
      <w:r>
        <w:rPr>
          <w:i/>
          <w:spacing w:val="-7"/>
          <w:sz w:val="28"/>
        </w:rPr>
        <w:t> </w:t>
      </w:r>
      <w:r>
        <w:rPr>
          <w:i/>
          <w:sz w:val="28"/>
        </w:rPr>
        <w:t>elite</w:t>
      </w:r>
      <w:r>
        <w:rPr>
          <w:i/>
          <w:spacing w:val="-7"/>
          <w:sz w:val="28"/>
        </w:rPr>
        <w:t> </w:t>
      </w:r>
      <w:r>
        <w:rPr>
          <w:i/>
          <w:sz w:val="28"/>
        </w:rPr>
        <w:t>class</w:t>
      </w:r>
      <w:r>
        <w:rPr>
          <w:i/>
          <w:spacing w:val="-4"/>
          <w:sz w:val="28"/>
        </w:rPr>
        <w:t> </w:t>
      </w:r>
      <w:r>
        <w:rPr>
          <w:i/>
          <w:sz w:val="28"/>
        </w:rPr>
        <w:t>requirements</w:t>
      </w:r>
      <w:r>
        <w:rPr>
          <w:i/>
          <w:spacing w:val="-6"/>
          <w:sz w:val="28"/>
        </w:rPr>
        <w:t> </w:t>
      </w:r>
      <w:r>
        <w:rPr>
          <w:i/>
          <w:sz w:val="28"/>
        </w:rPr>
        <w:t>of</w:t>
      </w:r>
      <w:r>
        <w:rPr>
          <w:i/>
          <w:spacing w:val="-12"/>
          <w:sz w:val="28"/>
        </w:rPr>
        <w:t> </w:t>
      </w:r>
      <w:r>
        <w:rPr>
          <w:i/>
          <w:sz w:val="28"/>
        </w:rPr>
        <w:t>current</w:t>
      </w:r>
      <w:r>
        <w:rPr>
          <w:i/>
          <w:spacing w:val="-12"/>
          <w:sz w:val="28"/>
        </w:rPr>
        <w:t> </w:t>
      </w:r>
      <w:r>
        <w:rPr>
          <w:i/>
          <w:sz w:val="28"/>
        </w:rPr>
        <w:t>guidelines</w:t>
      </w:r>
      <w:r>
        <w:rPr>
          <w:i/>
          <w:spacing w:val="-5"/>
          <w:sz w:val="28"/>
        </w:rPr>
        <w:t> </w:t>
      </w:r>
      <w:r>
        <w:rPr>
          <w:i/>
          <w:sz w:val="28"/>
        </w:rPr>
        <w:t>for</w:t>
      </w:r>
      <w:r>
        <w:rPr>
          <w:i/>
          <w:spacing w:val="-5"/>
          <w:sz w:val="28"/>
        </w:rPr>
        <w:t> </w:t>
      </w:r>
      <w:r>
        <w:rPr>
          <w:i/>
          <w:sz w:val="28"/>
        </w:rPr>
        <w:t>pig</w:t>
      </w:r>
      <w:r>
        <w:rPr>
          <w:i/>
          <w:spacing w:val="-8"/>
          <w:sz w:val="28"/>
        </w:rPr>
        <w:t> </w:t>
      </w:r>
      <w:r>
        <w:rPr>
          <w:i/>
          <w:sz w:val="28"/>
        </w:rPr>
        <w:t>testing</w:t>
      </w:r>
      <w:r>
        <w:rPr>
          <w:i/>
          <w:spacing w:val="-2"/>
          <w:sz w:val="28"/>
        </w:rPr>
        <w:t> </w:t>
      </w:r>
      <w:r>
        <w:rPr>
          <w:i/>
          <w:sz w:val="28"/>
        </w:rPr>
        <w:t>(2003),</w:t>
      </w:r>
      <w:r>
        <w:rPr>
          <w:i/>
          <w:spacing w:val="-5"/>
          <w:sz w:val="28"/>
        </w:rPr>
        <w:t> </w:t>
      </w:r>
      <w:r>
        <w:rPr>
          <w:i/>
          <w:sz w:val="28"/>
        </w:rPr>
        <w:t>presented to the II group of breeds in terms of average live weight, however, according to the body length indicator, compliance with the requirements of the predominantly class II rating scale </w:t>
      </w:r>
      <w:r>
        <w:rPr>
          <w:i/>
          <w:spacing w:val="-3"/>
          <w:sz w:val="28"/>
        </w:rPr>
        <w:t>was </w:t>
      </w:r>
      <w:r>
        <w:rPr>
          <w:i/>
          <w:sz w:val="28"/>
        </w:rPr>
        <w:t>established, which can be fully explained by the specificity of the exterior of this breed in comparison with other meat breeds (Landrace, Duroc and others).</w:t>
      </w:r>
    </w:p>
    <w:p>
      <w:pPr>
        <w:spacing w:before="1"/>
        <w:ind w:left="193" w:right="620" w:firstLine="705"/>
        <w:jc w:val="both"/>
        <w:rPr>
          <w:i/>
          <w:sz w:val="28"/>
        </w:rPr>
      </w:pPr>
      <w:r>
        <w:rPr>
          <w:b/>
          <w:i/>
          <w:sz w:val="28"/>
        </w:rPr>
        <w:t>Key</w:t>
      </w:r>
      <w:r>
        <w:rPr>
          <w:b/>
          <w:i/>
          <w:spacing w:val="-8"/>
          <w:sz w:val="28"/>
        </w:rPr>
        <w:t> </w:t>
      </w:r>
      <w:r>
        <w:rPr>
          <w:b/>
          <w:i/>
          <w:sz w:val="28"/>
        </w:rPr>
        <w:t>words:</w:t>
      </w:r>
      <w:r>
        <w:rPr>
          <w:b/>
          <w:i/>
          <w:spacing w:val="-7"/>
          <w:sz w:val="28"/>
        </w:rPr>
        <w:t> </w:t>
      </w:r>
      <w:r>
        <w:rPr>
          <w:i/>
          <w:sz w:val="28"/>
        </w:rPr>
        <w:t>productivity,</w:t>
      </w:r>
      <w:r>
        <w:rPr>
          <w:i/>
          <w:spacing w:val="-6"/>
          <w:sz w:val="28"/>
        </w:rPr>
        <w:t> </w:t>
      </w:r>
      <w:r>
        <w:rPr>
          <w:i/>
          <w:sz w:val="28"/>
        </w:rPr>
        <w:t>main</w:t>
      </w:r>
      <w:r>
        <w:rPr>
          <w:i/>
          <w:spacing w:val="-7"/>
          <w:sz w:val="28"/>
        </w:rPr>
        <w:t> </w:t>
      </w:r>
      <w:r>
        <w:rPr>
          <w:i/>
          <w:sz w:val="28"/>
        </w:rPr>
        <w:t>herd,</w:t>
      </w:r>
      <w:r>
        <w:rPr>
          <w:i/>
          <w:spacing w:val="-6"/>
          <w:sz w:val="28"/>
        </w:rPr>
        <w:t> </w:t>
      </w:r>
      <w:r>
        <w:rPr>
          <w:i/>
          <w:sz w:val="28"/>
        </w:rPr>
        <w:t>young</w:t>
      </w:r>
      <w:r>
        <w:rPr>
          <w:i/>
          <w:spacing w:val="-8"/>
          <w:sz w:val="28"/>
        </w:rPr>
        <w:t> </w:t>
      </w:r>
      <w:r>
        <w:rPr>
          <w:i/>
          <w:sz w:val="28"/>
        </w:rPr>
        <w:t>stocks,</w:t>
      </w:r>
      <w:r>
        <w:rPr>
          <w:i/>
          <w:spacing w:val="-6"/>
          <w:sz w:val="28"/>
        </w:rPr>
        <w:t> </w:t>
      </w:r>
      <w:r>
        <w:rPr>
          <w:i/>
          <w:sz w:val="28"/>
        </w:rPr>
        <w:t>reproductive,</w:t>
      </w:r>
      <w:r>
        <w:rPr>
          <w:i/>
          <w:spacing w:val="-5"/>
          <w:sz w:val="28"/>
        </w:rPr>
        <w:t> </w:t>
      </w:r>
      <w:r>
        <w:rPr>
          <w:i/>
          <w:sz w:val="28"/>
        </w:rPr>
        <w:t>fattening,</w:t>
      </w:r>
      <w:r>
        <w:rPr>
          <w:i/>
          <w:spacing w:val="-6"/>
          <w:sz w:val="28"/>
        </w:rPr>
        <w:t> </w:t>
      </w:r>
      <w:r>
        <w:rPr>
          <w:i/>
          <w:sz w:val="28"/>
        </w:rPr>
        <w:t>meat </w:t>
      </w:r>
      <w:r>
        <w:rPr>
          <w:i/>
          <w:sz w:val="28"/>
        </w:rPr>
        <w:t>qualities, exterior, Pietrain</w:t>
      </w:r>
      <w:r>
        <w:rPr>
          <w:i/>
          <w:spacing w:val="8"/>
          <w:sz w:val="28"/>
        </w:rPr>
        <w:t> </w:t>
      </w:r>
      <w:r>
        <w:rPr>
          <w:i/>
          <w:sz w:val="28"/>
        </w:rPr>
        <w:t>breed.</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right="0"/>
        <w:jc w:val="left"/>
      </w:pPr>
      <w:r>
        <w:rPr/>
        <w:t>УДК.636.22/.28.082.2</w:t>
        <w:tab/>
        <w:t>DOI: 10.37000/abbsl.2020.96.13</w:t>
      </w:r>
    </w:p>
    <w:p>
      <w:pPr>
        <w:pStyle w:val="BodyText"/>
        <w:spacing w:before="11"/>
        <w:ind w:left="0"/>
        <w:jc w:val="left"/>
        <w:rPr>
          <w:b/>
          <w:sz w:val="27"/>
        </w:rPr>
      </w:pPr>
    </w:p>
    <w:p>
      <w:pPr>
        <w:spacing w:before="0"/>
        <w:ind w:left="620" w:right="799" w:firstLine="1128"/>
        <w:jc w:val="left"/>
        <w:rPr>
          <w:b/>
          <w:sz w:val="28"/>
        </w:rPr>
      </w:pPr>
      <w:r>
        <w:rPr>
          <w:b/>
          <w:sz w:val="28"/>
        </w:rPr>
        <w:t>ПОРІВНЯЛЬНА ХАРАКТЕРИСТИКА СЕЛЕКЦІЙНО- ГОСПОДАРСЬКИХ ОЗНАК КОРІВ РІЗНИХ ЛІНІЙ УКРАЇНСЬКОЇ ЧЕРВОНОЇ МОЛОЧНОЇ ПОРОДИ ЖИРНОМОЛОЧНОГО ТИПУ</w:t>
      </w:r>
    </w:p>
    <w:p>
      <w:pPr>
        <w:spacing w:line="319" w:lineRule="exact" w:before="4"/>
        <w:ind w:left="1026" w:right="603" w:firstLine="0"/>
        <w:jc w:val="center"/>
        <w:rPr>
          <w:b/>
          <w:sz w:val="28"/>
        </w:rPr>
      </w:pPr>
      <w:r>
        <w:rPr>
          <w:b/>
          <w:sz w:val="28"/>
        </w:rPr>
        <w:t>О. Безалтична</w:t>
      </w:r>
    </w:p>
    <w:p>
      <w:pPr>
        <w:spacing w:line="319" w:lineRule="exact" w:before="0"/>
        <w:ind w:left="1030" w:right="603" w:firstLine="0"/>
        <w:jc w:val="center"/>
        <w:rPr>
          <w:i/>
          <w:sz w:val="28"/>
        </w:rPr>
      </w:pPr>
      <w:r>
        <w:rPr>
          <w:i/>
          <w:sz w:val="28"/>
        </w:rPr>
        <w:t>Одеський державний аграрний університет</w:t>
      </w:r>
    </w:p>
    <w:p>
      <w:pPr>
        <w:pStyle w:val="BodyText"/>
        <w:ind w:left="0"/>
        <w:jc w:val="left"/>
        <w:rPr>
          <w:i/>
        </w:rPr>
      </w:pPr>
    </w:p>
    <w:p>
      <w:pPr>
        <w:spacing w:before="0"/>
        <w:ind w:left="193" w:right="614" w:firstLine="710"/>
        <w:jc w:val="both"/>
        <w:rPr>
          <w:i/>
          <w:sz w:val="28"/>
        </w:rPr>
      </w:pPr>
      <w:r>
        <w:rPr>
          <w:i/>
          <w:sz w:val="28"/>
        </w:rPr>
        <w:t>Основним</w:t>
      </w:r>
      <w:r>
        <w:rPr>
          <w:i/>
          <w:spacing w:val="-18"/>
          <w:sz w:val="28"/>
        </w:rPr>
        <w:t> </w:t>
      </w:r>
      <w:r>
        <w:rPr>
          <w:i/>
          <w:sz w:val="28"/>
        </w:rPr>
        <w:t>напрямком</w:t>
      </w:r>
      <w:r>
        <w:rPr>
          <w:i/>
          <w:spacing w:val="-18"/>
          <w:sz w:val="28"/>
        </w:rPr>
        <w:t> </w:t>
      </w:r>
      <w:r>
        <w:rPr>
          <w:i/>
          <w:sz w:val="28"/>
        </w:rPr>
        <w:t>молочного</w:t>
      </w:r>
      <w:r>
        <w:rPr>
          <w:i/>
          <w:spacing w:val="-18"/>
          <w:sz w:val="28"/>
        </w:rPr>
        <w:t> </w:t>
      </w:r>
      <w:r>
        <w:rPr>
          <w:i/>
          <w:sz w:val="28"/>
        </w:rPr>
        <w:t>скотарства</w:t>
      </w:r>
      <w:r>
        <w:rPr>
          <w:i/>
          <w:spacing w:val="-13"/>
          <w:sz w:val="28"/>
        </w:rPr>
        <w:t> </w:t>
      </w:r>
      <w:r>
        <w:rPr>
          <w:i/>
          <w:sz w:val="28"/>
        </w:rPr>
        <w:t>в</w:t>
      </w:r>
      <w:r>
        <w:rPr>
          <w:i/>
          <w:spacing w:val="-19"/>
          <w:sz w:val="28"/>
        </w:rPr>
        <w:t> </w:t>
      </w:r>
      <w:r>
        <w:rPr>
          <w:i/>
          <w:sz w:val="28"/>
        </w:rPr>
        <w:t>Україні</w:t>
      </w:r>
      <w:r>
        <w:rPr>
          <w:i/>
          <w:spacing w:val="-18"/>
          <w:sz w:val="28"/>
        </w:rPr>
        <w:t> </w:t>
      </w:r>
      <w:r>
        <w:rPr>
          <w:i/>
          <w:sz w:val="28"/>
        </w:rPr>
        <w:t>у</w:t>
      </w:r>
      <w:r>
        <w:rPr>
          <w:i/>
          <w:spacing w:val="-16"/>
          <w:sz w:val="28"/>
        </w:rPr>
        <w:t> </w:t>
      </w:r>
      <w:r>
        <w:rPr>
          <w:i/>
          <w:sz w:val="28"/>
        </w:rPr>
        <w:t>нових</w:t>
      </w:r>
      <w:r>
        <w:rPr>
          <w:i/>
          <w:spacing w:val="-18"/>
          <w:sz w:val="28"/>
        </w:rPr>
        <w:t> </w:t>
      </w:r>
      <w:r>
        <w:rPr>
          <w:i/>
          <w:sz w:val="28"/>
        </w:rPr>
        <w:t>економічних </w:t>
      </w:r>
      <w:r>
        <w:rPr>
          <w:i/>
          <w:sz w:val="28"/>
        </w:rPr>
        <w:t>умовах господарювання, має бути рентабельне виробництво молока, на основі реалізації генетичного потенціалу створених в Україні породних ресурсів, з використанням інтенсивних енерго– та ресурсозберігаючих технологій. Селекційно-племінна робота з українською червоною молочною породою для підтримки</w:t>
      </w:r>
      <w:r>
        <w:rPr>
          <w:i/>
          <w:spacing w:val="-19"/>
          <w:sz w:val="28"/>
        </w:rPr>
        <w:t> </w:t>
      </w:r>
      <w:r>
        <w:rPr>
          <w:i/>
          <w:sz w:val="28"/>
        </w:rPr>
        <w:t>її</w:t>
      </w:r>
      <w:r>
        <w:rPr>
          <w:i/>
          <w:spacing w:val="-19"/>
          <w:sz w:val="28"/>
        </w:rPr>
        <w:t> </w:t>
      </w:r>
      <w:r>
        <w:rPr>
          <w:i/>
          <w:sz w:val="28"/>
        </w:rPr>
        <w:t>конкурентоздатності</w:t>
      </w:r>
      <w:r>
        <w:rPr>
          <w:i/>
          <w:spacing w:val="-18"/>
          <w:sz w:val="28"/>
        </w:rPr>
        <w:t> </w:t>
      </w:r>
      <w:r>
        <w:rPr>
          <w:i/>
          <w:sz w:val="28"/>
        </w:rPr>
        <w:t>в</w:t>
      </w:r>
      <w:r>
        <w:rPr>
          <w:i/>
          <w:spacing w:val="-19"/>
          <w:sz w:val="28"/>
        </w:rPr>
        <w:t> </w:t>
      </w:r>
      <w:r>
        <w:rPr>
          <w:i/>
          <w:sz w:val="28"/>
        </w:rPr>
        <w:t>цей</w:t>
      </w:r>
      <w:r>
        <w:rPr>
          <w:i/>
          <w:spacing w:val="-18"/>
          <w:sz w:val="28"/>
        </w:rPr>
        <w:t> </w:t>
      </w:r>
      <w:r>
        <w:rPr>
          <w:i/>
          <w:sz w:val="28"/>
        </w:rPr>
        <w:t>час</w:t>
      </w:r>
      <w:r>
        <w:rPr>
          <w:i/>
          <w:spacing w:val="-18"/>
          <w:sz w:val="28"/>
        </w:rPr>
        <w:t> </w:t>
      </w:r>
      <w:r>
        <w:rPr>
          <w:i/>
          <w:sz w:val="28"/>
        </w:rPr>
        <w:t>та</w:t>
      </w:r>
      <w:r>
        <w:rPr>
          <w:i/>
          <w:spacing w:val="-21"/>
          <w:sz w:val="28"/>
        </w:rPr>
        <w:t> </w:t>
      </w:r>
      <w:r>
        <w:rPr>
          <w:i/>
          <w:sz w:val="28"/>
        </w:rPr>
        <w:t>в</w:t>
      </w:r>
      <w:r>
        <w:rPr>
          <w:i/>
          <w:spacing w:val="-19"/>
          <w:sz w:val="28"/>
        </w:rPr>
        <w:t> </w:t>
      </w:r>
      <w:r>
        <w:rPr>
          <w:i/>
          <w:sz w:val="28"/>
        </w:rPr>
        <w:t>перспективі,</w:t>
      </w:r>
      <w:r>
        <w:rPr>
          <w:i/>
          <w:spacing w:val="-17"/>
          <w:sz w:val="28"/>
        </w:rPr>
        <w:t> </w:t>
      </w:r>
      <w:r>
        <w:rPr>
          <w:i/>
          <w:sz w:val="28"/>
        </w:rPr>
        <w:t>вимагає</w:t>
      </w:r>
      <w:r>
        <w:rPr>
          <w:i/>
          <w:spacing w:val="-19"/>
          <w:sz w:val="28"/>
        </w:rPr>
        <w:t> </w:t>
      </w:r>
      <w:r>
        <w:rPr>
          <w:i/>
          <w:sz w:val="28"/>
        </w:rPr>
        <w:t>розробки нових методів вдосконалення, використання нових селекційних прийомів, спрямованих на консолідацію і розвиток продуктивних</w:t>
      </w:r>
      <w:r>
        <w:rPr>
          <w:i/>
          <w:spacing w:val="7"/>
          <w:sz w:val="28"/>
        </w:rPr>
        <w:t> </w:t>
      </w:r>
      <w:r>
        <w:rPr>
          <w:i/>
          <w:sz w:val="28"/>
        </w:rPr>
        <w:t>ознак.</w:t>
      </w:r>
    </w:p>
    <w:p>
      <w:pPr>
        <w:spacing w:line="242" w:lineRule="auto" w:before="0"/>
        <w:ind w:left="193" w:right="612" w:firstLine="710"/>
        <w:jc w:val="both"/>
        <w:rPr>
          <w:i/>
          <w:sz w:val="28"/>
        </w:rPr>
      </w:pPr>
      <w:r>
        <w:rPr>
          <w:b/>
          <w:i/>
          <w:sz w:val="28"/>
        </w:rPr>
        <w:t>Ключові слова</w:t>
      </w:r>
      <w:r>
        <w:rPr>
          <w:i/>
          <w:sz w:val="28"/>
        </w:rPr>
        <w:t>: корова, українська червоно молочна порода, </w:t>
      </w:r>
      <w:r>
        <w:rPr>
          <w:i/>
          <w:sz w:val="28"/>
        </w:rPr>
        <w:t>жирномолочний тип, популяційно-генетичні параметри, селекційно-племінна робота.</w:t>
      </w:r>
    </w:p>
    <w:p>
      <w:pPr>
        <w:pStyle w:val="BodyText"/>
        <w:spacing w:before="3"/>
        <w:ind w:left="0"/>
        <w:jc w:val="left"/>
        <w:rPr>
          <w:i/>
          <w:sz w:val="27"/>
        </w:rPr>
      </w:pPr>
    </w:p>
    <w:p>
      <w:pPr>
        <w:pStyle w:val="BodyText"/>
        <w:ind w:right="602" w:firstLine="710"/>
      </w:pPr>
      <w:r>
        <w:rPr>
          <w:b/>
          <w:spacing w:val="-4"/>
        </w:rPr>
        <w:t>Постановка проблеми</w:t>
      </w:r>
      <w:r>
        <w:rPr>
          <w:spacing w:val="-4"/>
        </w:rPr>
        <w:t>. Розведення високопродуктивного жирномолочного типу української </w:t>
      </w:r>
      <w:r>
        <w:rPr>
          <w:spacing w:val="-3"/>
        </w:rPr>
        <w:t>молочної </w:t>
      </w:r>
      <w:r>
        <w:rPr>
          <w:spacing w:val="-4"/>
        </w:rPr>
        <w:t>породи </w:t>
      </w:r>
      <w:r>
        <w:rPr>
          <w:spacing w:val="-3"/>
        </w:rPr>
        <w:t>на сучасному етапі </w:t>
      </w:r>
      <w:r>
        <w:rPr>
          <w:spacing w:val="-4"/>
        </w:rPr>
        <w:t>ґрунтується </w:t>
      </w:r>
      <w:r>
        <w:rPr/>
        <w:t>як </w:t>
      </w:r>
      <w:r>
        <w:rPr>
          <w:spacing w:val="-3"/>
        </w:rPr>
        <w:t>на </w:t>
      </w:r>
      <w:r>
        <w:rPr>
          <w:spacing w:val="-4"/>
        </w:rPr>
        <w:t>загально</w:t>
      </w:r>
      <w:r>
        <w:rPr>
          <w:spacing w:val="62"/>
        </w:rPr>
        <w:t> </w:t>
      </w:r>
      <w:r>
        <w:rPr>
          <w:spacing w:val="-4"/>
        </w:rPr>
        <w:t>визначених </w:t>
      </w:r>
      <w:r>
        <w:rPr>
          <w:spacing w:val="-3"/>
        </w:rPr>
        <w:t>положеннях так </w:t>
      </w:r>
      <w:r>
        <w:rPr/>
        <w:t>і </w:t>
      </w:r>
      <w:r>
        <w:rPr>
          <w:spacing w:val="-3"/>
        </w:rPr>
        <w:t>на </w:t>
      </w:r>
      <w:r>
        <w:rPr>
          <w:spacing w:val="-4"/>
        </w:rPr>
        <w:t>розроблених </w:t>
      </w:r>
      <w:r>
        <w:rPr>
          <w:spacing w:val="-3"/>
        </w:rPr>
        <w:t>програмою </w:t>
      </w:r>
      <w:r>
        <w:rPr>
          <w:spacing w:val="-4"/>
        </w:rPr>
        <w:t>селекційно-племінної роботи </w:t>
      </w:r>
      <w:r>
        <w:rPr/>
        <w:t>зі </w:t>
      </w:r>
      <w:r>
        <w:rPr>
          <w:spacing w:val="-4"/>
        </w:rPr>
        <w:t>стадом [4]. </w:t>
      </w:r>
      <w:r>
        <w:rPr/>
        <w:t>Тому </w:t>
      </w:r>
      <w:r>
        <w:rPr>
          <w:spacing w:val="-4"/>
        </w:rPr>
        <w:t>назріла необхідність проведення об’єктивної </w:t>
      </w:r>
      <w:r>
        <w:rPr>
          <w:spacing w:val="-3"/>
        </w:rPr>
        <w:t>оцінки </w:t>
      </w:r>
      <w:r>
        <w:rPr>
          <w:spacing w:val="-5"/>
        </w:rPr>
        <w:t>племінних, </w:t>
      </w:r>
      <w:r>
        <w:rPr>
          <w:spacing w:val="-4"/>
        </w:rPr>
        <w:t>продуктивних,</w:t>
      </w:r>
      <w:r>
        <w:rPr>
          <w:spacing w:val="62"/>
        </w:rPr>
        <w:t> </w:t>
      </w:r>
      <w:r>
        <w:rPr>
          <w:spacing w:val="-4"/>
        </w:rPr>
        <w:t>екстер’єрно-констуціональних</w:t>
      </w:r>
      <w:r>
        <w:rPr>
          <w:spacing w:val="62"/>
        </w:rPr>
        <w:t> </w:t>
      </w:r>
      <w:r>
        <w:rPr>
          <w:spacing w:val="-4"/>
        </w:rPr>
        <w:t>особливостей</w:t>
      </w:r>
      <w:r>
        <w:rPr>
          <w:spacing w:val="62"/>
        </w:rPr>
        <w:t> </w:t>
      </w:r>
      <w:r>
        <w:rPr>
          <w:spacing w:val="-3"/>
        </w:rPr>
        <w:t>корів </w:t>
      </w:r>
      <w:r>
        <w:rPr>
          <w:spacing w:val="-4"/>
        </w:rPr>
        <w:t>різного походження, так </w:t>
      </w:r>
      <w:r>
        <w:rPr/>
        <w:t>як </w:t>
      </w:r>
      <w:r>
        <w:rPr>
          <w:spacing w:val="-5"/>
        </w:rPr>
        <w:t>від </w:t>
      </w:r>
      <w:r>
        <w:rPr>
          <w:spacing w:val="-4"/>
        </w:rPr>
        <w:t>генетичного </w:t>
      </w:r>
      <w:r>
        <w:rPr>
          <w:spacing w:val="-3"/>
        </w:rPr>
        <w:t>потенціалу </w:t>
      </w:r>
      <w:r>
        <w:rPr>
          <w:spacing w:val="-4"/>
        </w:rPr>
        <w:t>тварин використаних </w:t>
      </w:r>
      <w:r>
        <w:rPr/>
        <w:t>в </w:t>
      </w:r>
      <w:r>
        <w:rPr>
          <w:spacing w:val="-4"/>
        </w:rPr>
        <w:t>подальшій</w:t>
      </w:r>
      <w:r>
        <w:rPr>
          <w:spacing w:val="-16"/>
        </w:rPr>
        <w:t> </w:t>
      </w:r>
      <w:r>
        <w:rPr>
          <w:spacing w:val="-3"/>
        </w:rPr>
        <w:t>селекції</w:t>
      </w:r>
      <w:r>
        <w:rPr>
          <w:spacing w:val="-16"/>
        </w:rPr>
        <w:t> </w:t>
      </w:r>
      <w:r>
        <w:rPr>
          <w:spacing w:val="-4"/>
        </w:rPr>
        <w:t>залежить</w:t>
      </w:r>
      <w:r>
        <w:rPr>
          <w:spacing w:val="-17"/>
        </w:rPr>
        <w:t> </w:t>
      </w:r>
      <w:r>
        <w:rPr>
          <w:spacing w:val="-4"/>
        </w:rPr>
        <w:t>обсяг</w:t>
      </w:r>
      <w:r>
        <w:rPr>
          <w:spacing w:val="-9"/>
        </w:rPr>
        <w:t> </w:t>
      </w:r>
      <w:r>
        <w:rPr>
          <w:spacing w:val="-4"/>
        </w:rPr>
        <w:t>виробництва</w:t>
      </w:r>
      <w:r>
        <w:rPr>
          <w:spacing w:val="-14"/>
        </w:rPr>
        <w:t> </w:t>
      </w:r>
      <w:r>
        <w:rPr>
          <w:spacing w:val="-4"/>
        </w:rPr>
        <w:t>молока</w:t>
      </w:r>
      <w:r>
        <w:rPr>
          <w:spacing w:val="-9"/>
        </w:rPr>
        <w:t> </w:t>
      </w:r>
      <w:r>
        <w:rPr/>
        <w:t>і</w:t>
      </w:r>
      <w:r>
        <w:rPr>
          <w:spacing w:val="-16"/>
        </w:rPr>
        <w:t> </w:t>
      </w:r>
      <w:r>
        <w:rPr>
          <w:spacing w:val="-4"/>
        </w:rPr>
        <w:t>племінної</w:t>
      </w:r>
      <w:r>
        <w:rPr>
          <w:spacing w:val="-15"/>
        </w:rPr>
        <w:t> </w:t>
      </w:r>
      <w:r>
        <w:rPr>
          <w:spacing w:val="-4"/>
        </w:rPr>
        <w:t>продукції,</w:t>
      </w:r>
      <w:r>
        <w:rPr>
          <w:spacing w:val="-8"/>
        </w:rPr>
        <w:t> </w:t>
      </w:r>
      <w:r>
        <w:rPr>
          <w:spacing w:val="-4"/>
        </w:rPr>
        <w:t>так</w:t>
      </w:r>
      <w:r>
        <w:rPr>
          <w:spacing w:val="-12"/>
        </w:rPr>
        <w:t> </w:t>
      </w:r>
      <w:r>
        <w:rPr/>
        <w:t>і в </w:t>
      </w:r>
      <w:r>
        <w:rPr>
          <w:spacing w:val="-3"/>
        </w:rPr>
        <w:t>цілому </w:t>
      </w:r>
      <w:r>
        <w:rPr>
          <w:spacing w:val="-4"/>
        </w:rPr>
        <w:t>конкурентоздатність </w:t>
      </w:r>
      <w:r>
        <w:rPr>
          <w:spacing w:val="-3"/>
        </w:rPr>
        <w:t>галузі </w:t>
      </w:r>
      <w:r>
        <w:rPr>
          <w:spacing w:val="-4"/>
        </w:rPr>
        <w:t>скотарства </w:t>
      </w:r>
      <w:r>
        <w:rPr>
          <w:spacing w:val="-3"/>
        </w:rPr>
        <w:t>[3,6]</w:t>
      </w:r>
      <w:r>
        <w:rPr>
          <w:spacing w:val="-46"/>
        </w:rPr>
        <w:t> </w:t>
      </w:r>
      <w:r>
        <w:rPr/>
        <w:t>.</w:t>
      </w:r>
    </w:p>
    <w:p>
      <w:pPr>
        <w:pStyle w:val="BodyText"/>
        <w:ind w:right="607" w:firstLine="710"/>
      </w:pPr>
      <w:r>
        <w:rPr>
          <w:b/>
          <w:spacing w:val="-4"/>
        </w:rPr>
        <w:t>Аналіз останніх </w:t>
      </w:r>
      <w:r>
        <w:rPr>
          <w:b/>
          <w:spacing w:val="-3"/>
        </w:rPr>
        <w:t>досліджень </w:t>
      </w:r>
      <w:r>
        <w:rPr>
          <w:b/>
        </w:rPr>
        <w:t>і </w:t>
      </w:r>
      <w:r>
        <w:rPr>
          <w:b/>
          <w:spacing w:val="-4"/>
        </w:rPr>
        <w:t>публікацій. </w:t>
      </w:r>
      <w:r>
        <w:rPr>
          <w:spacing w:val="-4"/>
        </w:rPr>
        <w:t>Дослідження та розведення </w:t>
      </w:r>
      <w:r>
        <w:rPr/>
        <w:t>в </w:t>
      </w:r>
      <w:r>
        <w:rPr>
          <w:spacing w:val="-4"/>
        </w:rPr>
        <w:t>умовах</w:t>
      </w:r>
      <w:r>
        <w:rPr>
          <w:spacing w:val="-16"/>
        </w:rPr>
        <w:t> </w:t>
      </w:r>
      <w:r>
        <w:rPr>
          <w:spacing w:val="-4"/>
        </w:rPr>
        <w:t>промислових</w:t>
      </w:r>
      <w:r>
        <w:rPr>
          <w:spacing w:val="-16"/>
        </w:rPr>
        <w:t> </w:t>
      </w:r>
      <w:r>
        <w:rPr>
          <w:spacing w:val="-4"/>
        </w:rPr>
        <w:t>комплексів</w:t>
      </w:r>
      <w:r>
        <w:rPr>
          <w:spacing w:val="-13"/>
        </w:rPr>
        <w:t> </w:t>
      </w:r>
      <w:r>
        <w:rPr>
          <w:spacing w:val="-4"/>
        </w:rPr>
        <w:t>та</w:t>
      </w:r>
      <w:r>
        <w:rPr>
          <w:spacing w:val="-15"/>
        </w:rPr>
        <w:t> </w:t>
      </w:r>
      <w:r>
        <w:rPr>
          <w:spacing w:val="-3"/>
        </w:rPr>
        <w:t>господарств</w:t>
      </w:r>
      <w:r>
        <w:rPr>
          <w:spacing w:val="-18"/>
        </w:rPr>
        <w:t> </w:t>
      </w:r>
      <w:r>
        <w:rPr>
          <w:spacing w:val="-3"/>
        </w:rPr>
        <w:t>має</w:t>
      </w:r>
      <w:r>
        <w:rPr>
          <w:spacing w:val="-15"/>
        </w:rPr>
        <w:t> </w:t>
      </w:r>
      <w:r>
        <w:rPr>
          <w:spacing w:val="-3"/>
        </w:rPr>
        <w:t>велике</w:t>
      </w:r>
      <w:r>
        <w:rPr>
          <w:spacing w:val="-14"/>
        </w:rPr>
        <w:t> </w:t>
      </w:r>
      <w:r>
        <w:rPr>
          <w:spacing w:val="-4"/>
        </w:rPr>
        <w:t>теоретичне</w:t>
      </w:r>
      <w:r>
        <w:rPr>
          <w:spacing w:val="-11"/>
        </w:rPr>
        <w:t> </w:t>
      </w:r>
      <w:r>
        <w:rPr/>
        <w:t>і</w:t>
      </w:r>
      <w:r>
        <w:rPr>
          <w:spacing w:val="-16"/>
        </w:rPr>
        <w:t> </w:t>
      </w:r>
      <w:r>
        <w:rPr>
          <w:spacing w:val="-4"/>
        </w:rPr>
        <w:t>практичне </w:t>
      </w:r>
      <w:r>
        <w:rPr>
          <w:spacing w:val="-5"/>
        </w:rPr>
        <w:t>значення, </w:t>
      </w:r>
      <w:r>
        <w:rPr/>
        <w:t>тому що </w:t>
      </w:r>
      <w:r>
        <w:rPr>
          <w:spacing w:val="-4"/>
        </w:rPr>
        <w:t>знаходиться </w:t>
      </w:r>
      <w:r>
        <w:rPr/>
        <w:t>у </w:t>
      </w:r>
      <w:r>
        <w:rPr>
          <w:spacing w:val="-3"/>
        </w:rPr>
        <w:t>прямій </w:t>
      </w:r>
      <w:r>
        <w:rPr>
          <w:spacing w:val="-4"/>
        </w:rPr>
        <w:t>залежності </w:t>
      </w:r>
      <w:r>
        <w:rPr>
          <w:spacing w:val="-3"/>
        </w:rPr>
        <w:t>від </w:t>
      </w:r>
      <w:r>
        <w:rPr>
          <w:spacing w:val="-4"/>
        </w:rPr>
        <w:t>технології утримання, </w:t>
      </w:r>
      <w:r>
        <w:rPr>
          <w:spacing w:val="-3"/>
        </w:rPr>
        <w:t>годівлі </w:t>
      </w:r>
      <w:r>
        <w:rPr>
          <w:spacing w:val="-4"/>
        </w:rPr>
        <w:t>та доїння</w:t>
      </w:r>
      <w:r>
        <w:rPr>
          <w:spacing w:val="-15"/>
        </w:rPr>
        <w:t> </w:t>
      </w:r>
      <w:r>
        <w:rPr>
          <w:spacing w:val="-4"/>
        </w:rPr>
        <w:t>[2,4].</w:t>
      </w:r>
    </w:p>
    <w:p>
      <w:pPr>
        <w:pStyle w:val="BodyText"/>
        <w:spacing w:before="2"/>
        <w:ind w:right="607" w:firstLine="710"/>
      </w:pPr>
      <w:r>
        <w:rPr>
          <w:b/>
          <w:spacing w:val="-3"/>
        </w:rPr>
        <w:t>Мета </w:t>
      </w:r>
      <w:r>
        <w:rPr>
          <w:b/>
          <w:spacing w:val="-4"/>
        </w:rPr>
        <w:t>роботи. </w:t>
      </w:r>
      <w:r>
        <w:rPr>
          <w:spacing w:val="-5"/>
        </w:rPr>
        <w:t>Вивчення </w:t>
      </w:r>
      <w:r>
        <w:rPr>
          <w:spacing w:val="-4"/>
        </w:rPr>
        <w:t>господарсько-корисних </w:t>
      </w:r>
      <w:r>
        <w:rPr>
          <w:spacing w:val="-3"/>
        </w:rPr>
        <w:t>ознак корів: надій </w:t>
      </w:r>
      <w:r>
        <w:rPr>
          <w:spacing w:val="-4"/>
        </w:rPr>
        <w:t>молока, вміст </w:t>
      </w:r>
      <w:r>
        <w:rPr/>
        <w:t>жиру і білку в </w:t>
      </w:r>
      <w:r>
        <w:rPr>
          <w:spacing w:val="-4"/>
        </w:rPr>
        <w:t>молоці, </w:t>
      </w:r>
      <w:r>
        <w:rPr>
          <w:spacing w:val="-3"/>
        </w:rPr>
        <w:t>кількість </w:t>
      </w:r>
      <w:r>
        <w:rPr>
          <w:spacing w:val="-4"/>
        </w:rPr>
        <w:t>молочного </w:t>
      </w:r>
      <w:r>
        <w:rPr/>
        <w:t>жиру і </w:t>
      </w:r>
      <w:r>
        <w:rPr>
          <w:spacing w:val="-4"/>
        </w:rPr>
        <w:t>білку, жива </w:t>
      </w:r>
      <w:r>
        <w:rPr>
          <w:spacing w:val="-3"/>
        </w:rPr>
        <w:t>маса </w:t>
      </w:r>
      <w:r>
        <w:rPr>
          <w:spacing w:val="-4"/>
        </w:rPr>
        <w:t>та особливості тілобудови </w:t>
      </w:r>
      <w:r>
        <w:rPr/>
        <w:t>в </w:t>
      </w:r>
      <w:r>
        <w:rPr>
          <w:spacing w:val="-4"/>
        </w:rPr>
        <w:t>порівнянні </w:t>
      </w:r>
      <w:r>
        <w:rPr/>
        <w:t>зі </w:t>
      </w:r>
      <w:r>
        <w:rPr>
          <w:spacing w:val="-4"/>
        </w:rPr>
        <w:t>стандартом породи та</w:t>
      </w:r>
      <w:r>
        <w:rPr>
          <w:spacing w:val="62"/>
        </w:rPr>
        <w:t> </w:t>
      </w:r>
      <w:r>
        <w:rPr/>
        <w:t>їх </w:t>
      </w:r>
      <w:r>
        <w:rPr>
          <w:spacing w:val="-4"/>
        </w:rPr>
        <w:t>походженням,також отримання високопродуктивних тварин </w:t>
      </w:r>
      <w:r>
        <w:rPr>
          <w:spacing w:val="-3"/>
        </w:rPr>
        <w:t>міцної </w:t>
      </w:r>
      <w:r>
        <w:rPr>
          <w:spacing w:val="-4"/>
        </w:rPr>
        <w:t>конституції, бажаного типу тілобудови </w:t>
      </w:r>
      <w:r>
        <w:rPr/>
        <w:t>з </w:t>
      </w:r>
      <w:r>
        <w:rPr>
          <w:spacing w:val="-4"/>
        </w:rPr>
        <w:t>підвищеним</w:t>
      </w:r>
      <w:r>
        <w:rPr>
          <w:spacing w:val="62"/>
        </w:rPr>
        <w:t> </w:t>
      </w:r>
      <w:r>
        <w:rPr>
          <w:spacing w:val="-5"/>
        </w:rPr>
        <w:t>вмістом </w:t>
      </w:r>
      <w:r>
        <w:rPr>
          <w:spacing w:val="-4"/>
        </w:rPr>
        <w:t>жиру.</w:t>
      </w:r>
      <w:r>
        <w:rPr>
          <w:spacing w:val="62"/>
        </w:rPr>
        <w:t> </w:t>
      </w:r>
      <w:r>
        <w:rPr>
          <w:spacing w:val="-4"/>
        </w:rPr>
        <w:t>Цифровий матеріал опрацьовували</w:t>
      </w:r>
      <w:r>
        <w:rPr>
          <w:spacing w:val="62"/>
        </w:rPr>
        <w:t> </w:t>
      </w:r>
      <w:r>
        <w:rPr>
          <w:spacing w:val="-4"/>
        </w:rPr>
        <w:t>біометрично</w:t>
      </w:r>
      <w:r>
        <w:rPr>
          <w:spacing w:val="62"/>
        </w:rPr>
        <w:t> </w:t>
      </w:r>
      <w:r>
        <w:rPr>
          <w:spacing w:val="-3"/>
        </w:rPr>
        <w:t>за </w:t>
      </w:r>
      <w:r>
        <w:rPr>
          <w:spacing w:val="-4"/>
        </w:rPr>
        <w:t>методиками Н.А.</w:t>
      </w:r>
      <w:r>
        <w:rPr>
          <w:spacing w:val="62"/>
        </w:rPr>
        <w:t> </w:t>
      </w:r>
      <w:r>
        <w:rPr>
          <w:spacing w:val="-4"/>
        </w:rPr>
        <w:t>Плохинського</w:t>
      </w:r>
      <w:r>
        <w:rPr>
          <w:spacing w:val="62"/>
        </w:rPr>
        <w:t> </w:t>
      </w:r>
      <w:r>
        <w:rPr>
          <w:spacing w:val="-4"/>
        </w:rPr>
        <w:t>(1969)</w:t>
      </w:r>
      <w:r>
        <w:rPr>
          <w:spacing w:val="62"/>
        </w:rPr>
        <w:t> </w:t>
      </w:r>
      <w:r>
        <w:rPr>
          <w:spacing w:val="-4"/>
        </w:rPr>
        <w:t>[5]. Коефіцієнт успадкування </w:t>
      </w:r>
      <w:r>
        <w:rPr>
          <w:spacing w:val="-3"/>
        </w:rPr>
        <w:t>(h²) </w:t>
      </w:r>
      <w:r>
        <w:rPr>
          <w:spacing w:val="-4"/>
        </w:rPr>
        <w:t>визначали методом </w:t>
      </w:r>
      <w:r>
        <w:rPr>
          <w:spacing w:val="-3"/>
        </w:rPr>
        <w:t>одно </w:t>
      </w:r>
      <w:r>
        <w:rPr>
          <w:spacing w:val="-4"/>
        </w:rPr>
        <w:t>факторного дисперсійного комплексу через співвідношення факторіальної </w:t>
      </w:r>
      <w:r>
        <w:rPr>
          <w:spacing w:val="-3"/>
        </w:rPr>
        <w:t>дисперсії </w:t>
      </w:r>
      <w:r>
        <w:rPr/>
        <w:t>до </w:t>
      </w:r>
      <w:r>
        <w:rPr>
          <w:spacing w:val="-3"/>
        </w:rPr>
        <w:t>загальної </w:t>
      </w:r>
      <w:r>
        <w:rPr>
          <w:spacing w:val="-4"/>
        </w:rPr>
        <w:t>[10].</w:t>
      </w:r>
    </w:p>
    <w:p>
      <w:pPr>
        <w:pStyle w:val="BodyText"/>
        <w:ind w:right="607" w:firstLine="710"/>
      </w:pPr>
      <w:r>
        <w:rPr>
          <w:b/>
          <w:spacing w:val="-4"/>
        </w:rPr>
        <w:t>Матеріал </w:t>
      </w:r>
      <w:r>
        <w:rPr>
          <w:b/>
        </w:rPr>
        <w:t>і </w:t>
      </w:r>
      <w:r>
        <w:rPr>
          <w:b/>
          <w:spacing w:val="-3"/>
        </w:rPr>
        <w:t>методи </w:t>
      </w:r>
      <w:r>
        <w:rPr>
          <w:b/>
          <w:spacing w:val="-4"/>
        </w:rPr>
        <w:t>досліджень. </w:t>
      </w:r>
      <w:r>
        <w:rPr>
          <w:spacing w:val="-4"/>
        </w:rPr>
        <w:t>Дослідження виконувалась </w:t>
      </w:r>
      <w:r>
        <w:rPr/>
        <w:t>в </w:t>
      </w:r>
      <w:r>
        <w:rPr>
          <w:spacing w:val="-3"/>
        </w:rPr>
        <w:t>одному </w:t>
      </w:r>
      <w:r>
        <w:rPr/>
        <w:t>з </w:t>
      </w:r>
      <w:r>
        <w:rPr>
          <w:spacing w:val="-4"/>
        </w:rPr>
        <w:t>провідних</w:t>
      </w:r>
      <w:r>
        <w:rPr>
          <w:spacing w:val="-27"/>
        </w:rPr>
        <w:t> </w:t>
      </w:r>
      <w:r>
        <w:rPr>
          <w:spacing w:val="-4"/>
        </w:rPr>
        <w:t>господарств</w:t>
      </w:r>
      <w:r>
        <w:rPr>
          <w:spacing w:val="-24"/>
        </w:rPr>
        <w:t> </w:t>
      </w:r>
      <w:r>
        <w:rPr>
          <w:spacing w:val="-4"/>
        </w:rPr>
        <w:t>Одеського</w:t>
      </w:r>
      <w:r>
        <w:rPr>
          <w:spacing w:val="-22"/>
        </w:rPr>
        <w:t> </w:t>
      </w:r>
      <w:r>
        <w:rPr>
          <w:spacing w:val="-3"/>
        </w:rPr>
        <w:t>регіону</w:t>
      </w:r>
      <w:r>
        <w:rPr>
          <w:spacing w:val="-26"/>
        </w:rPr>
        <w:t> </w:t>
      </w:r>
      <w:r>
        <w:rPr>
          <w:spacing w:val="-3"/>
        </w:rPr>
        <w:t>СТОВ</w:t>
      </w:r>
      <w:r>
        <w:rPr>
          <w:spacing w:val="-20"/>
        </w:rPr>
        <w:t> </w:t>
      </w:r>
      <w:r>
        <w:rPr>
          <w:spacing w:val="-4"/>
        </w:rPr>
        <w:t>«Агрофірма</w:t>
      </w:r>
      <w:r>
        <w:rPr>
          <w:spacing w:val="-20"/>
        </w:rPr>
        <w:t> </w:t>
      </w:r>
      <w:r>
        <w:rPr>
          <w:spacing w:val="-4"/>
        </w:rPr>
        <w:t>Петродолинське»,</w:t>
      </w:r>
      <w:r>
        <w:rPr>
          <w:spacing w:val="-19"/>
        </w:rPr>
        <w:t> </w:t>
      </w:r>
      <w:r>
        <w:rPr/>
        <w:t>що </w:t>
      </w:r>
      <w:r>
        <w:rPr>
          <w:spacing w:val="-5"/>
        </w:rPr>
        <w:t>займається </w:t>
      </w:r>
      <w:r>
        <w:rPr>
          <w:spacing w:val="-4"/>
        </w:rPr>
        <w:t>розведенням української </w:t>
      </w:r>
      <w:r>
        <w:rPr>
          <w:spacing w:val="-3"/>
        </w:rPr>
        <w:t>червоної молочної породи </w:t>
      </w:r>
      <w:r>
        <w:rPr>
          <w:spacing w:val="-4"/>
        </w:rPr>
        <w:t>жирномолочного </w:t>
      </w:r>
      <w:r>
        <w:rPr>
          <w:spacing w:val="-5"/>
        </w:rPr>
        <w:t>типу, </w:t>
      </w:r>
      <w:r>
        <w:rPr>
          <w:spacing w:val="-3"/>
        </w:rPr>
        <w:t>на поголів’ї корів </w:t>
      </w:r>
      <w:r>
        <w:rPr>
          <w:spacing w:val="-4"/>
        </w:rPr>
        <w:t>української </w:t>
      </w:r>
      <w:r>
        <w:rPr>
          <w:spacing w:val="-3"/>
        </w:rPr>
        <w:t>червоної молочної</w:t>
      </w:r>
      <w:r>
        <w:rPr>
          <w:spacing w:val="39"/>
        </w:rPr>
        <w:t> </w:t>
      </w:r>
      <w:r>
        <w:rPr>
          <w:spacing w:val="-4"/>
        </w:rPr>
        <w:t>породи[4].  </w:t>
      </w:r>
      <w:r>
        <w:rPr>
          <w:spacing w:val="-3"/>
        </w:rPr>
        <w:t>Наукової</w:t>
      </w:r>
    </w:p>
    <w:p>
      <w:pPr>
        <w:spacing w:after="0"/>
        <w:sectPr>
          <w:pgSz w:w="11910" w:h="16840"/>
          <w:pgMar w:header="713" w:footer="778" w:top="1140" w:bottom="960" w:left="940" w:right="520"/>
        </w:sectPr>
      </w:pPr>
    </w:p>
    <w:p>
      <w:pPr>
        <w:pStyle w:val="BodyText"/>
        <w:spacing w:before="92"/>
        <w:ind w:right="604"/>
      </w:pPr>
      <w:r>
        <w:rPr>
          <w:spacing w:val="-4"/>
        </w:rPr>
        <w:t>розробки</w:t>
      </w:r>
      <w:r>
        <w:rPr>
          <w:spacing w:val="62"/>
        </w:rPr>
        <w:t> </w:t>
      </w:r>
      <w:r>
        <w:rPr/>
        <w:t>було </w:t>
      </w:r>
      <w:r>
        <w:rPr>
          <w:spacing w:val="-4"/>
        </w:rPr>
        <w:t>отримання високопродуктивних</w:t>
      </w:r>
      <w:r>
        <w:rPr>
          <w:spacing w:val="62"/>
        </w:rPr>
        <w:t> </w:t>
      </w:r>
      <w:r>
        <w:rPr>
          <w:spacing w:val="-4"/>
        </w:rPr>
        <w:t>тварин</w:t>
      </w:r>
      <w:r>
        <w:rPr>
          <w:spacing w:val="62"/>
        </w:rPr>
        <w:t> </w:t>
      </w:r>
      <w:r>
        <w:rPr>
          <w:spacing w:val="-3"/>
        </w:rPr>
        <w:t>міцної </w:t>
      </w:r>
      <w:r>
        <w:rPr>
          <w:spacing w:val="-4"/>
        </w:rPr>
        <w:t>конституції, бажаного</w:t>
      </w:r>
      <w:r>
        <w:rPr>
          <w:spacing w:val="-16"/>
        </w:rPr>
        <w:t> </w:t>
      </w:r>
      <w:r>
        <w:rPr>
          <w:spacing w:val="-3"/>
        </w:rPr>
        <w:t>типу</w:t>
      </w:r>
      <w:r>
        <w:rPr>
          <w:spacing w:val="-15"/>
        </w:rPr>
        <w:t> </w:t>
      </w:r>
      <w:r>
        <w:rPr>
          <w:spacing w:val="-4"/>
        </w:rPr>
        <w:t>тілобудови</w:t>
      </w:r>
      <w:r>
        <w:rPr>
          <w:spacing w:val="-15"/>
        </w:rPr>
        <w:t> </w:t>
      </w:r>
      <w:r>
        <w:rPr/>
        <w:t>з</w:t>
      </w:r>
      <w:r>
        <w:rPr>
          <w:spacing w:val="-15"/>
        </w:rPr>
        <w:t> </w:t>
      </w:r>
      <w:r>
        <w:rPr>
          <w:spacing w:val="-4"/>
        </w:rPr>
        <w:t>підвищеним</w:t>
      </w:r>
      <w:r>
        <w:rPr>
          <w:spacing w:val="-14"/>
        </w:rPr>
        <w:t> </w:t>
      </w:r>
      <w:r>
        <w:rPr>
          <w:spacing w:val="-4"/>
        </w:rPr>
        <w:t>вмістом</w:t>
      </w:r>
      <w:r>
        <w:rPr>
          <w:spacing w:val="-14"/>
        </w:rPr>
        <w:t> </w:t>
      </w:r>
      <w:r>
        <w:rPr>
          <w:spacing w:val="-4"/>
        </w:rPr>
        <w:t>жиру.</w:t>
      </w:r>
      <w:r>
        <w:rPr>
          <w:spacing w:val="-13"/>
        </w:rPr>
        <w:t> </w:t>
      </w:r>
      <w:r>
        <w:rPr>
          <w:spacing w:val="-4"/>
        </w:rPr>
        <w:t>Зацікавлення</w:t>
      </w:r>
      <w:r>
        <w:rPr>
          <w:spacing w:val="-13"/>
        </w:rPr>
        <w:t> </w:t>
      </w:r>
      <w:r>
        <w:rPr>
          <w:spacing w:val="-4"/>
        </w:rPr>
        <w:t>підвищенням жирномолочності було пов'язано </w:t>
      </w:r>
      <w:r>
        <w:rPr/>
        <w:t>з </w:t>
      </w:r>
      <w:r>
        <w:rPr>
          <w:spacing w:val="-3"/>
        </w:rPr>
        <w:t>тим, </w:t>
      </w:r>
      <w:r>
        <w:rPr/>
        <w:t>що </w:t>
      </w:r>
      <w:r>
        <w:rPr>
          <w:spacing w:val="-4"/>
        </w:rPr>
        <w:t>при чистопородному розведенні </w:t>
      </w:r>
      <w:r>
        <w:rPr>
          <w:spacing w:val="-3"/>
        </w:rPr>
        <w:t>червоної</w:t>
      </w:r>
      <w:r>
        <w:rPr>
          <w:spacing w:val="-31"/>
        </w:rPr>
        <w:t> </w:t>
      </w:r>
      <w:r>
        <w:rPr>
          <w:spacing w:val="-3"/>
        </w:rPr>
        <w:t>степової</w:t>
      </w:r>
      <w:r>
        <w:rPr>
          <w:spacing w:val="-26"/>
        </w:rPr>
        <w:t> </w:t>
      </w:r>
      <w:r>
        <w:rPr>
          <w:spacing w:val="-4"/>
        </w:rPr>
        <w:t>худоби</w:t>
      </w:r>
      <w:r>
        <w:rPr>
          <w:spacing w:val="-21"/>
        </w:rPr>
        <w:t> </w:t>
      </w:r>
      <w:r>
        <w:rPr>
          <w:spacing w:val="-4"/>
        </w:rPr>
        <w:t>частка</w:t>
      </w:r>
      <w:r>
        <w:rPr>
          <w:spacing w:val="-19"/>
        </w:rPr>
        <w:t> </w:t>
      </w:r>
      <w:r>
        <w:rPr>
          <w:spacing w:val="-3"/>
        </w:rPr>
        <w:t>корів</w:t>
      </w:r>
      <w:r>
        <w:rPr>
          <w:spacing w:val="-23"/>
        </w:rPr>
        <w:t> </w:t>
      </w:r>
      <w:r>
        <w:rPr>
          <w:spacing w:val="-6"/>
        </w:rPr>
        <w:t>із</w:t>
      </w:r>
      <w:r>
        <w:rPr>
          <w:spacing w:val="-21"/>
        </w:rPr>
        <w:t> </w:t>
      </w:r>
      <w:r>
        <w:rPr>
          <w:spacing w:val="-4"/>
        </w:rPr>
        <w:t>вмістом</w:t>
      </w:r>
      <w:r>
        <w:rPr>
          <w:spacing w:val="-24"/>
        </w:rPr>
        <w:t> </w:t>
      </w:r>
      <w:r>
        <w:rPr/>
        <w:t>жиру</w:t>
      </w:r>
      <w:r>
        <w:rPr>
          <w:spacing w:val="-25"/>
        </w:rPr>
        <w:t> </w:t>
      </w:r>
      <w:r>
        <w:rPr/>
        <w:t>в</w:t>
      </w:r>
      <w:r>
        <w:rPr>
          <w:spacing w:val="-26"/>
        </w:rPr>
        <w:t> </w:t>
      </w:r>
      <w:r>
        <w:rPr/>
        <w:t>молоці</w:t>
      </w:r>
      <w:r>
        <w:rPr>
          <w:spacing w:val="-31"/>
        </w:rPr>
        <w:t> </w:t>
      </w:r>
      <w:r>
        <w:rPr/>
        <w:t>4%</w:t>
      </w:r>
      <w:r>
        <w:rPr>
          <w:spacing w:val="-22"/>
        </w:rPr>
        <w:t> </w:t>
      </w:r>
      <w:r>
        <w:rPr/>
        <w:t>і</w:t>
      </w:r>
      <w:r>
        <w:rPr>
          <w:spacing w:val="-21"/>
        </w:rPr>
        <w:t> </w:t>
      </w:r>
      <w:r>
        <w:rPr>
          <w:spacing w:val="-5"/>
        </w:rPr>
        <w:t>вище</w:t>
      </w:r>
      <w:r>
        <w:rPr>
          <w:spacing w:val="-19"/>
        </w:rPr>
        <w:t> </w:t>
      </w:r>
      <w:r>
        <w:rPr>
          <w:spacing w:val="-4"/>
        </w:rPr>
        <w:t>протягом останніх </w:t>
      </w:r>
      <w:r>
        <w:rPr/>
        <w:t>60 </w:t>
      </w:r>
      <w:r>
        <w:rPr>
          <w:spacing w:val="-3"/>
        </w:rPr>
        <w:t>років </w:t>
      </w:r>
      <w:r>
        <w:rPr>
          <w:spacing w:val="-4"/>
        </w:rPr>
        <w:t>знаходилась лише </w:t>
      </w:r>
      <w:r>
        <w:rPr>
          <w:spacing w:val="-3"/>
        </w:rPr>
        <w:t>на рівні </w:t>
      </w:r>
      <w:r>
        <w:rPr>
          <w:spacing w:val="-4"/>
        </w:rPr>
        <w:t>12%[8,9 ]. Широким використанням плідників жирномолочної англерської </w:t>
      </w:r>
      <w:r>
        <w:rPr>
          <w:spacing w:val="-3"/>
        </w:rPr>
        <w:t>породи </w:t>
      </w:r>
      <w:r>
        <w:rPr>
          <w:spacing w:val="-4"/>
        </w:rPr>
        <w:t>передбачалось підвищити </w:t>
      </w:r>
      <w:r>
        <w:rPr>
          <w:spacing w:val="-3"/>
        </w:rPr>
        <w:t>жирність </w:t>
      </w:r>
      <w:r>
        <w:rPr>
          <w:spacing w:val="-4"/>
        </w:rPr>
        <w:t>молока </w:t>
      </w:r>
      <w:r>
        <w:rPr>
          <w:spacing w:val="-3"/>
        </w:rPr>
        <w:t>корів нового </w:t>
      </w:r>
      <w:r>
        <w:rPr>
          <w:spacing w:val="-4"/>
        </w:rPr>
        <w:t>типу. </w:t>
      </w:r>
      <w:r>
        <w:rPr>
          <w:spacing w:val="-3"/>
        </w:rPr>
        <w:t>Характерною </w:t>
      </w:r>
      <w:r>
        <w:rPr>
          <w:spacing w:val="-4"/>
        </w:rPr>
        <w:t>рисою </w:t>
      </w:r>
      <w:r>
        <w:rPr>
          <w:spacing w:val="-3"/>
        </w:rPr>
        <w:t>багатьох </w:t>
      </w:r>
      <w:r>
        <w:rPr>
          <w:spacing w:val="-4"/>
        </w:rPr>
        <w:t>високопродуктивних родин </w:t>
      </w:r>
      <w:r>
        <w:rPr/>
        <w:t>є </w:t>
      </w:r>
      <w:r>
        <w:rPr>
          <w:spacing w:val="-3"/>
        </w:rPr>
        <w:t>вдале </w:t>
      </w:r>
      <w:r>
        <w:rPr>
          <w:spacing w:val="-5"/>
        </w:rPr>
        <w:t>поєднання </w:t>
      </w:r>
      <w:r>
        <w:rPr>
          <w:spacing w:val="-3"/>
        </w:rPr>
        <w:t>високих надоїв </w:t>
      </w:r>
      <w:r>
        <w:rPr/>
        <w:t>з </w:t>
      </w:r>
      <w:r>
        <w:rPr>
          <w:spacing w:val="-5"/>
        </w:rPr>
        <w:t>підвищеним вмістом </w:t>
      </w:r>
      <w:r>
        <w:rPr>
          <w:spacing w:val="-3"/>
        </w:rPr>
        <w:t>молочного </w:t>
      </w:r>
      <w:r>
        <w:rPr>
          <w:spacing w:val="-4"/>
        </w:rPr>
        <w:t>жиру. Одночасно </w:t>
      </w:r>
      <w:r>
        <w:rPr/>
        <w:t>з </w:t>
      </w:r>
      <w:r>
        <w:rPr>
          <w:spacing w:val="-3"/>
        </w:rPr>
        <w:t>оцінкою </w:t>
      </w:r>
      <w:r>
        <w:rPr>
          <w:spacing w:val="-4"/>
        </w:rPr>
        <w:t>екстер´єрно-конституціональних особливостей продуктивних</w:t>
      </w:r>
      <w:r>
        <w:rPr>
          <w:spacing w:val="62"/>
        </w:rPr>
        <w:t> </w:t>
      </w:r>
      <w:r>
        <w:rPr>
          <w:spacing w:val="-3"/>
        </w:rPr>
        <w:t>якостей </w:t>
      </w:r>
      <w:r>
        <w:rPr>
          <w:spacing w:val="-4"/>
        </w:rPr>
        <w:t>тварин</w:t>
      </w:r>
      <w:r>
        <w:rPr>
          <w:spacing w:val="62"/>
        </w:rPr>
        <w:t> </w:t>
      </w:r>
      <w:r>
        <w:rPr>
          <w:spacing w:val="-4"/>
        </w:rPr>
        <w:t>різного</w:t>
      </w:r>
      <w:r>
        <w:rPr>
          <w:spacing w:val="62"/>
        </w:rPr>
        <w:t> </w:t>
      </w:r>
      <w:r>
        <w:rPr>
          <w:spacing w:val="-3"/>
        </w:rPr>
        <w:t>генотипу </w:t>
      </w:r>
      <w:r>
        <w:rPr>
          <w:spacing w:val="-4"/>
        </w:rPr>
        <w:t>робили</w:t>
      </w:r>
      <w:r>
        <w:rPr>
          <w:spacing w:val="62"/>
        </w:rPr>
        <w:t> </w:t>
      </w:r>
      <w:r>
        <w:rPr>
          <w:spacing w:val="-4"/>
        </w:rPr>
        <w:t>аналіз</w:t>
      </w:r>
      <w:r>
        <w:rPr>
          <w:spacing w:val="62"/>
        </w:rPr>
        <w:t> </w:t>
      </w:r>
      <w:r>
        <w:rPr>
          <w:spacing w:val="-3"/>
        </w:rPr>
        <w:t>результатів </w:t>
      </w:r>
      <w:r>
        <w:rPr>
          <w:spacing w:val="-4"/>
        </w:rPr>
        <w:t>попереднього підбору. </w:t>
      </w:r>
      <w:r>
        <w:rPr>
          <w:spacing w:val="-3"/>
        </w:rPr>
        <w:t>Виявлених кращих </w:t>
      </w:r>
      <w:r>
        <w:rPr>
          <w:spacing w:val="-4"/>
        </w:rPr>
        <w:t>плідників використовували </w:t>
      </w:r>
      <w:r>
        <w:rPr/>
        <w:t>в </w:t>
      </w:r>
      <w:r>
        <w:rPr>
          <w:spacing w:val="-4"/>
        </w:rPr>
        <w:t>індивідуальному </w:t>
      </w:r>
      <w:r>
        <w:rPr/>
        <w:t>й </w:t>
      </w:r>
      <w:r>
        <w:rPr>
          <w:spacing w:val="-3"/>
        </w:rPr>
        <w:t>замовному </w:t>
      </w:r>
      <w:r>
        <w:rPr>
          <w:spacing w:val="-4"/>
        </w:rPr>
        <w:t>підборі </w:t>
      </w:r>
      <w:r>
        <w:rPr>
          <w:spacing w:val="-3"/>
        </w:rPr>
        <w:t>для </w:t>
      </w:r>
      <w:r>
        <w:rPr>
          <w:spacing w:val="-4"/>
        </w:rPr>
        <w:t>підвищення продуктивності</w:t>
      </w:r>
      <w:r>
        <w:rPr>
          <w:spacing w:val="62"/>
        </w:rPr>
        <w:t> </w:t>
      </w:r>
      <w:r>
        <w:rPr>
          <w:spacing w:val="-4"/>
        </w:rPr>
        <w:t>та формування генеалогічної </w:t>
      </w:r>
      <w:r>
        <w:rPr>
          <w:spacing w:val="-3"/>
        </w:rPr>
        <w:t>структури нової </w:t>
      </w:r>
      <w:r>
        <w:rPr>
          <w:spacing w:val="-4"/>
        </w:rPr>
        <w:t>популяції. Визначення </w:t>
      </w:r>
      <w:r>
        <w:rPr>
          <w:spacing w:val="-3"/>
        </w:rPr>
        <w:t>комбінаційної </w:t>
      </w:r>
      <w:r>
        <w:rPr>
          <w:spacing w:val="-4"/>
        </w:rPr>
        <w:t>здатності ліній </w:t>
      </w:r>
      <w:r>
        <w:rPr/>
        <w:t>і </w:t>
      </w:r>
      <w:r>
        <w:rPr>
          <w:spacing w:val="-4"/>
        </w:rPr>
        <w:t>споріднених </w:t>
      </w:r>
      <w:r>
        <w:rPr/>
        <w:t>груп при </w:t>
      </w:r>
      <w:r>
        <w:rPr>
          <w:spacing w:val="-4"/>
        </w:rPr>
        <w:t>використанні </w:t>
      </w:r>
      <w:r>
        <w:rPr/>
        <w:t>в </w:t>
      </w:r>
      <w:r>
        <w:rPr>
          <w:spacing w:val="-4"/>
        </w:rPr>
        <w:t>підборі </w:t>
      </w:r>
      <w:r>
        <w:rPr>
          <w:spacing w:val="-3"/>
        </w:rPr>
        <w:t>вдало поєднаних </w:t>
      </w:r>
      <w:r>
        <w:rPr>
          <w:spacing w:val="-4"/>
        </w:rPr>
        <w:t>ліній</w:t>
      </w:r>
      <w:r>
        <w:rPr>
          <w:spacing w:val="-16"/>
        </w:rPr>
        <w:t> </w:t>
      </w:r>
      <w:r>
        <w:rPr>
          <w:spacing w:val="-3"/>
        </w:rPr>
        <w:t>дає</w:t>
      </w:r>
      <w:r>
        <w:rPr>
          <w:spacing w:val="-14"/>
        </w:rPr>
        <w:t> </w:t>
      </w:r>
      <w:r>
        <w:rPr>
          <w:spacing w:val="-4"/>
        </w:rPr>
        <w:t>можливість</w:t>
      </w:r>
      <w:r>
        <w:rPr>
          <w:spacing w:val="-18"/>
        </w:rPr>
        <w:t> </w:t>
      </w:r>
      <w:r>
        <w:rPr>
          <w:spacing w:val="-4"/>
        </w:rPr>
        <w:t>підвищити</w:t>
      </w:r>
      <w:r>
        <w:rPr>
          <w:spacing w:val="-15"/>
        </w:rPr>
        <w:t> </w:t>
      </w:r>
      <w:r>
        <w:rPr>
          <w:spacing w:val="-4"/>
        </w:rPr>
        <w:t>продуктивність</w:t>
      </w:r>
      <w:r>
        <w:rPr>
          <w:spacing w:val="-17"/>
        </w:rPr>
        <w:t> </w:t>
      </w:r>
      <w:r>
        <w:rPr>
          <w:spacing w:val="-4"/>
        </w:rPr>
        <w:t>нащадків</w:t>
      </w:r>
      <w:r>
        <w:rPr>
          <w:spacing w:val="-18"/>
        </w:rPr>
        <w:t> </w:t>
      </w:r>
      <w:r>
        <w:rPr>
          <w:spacing w:val="-3"/>
        </w:rPr>
        <w:t>на</w:t>
      </w:r>
      <w:r>
        <w:rPr>
          <w:spacing w:val="-14"/>
        </w:rPr>
        <w:t> </w:t>
      </w:r>
      <w:r>
        <w:rPr/>
        <w:t>10-15%</w:t>
      </w:r>
      <w:r>
        <w:rPr>
          <w:spacing w:val="-17"/>
        </w:rPr>
        <w:t> </w:t>
      </w:r>
      <w:r>
        <w:rPr/>
        <w:t>в</w:t>
      </w:r>
      <w:r>
        <w:rPr>
          <w:spacing w:val="-18"/>
        </w:rPr>
        <w:t> </w:t>
      </w:r>
      <w:r>
        <w:rPr>
          <w:spacing w:val="-4"/>
        </w:rPr>
        <w:t>порівнянні</w:t>
      </w:r>
      <w:r>
        <w:rPr>
          <w:spacing w:val="-21"/>
        </w:rPr>
        <w:t> </w:t>
      </w:r>
      <w:r>
        <w:rPr/>
        <w:t>з </w:t>
      </w:r>
      <w:r>
        <w:rPr>
          <w:spacing w:val="-4"/>
        </w:rPr>
        <w:t>середніми</w:t>
      </w:r>
      <w:r>
        <w:rPr>
          <w:spacing w:val="-11"/>
        </w:rPr>
        <w:t> </w:t>
      </w:r>
      <w:r>
        <w:rPr>
          <w:spacing w:val="-4"/>
        </w:rPr>
        <w:t>показниками</w:t>
      </w:r>
      <w:r>
        <w:rPr>
          <w:spacing w:val="-11"/>
        </w:rPr>
        <w:t> </w:t>
      </w:r>
      <w:r>
        <w:rPr>
          <w:spacing w:val="-4"/>
        </w:rPr>
        <w:t>стада[1,7].</w:t>
      </w:r>
      <w:r>
        <w:rPr>
          <w:spacing w:val="-6"/>
        </w:rPr>
        <w:t> </w:t>
      </w:r>
      <w:r>
        <w:rPr>
          <w:spacing w:val="-3"/>
        </w:rPr>
        <w:t>Молочну</w:t>
      </w:r>
      <w:r>
        <w:rPr>
          <w:spacing w:val="-16"/>
        </w:rPr>
        <w:t> </w:t>
      </w:r>
      <w:r>
        <w:rPr>
          <w:spacing w:val="-4"/>
        </w:rPr>
        <w:t>продуктивність</w:t>
      </w:r>
      <w:r>
        <w:rPr>
          <w:spacing w:val="-13"/>
        </w:rPr>
        <w:t> </w:t>
      </w:r>
      <w:r>
        <w:rPr>
          <w:spacing w:val="-3"/>
        </w:rPr>
        <w:t>корів</w:t>
      </w:r>
      <w:r>
        <w:rPr>
          <w:spacing w:val="-13"/>
        </w:rPr>
        <w:t> </w:t>
      </w:r>
      <w:r>
        <w:rPr>
          <w:spacing w:val="-4"/>
        </w:rPr>
        <w:t>досліджували</w:t>
      </w:r>
      <w:r>
        <w:rPr>
          <w:spacing w:val="-10"/>
        </w:rPr>
        <w:t> </w:t>
      </w:r>
      <w:r>
        <w:rPr/>
        <w:t>за </w:t>
      </w:r>
      <w:r>
        <w:rPr>
          <w:spacing w:val="-4"/>
        </w:rPr>
        <w:t>результатами </w:t>
      </w:r>
      <w:r>
        <w:rPr/>
        <w:t>6-ті </w:t>
      </w:r>
      <w:r>
        <w:rPr>
          <w:spacing w:val="-3"/>
        </w:rPr>
        <w:t>суміжних </w:t>
      </w:r>
      <w:r>
        <w:rPr>
          <w:spacing w:val="-4"/>
        </w:rPr>
        <w:t>лактацій </w:t>
      </w:r>
      <w:r>
        <w:rPr>
          <w:spacing w:val="-3"/>
        </w:rPr>
        <w:t>за </w:t>
      </w:r>
      <w:r>
        <w:rPr>
          <w:spacing w:val="-4"/>
        </w:rPr>
        <w:t>показниками: надій </w:t>
      </w:r>
      <w:r>
        <w:rPr>
          <w:spacing w:val="-3"/>
        </w:rPr>
        <w:t>за </w:t>
      </w:r>
      <w:r>
        <w:rPr/>
        <w:t>305 </w:t>
      </w:r>
      <w:r>
        <w:rPr>
          <w:spacing w:val="-3"/>
        </w:rPr>
        <w:t>днів </w:t>
      </w:r>
      <w:r>
        <w:rPr>
          <w:spacing w:val="-4"/>
        </w:rPr>
        <w:t>(кг), вміст </w:t>
      </w:r>
      <w:r>
        <w:rPr>
          <w:spacing w:val="-3"/>
        </w:rPr>
        <w:t>жиру </w:t>
      </w:r>
      <w:r>
        <w:rPr/>
        <w:t>і білку в </w:t>
      </w:r>
      <w:r>
        <w:rPr>
          <w:spacing w:val="-3"/>
        </w:rPr>
        <w:t>молоці за </w:t>
      </w:r>
      <w:r>
        <w:rPr>
          <w:spacing w:val="-4"/>
        </w:rPr>
        <w:t>лактацію (%), кількість молочного </w:t>
      </w:r>
      <w:r>
        <w:rPr/>
        <w:t>жиру і білку в молоці </w:t>
      </w:r>
      <w:r>
        <w:rPr>
          <w:spacing w:val="-4"/>
        </w:rPr>
        <w:t>(кг),</w:t>
      </w:r>
      <w:r>
        <w:rPr>
          <w:spacing w:val="62"/>
        </w:rPr>
        <w:t> </w:t>
      </w:r>
      <w:r>
        <w:rPr>
          <w:spacing w:val="-5"/>
        </w:rPr>
        <w:t>жива </w:t>
      </w:r>
      <w:r>
        <w:rPr>
          <w:spacing w:val="-3"/>
        </w:rPr>
        <w:t>маса </w:t>
      </w:r>
      <w:r>
        <w:rPr>
          <w:spacing w:val="-4"/>
        </w:rPr>
        <w:t>(кг).</w:t>
      </w:r>
      <w:r>
        <w:rPr>
          <w:spacing w:val="62"/>
        </w:rPr>
        <w:t> </w:t>
      </w:r>
      <w:r>
        <w:rPr>
          <w:spacing w:val="-3"/>
        </w:rPr>
        <w:t>Молочну </w:t>
      </w:r>
      <w:r>
        <w:rPr>
          <w:spacing w:val="-4"/>
        </w:rPr>
        <w:t>продуктивність</w:t>
      </w:r>
      <w:r>
        <w:rPr>
          <w:spacing w:val="62"/>
        </w:rPr>
        <w:t> </w:t>
      </w:r>
      <w:r>
        <w:rPr>
          <w:spacing w:val="-3"/>
        </w:rPr>
        <w:t>корів </w:t>
      </w:r>
      <w:r>
        <w:rPr>
          <w:spacing w:val="-4"/>
        </w:rPr>
        <w:t>визначали</w:t>
      </w:r>
      <w:r>
        <w:rPr>
          <w:spacing w:val="62"/>
        </w:rPr>
        <w:t> </w:t>
      </w:r>
      <w:r>
        <w:rPr>
          <w:spacing w:val="-3"/>
        </w:rPr>
        <w:t>за даними </w:t>
      </w:r>
      <w:r>
        <w:rPr>
          <w:spacing w:val="-4"/>
        </w:rPr>
        <w:t>контрольного доїння, яке проводиться </w:t>
      </w:r>
      <w:r>
        <w:rPr>
          <w:spacing w:val="-3"/>
        </w:rPr>
        <w:t>один раз на</w:t>
      </w:r>
      <w:r>
        <w:rPr>
          <w:spacing w:val="-31"/>
        </w:rPr>
        <w:t> </w:t>
      </w:r>
      <w:r>
        <w:rPr>
          <w:spacing w:val="-4"/>
        </w:rPr>
        <w:t>місяць[5].</w:t>
      </w:r>
    </w:p>
    <w:p>
      <w:pPr>
        <w:pStyle w:val="BodyText"/>
        <w:spacing w:before="3"/>
        <w:ind w:right="607" w:firstLine="710"/>
      </w:pPr>
      <w:r>
        <w:rPr>
          <w:b/>
          <w:spacing w:val="-4"/>
        </w:rPr>
        <w:t>Результати досліджень</w:t>
      </w:r>
      <w:r>
        <w:rPr>
          <w:spacing w:val="-4"/>
        </w:rPr>
        <w:t>. </w:t>
      </w:r>
      <w:r>
        <w:rPr>
          <w:spacing w:val="-3"/>
        </w:rPr>
        <w:t>За </w:t>
      </w:r>
      <w:r>
        <w:rPr>
          <w:spacing w:val="-4"/>
        </w:rPr>
        <w:t>результатами досліджень встановлено, </w:t>
      </w:r>
      <w:r>
        <w:rPr/>
        <w:t>що в </w:t>
      </w:r>
      <w:r>
        <w:rPr>
          <w:spacing w:val="-4"/>
        </w:rPr>
        <w:t>структурі </w:t>
      </w:r>
      <w:r>
        <w:rPr>
          <w:spacing w:val="-3"/>
        </w:rPr>
        <w:t>заводської </w:t>
      </w:r>
      <w:r>
        <w:rPr>
          <w:spacing w:val="-4"/>
        </w:rPr>
        <w:t>популяції </w:t>
      </w:r>
      <w:r>
        <w:rPr>
          <w:spacing w:val="-3"/>
        </w:rPr>
        <w:t>корів </w:t>
      </w:r>
      <w:r>
        <w:rPr>
          <w:spacing w:val="-4"/>
        </w:rPr>
        <w:t>високих бонітувальних класів: </w:t>
      </w:r>
      <w:r>
        <w:rPr>
          <w:spacing w:val="-3"/>
        </w:rPr>
        <w:t>еліта-рекорд </w:t>
      </w:r>
      <w:r>
        <w:rPr/>
        <w:t>– </w:t>
      </w:r>
      <w:r>
        <w:rPr>
          <w:spacing w:val="-4"/>
        </w:rPr>
        <w:t>31,8%; </w:t>
      </w:r>
      <w:r>
        <w:rPr>
          <w:spacing w:val="-3"/>
        </w:rPr>
        <w:t>класу еліта </w:t>
      </w:r>
      <w:r>
        <w:rPr/>
        <w:t>– </w:t>
      </w:r>
      <w:r>
        <w:rPr>
          <w:spacing w:val="-5"/>
        </w:rPr>
        <w:t>47,7%. </w:t>
      </w:r>
      <w:r>
        <w:rPr>
          <w:spacing w:val="-3"/>
        </w:rPr>
        <w:t>Молочна </w:t>
      </w:r>
      <w:r>
        <w:rPr>
          <w:spacing w:val="-4"/>
        </w:rPr>
        <w:t>продуктивність </w:t>
      </w:r>
      <w:r>
        <w:rPr>
          <w:spacing w:val="-3"/>
        </w:rPr>
        <w:t>корів </w:t>
      </w:r>
      <w:r>
        <w:rPr>
          <w:spacing w:val="-4"/>
        </w:rPr>
        <w:t>всіх </w:t>
      </w:r>
      <w:r>
        <w:rPr>
          <w:spacing w:val="-3"/>
        </w:rPr>
        <w:t>ліній за </w:t>
      </w:r>
      <w:r>
        <w:rPr>
          <w:spacing w:val="-4"/>
        </w:rPr>
        <w:t>останню</w:t>
      </w:r>
      <w:r>
        <w:rPr>
          <w:spacing w:val="62"/>
        </w:rPr>
        <w:t> </w:t>
      </w:r>
      <w:r>
        <w:rPr>
          <w:spacing w:val="-4"/>
        </w:rPr>
        <w:t>закінчену </w:t>
      </w:r>
      <w:r>
        <w:rPr>
          <w:spacing w:val="-3"/>
        </w:rPr>
        <w:t>лактацію складає </w:t>
      </w:r>
      <w:r>
        <w:rPr>
          <w:spacing w:val="-4"/>
        </w:rPr>
        <w:t>4141 кг. Вміст </w:t>
      </w:r>
      <w:r>
        <w:rPr>
          <w:spacing w:val="-3"/>
        </w:rPr>
        <w:t>жиру </w:t>
      </w:r>
      <w:r>
        <w:rPr/>
        <w:t>в </w:t>
      </w:r>
      <w:r>
        <w:rPr>
          <w:spacing w:val="-4"/>
        </w:rPr>
        <w:t>молоці </w:t>
      </w:r>
      <w:r>
        <w:rPr/>
        <w:t>- </w:t>
      </w:r>
      <w:r>
        <w:rPr>
          <w:spacing w:val="-4"/>
        </w:rPr>
        <w:t>3,96%, </w:t>
      </w:r>
      <w:r>
        <w:rPr>
          <w:spacing w:val="-3"/>
        </w:rPr>
        <w:t>білку </w:t>
      </w:r>
      <w:r>
        <w:rPr/>
        <w:t>– </w:t>
      </w:r>
      <w:r>
        <w:rPr>
          <w:spacing w:val="-4"/>
        </w:rPr>
        <w:t>3,29%,</w:t>
      </w:r>
      <w:r>
        <w:rPr>
          <w:spacing w:val="62"/>
        </w:rPr>
        <w:t> </w:t>
      </w:r>
      <w:r>
        <w:rPr>
          <w:spacing w:val="-4"/>
        </w:rPr>
        <w:t>кількість</w:t>
      </w:r>
      <w:r>
        <w:rPr>
          <w:spacing w:val="-10"/>
        </w:rPr>
        <w:t> </w:t>
      </w:r>
      <w:r>
        <w:rPr>
          <w:spacing w:val="-3"/>
        </w:rPr>
        <w:t>молочного</w:t>
      </w:r>
      <w:r>
        <w:rPr>
          <w:spacing w:val="-7"/>
        </w:rPr>
        <w:t> </w:t>
      </w:r>
      <w:r>
        <w:rPr/>
        <w:t>жиру</w:t>
      </w:r>
      <w:r>
        <w:rPr>
          <w:spacing w:val="-6"/>
        </w:rPr>
        <w:t> </w:t>
      </w:r>
      <w:r>
        <w:rPr/>
        <w:t>-</w:t>
      </w:r>
      <w:r>
        <w:rPr>
          <w:spacing w:val="-9"/>
        </w:rPr>
        <w:t> </w:t>
      </w:r>
      <w:r>
        <w:rPr>
          <w:spacing w:val="-3"/>
        </w:rPr>
        <w:t>163,98</w:t>
      </w:r>
      <w:r>
        <w:rPr>
          <w:spacing w:val="-7"/>
        </w:rPr>
        <w:t> </w:t>
      </w:r>
      <w:r>
        <w:rPr>
          <w:spacing w:val="-4"/>
        </w:rPr>
        <w:t>кг,</w:t>
      </w:r>
      <w:r>
        <w:rPr>
          <w:spacing w:val="-5"/>
        </w:rPr>
        <w:t> </w:t>
      </w:r>
      <w:r>
        <w:rPr/>
        <w:t>білку</w:t>
      </w:r>
      <w:r>
        <w:rPr>
          <w:spacing w:val="-10"/>
        </w:rPr>
        <w:t> </w:t>
      </w:r>
      <w:r>
        <w:rPr/>
        <w:t>-</w:t>
      </w:r>
      <w:r>
        <w:rPr>
          <w:spacing w:val="-4"/>
        </w:rPr>
        <w:t> </w:t>
      </w:r>
      <w:r>
        <w:rPr>
          <w:spacing w:val="-3"/>
        </w:rPr>
        <w:t>136,16</w:t>
      </w:r>
      <w:r>
        <w:rPr>
          <w:spacing w:val="-7"/>
        </w:rPr>
        <w:t> </w:t>
      </w:r>
      <w:r>
        <w:rPr/>
        <w:t>кг.</w:t>
      </w:r>
      <w:r>
        <w:rPr>
          <w:spacing w:val="-5"/>
        </w:rPr>
        <w:t> </w:t>
      </w:r>
      <w:r>
        <w:rPr>
          <w:spacing w:val="-4"/>
        </w:rPr>
        <w:t>середня</w:t>
      </w:r>
      <w:r>
        <w:rPr>
          <w:spacing w:val="-1"/>
        </w:rPr>
        <w:t> </w:t>
      </w:r>
      <w:r>
        <w:rPr>
          <w:spacing w:val="-4"/>
        </w:rPr>
        <w:t>жива</w:t>
      </w:r>
      <w:r>
        <w:rPr>
          <w:spacing w:val="-6"/>
        </w:rPr>
        <w:t> </w:t>
      </w:r>
      <w:r>
        <w:rPr>
          <w:spacing w:val="-3"/>
        </w:rPr>
        <w:t>маса</w:t>
      </w:r>
      <w:r>
        <w:rPr>
          <w:spacing w:val="1"/>
        </w:rPr>
        <w:t> </w:t>
      </w:r>
      <w:r>
        <w:rPr/>
        <w:t>-</w:t>
      </w:r>
      <w:r>
        <w:rPr>
          <w:spacing w:val="-9"/>
        </w:rPr>
        <w:t> </w:t>
      </w:r>
      <w:r>
        <w:rPr/>
        <w:t>528</w:t>
      </w:r>
      <w:r>
        <w:rPr>
          <w:spacing w:val="-7"/>
        </w:rPr>
        <w:t> </w:t>
      </w:r>
      <w:r>
        <w:rPr/>
        <w:t>кг </w:t>
      </w:r>
      <w:r>
        <w:rPr>
          <w:spacing w:val="-4"/>
        </w:rPr>
        <w:t>[3,5,7]. </w:t>
      </w:r>
      <w:r>
        <w:rPr>
          <w:spacing w:val="-5"/>
        </w:rPr>
        <w:t>Генеалогічна </w:t>
      </w:r>
      <w:r>
        <w:rPr>
          <w:spacing w:val="-4"/>
        </w:rPr>
        <w:t>структура популяції корів представлена бугаями-плідниками </w:t>
      </w:r>
      <w:r>
        <w:rPr>
          <w:spacing w:val="-3"/>
        </w:rPr>
        <w:t>6-ті заводських </w:t>
      </w:r>
      <w:r>
        <w:rPr>
          <w:spacing w:val="-4"/>
        </w:rPr>
        <w:t>ліній, </w:t>
      </w:r>
      <w:r>
        <w:rPr/>
        <w:t>що </w:t>
      </w:r>
      <w:r>
        <w:rPr>
          <w:spacing w:val="-4"/>
        </w:rPr>
        <w:t>відображається </w:t>
      </w:r>
      <w:r>
        <w:rPr/>
        <w:t>у</w:t>
      </w:r>
      <w:r>
        <w:rPr>
          <w:spacing w:val="-51"/>
        </w:rPr>
        <w:t> </w:t>
      </w:r>
      <w:r>
        <w:rPr>
          <w:spacing w:val="-3"/>
        </w:rPr>
        <w:t>таблиці 1.</w:t>
      </w:r>
    </w:p>
    <w:p>
      <w:pPr>
        <w:pStyle w:val="BodyText"/>
        <w:spacing w:after="5"/>
        <w:ind w:right="608" w:firstLine="710"/>
      </w:pPr>
      <w:r>
        <w:rPr>
          <w:spacing w:val="-4"/>
        </w:rPr>
        <w:t>Таблиця </w:t>
      </w:r>
      <w:r>
        <w:rPr>
          <w:spacing w:val="-3"/>
        </w:rPr>
        <w:t>1. За </w:t>
      </w:r>
      <w:r>
        <w:rPr>
          <w:spacing w:val="-4"/>
        </w:rPr>
        <w:t>генеалогічною </w:t>
      </w:r>
      <w:r>
        <w:rPr>
          <w:spacing w:val="-3"/>
        </w:rPr>
        <w:t>структурою корови </w:t>
      </w:r>
      <w:r>
        <w:rPr>
          <w:spacing w:val="-4"/>
        </w:rPr>
        <w:t>сучасного стада походять </w:t>
      </w:r>
      <w:r>
        <w:rPr>
          <w:spacing w:val="-5"/>
        </w:rPr>
        <w:t>від </w:t>
      </w:r>
      <w:r>
        <w:rPr>
          <w:spacing w:val="-3"/>
        </w:rPr>
        <w:t>бугаїв </w:t>
      </w:r>
      <w:r>
        <w:rPr/>
        <w:t>6-ті </w:t>
      </w:r>
      <w:r>
        <w:rPr>
          <w:spacing w:val="-4"/>
        </w:rPr>
        <w:t>заводських ліній</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844"/>
        <w:gridCol w:w="2439"/>
        <w:gridCol w:w="648"/>
        <w:gridCol w:w="485"/>
        <w:gridCol w:w="710"/>
        <w:gridCol w:w="706"/>
        <w:gridCol w:w="710"/>
      </w:tblGrid>
      <w:tr>
        <w:trPr>
          <w:trHeight w:val="551" w:hRule="atLeast"/>
        </w:trPr>
        <w:tc>
          <w:tcPr>
            <w:tcW w:w="1810" w:type="dxa"/>
            <w:vMerge w:val="restart"/>
          </w:tcPr>
          <w:p>
            <w:pPr>
              <w:pStyle w:val="TableParagraph"/>
              <w:rPr>
                <w:sz w:val="26"/>
              </w:rPr>
            </w:pPr>
          </w:p>
          <w:p>
            <w:pPr>
              <w:pStyle w:val="TableParagraph"/>
              <w:spacing w:before="5"/>
              <w:rPr>
                <w:sz w:val="25"/>
              </w:rPr>
            </w:pPr>
          </w:p>
          <w:p>
            <w:pPr>
              <w:pStyle w:val="TableParagraph"/>
              <w:ind w:left="921"/>
              <w:rPr>
                <w:sz w:val="24"/>
              </w:rPr>
            </w:pPr>
            <w:r>
              <w:rPr>
                <w:sz w:val="24"/>
              </w:rPr>
              <w:t>Лінія</w:t>
            </w:r>
          </w:p>
        </w:tc>
        <w:tc>
          <w:tcPr>
            <w:tcW w:w="4283" w:type="dxa"/>
            <w:gridSpan w:val="2"/>
          </w:tcPr>
          <w:p>
            <w:pPr>
              <w:pStyle w:val="TableParagraph"/>
              <w:spacing w:before="131"/>
              <w:ind w:left="1257"/>
              <w:rPr>
                <w:sz w:val="24"/>
              </w:rPr>
            </w:pPr>
            <w:r>
              <w:rPr>
                <w:sz w:val="24"/>
              </w:rPr>
              <w:t>Інформація про батька</w:t>
            </w:r>
          </w:p>
        </w:tc>
        <w:tc>
          <w:tcPr>
            <w:tcW w:w="3259" w:type="dxa"/>
            <w:gridSpan w:val="5"/>
          </w:tcPr>
          <w:p>
            <w:pPr>
              <w:pStyle w:val="TableParagraph"/>
              <w:spacing w:line="268" w:lineRule="exact"/>
              <w:ind w:left="365" w:right="347"/>
              <w:jc w:val="center"/>
              <w:rPr>
                <w:sz w:val="24"/>
              </w:rPr>
            </w:pPr>
            <w:r>
              <w:rPr>
                <w:sz w:val="24"/>
              </w:rPr>
              <w:t>Інформація про маточне</w:t>
            </w:r>
          </w:p>
          <w:p>
            <w:pPr>
              <w:pStyle w:val="TableParagraph"/>
              <w:spacing w:line="261" w:lineRule="exact" w:before="2"/>
              <w:ind w:left="353" w:right="347"/>
              <w:jc w:val="center"/>
              <w:rPr>
                <w:sz w:val="24"/>
              </w:rPr>
            </w:pPr>
            <w:r>
              <w:rPr>
                <w:sz w:val="24"/>
              </w:rPr>
              <w:t>поголів’я</w:t>
            </w:r>
          </w:p>
        </w:tc>
      </w:tr>
      <w:tr>
        <w:trPr>
          <w:trHeight w:val="316" w:hRule="atLeast"/>
        </w:trPr>
        <w:tc>
          <w:tcPr>
            <w:tcW w:w="1810" w:type="dxa"/>
            <w:vMerge/>
            <w:tcBorders>
              <w:top w:val="nil"/>
            </w:tcBorders>
          </w:tcPr>
          <w:p>
            <w:pPr>
              <w:rPr>
                <w:sz w:val="2"/>
                <w:szCs w:val="2"/>
              </w:rPr>
            </w:pPr>
          </w:p>
        </w:tc>
        <w:tc>
          <w:tcPr>
            <w:tcW w:w="1844" w:type="dxa"/>
            <w:vMerge w:val="restart"/>
          </w:tcPr>
          <w:p>
            <w:pPr>
              <w:pStyle w:val="TableParagraph"/>
              <w:spacing w:before="35"/>
              <w:ind w:left="139" w:right="145" w:firstLine="9"/>
              <w:jc w:val="center"/>
              <w:rPr>
                <w:sz w:val="24"/>
              </w:rPr>
            </w:pPr>
            <w:r>
              <w:rPr>
                <w:sz w:val="24"/>
              </w:rPr>
              <w:t>Кличка </w:t>
            </w:r>
            <w:r>
              <w:rPr>
                <w:spacing w:val="-1"/>
                <w:sz w:val="24"/>
              </w:rPr>
              <w:t>ідентифікаційн </w:t>
            </w:r>
            <w:r>
              <w:rPr>
                <w:sz w:val="24"/>
              </w:rPr>
              <w:t>ий номер</w:t>
            </w:r>
          </w:p>
        </w:tc>
        <w:tc>
          <w:tcPr>
            <w:tcW w:w="2439" w:type="dxa"/>
            <w:vMerge w:val="restart"/>
          </w:tcPr>
          <w:p>
            <w:pPr>
              <w:pStyle w:val="TableParagraph"/>
              <w:spacing w:before="3"/>
              <w:rPr>
                <w:sz w:val="27"/>
              </w:rPr>
            </w:pPr>
          </w:p>
          <w:p>
            <w:pPr>
              <w:pStyle w:val="TableParagraph"/>
              <w:ind w:left="854"/>
              <w:rPr>
                <w:sz w:val="24"/>
              </w:rPr>
            </w:pPr>
            <w:r>
              <w:rPr>
                <w:sz w:val="24"/>
              </w:rPr>
              <w:t>Походження</w:t>
            </w:r>
          </w:p>
        </w:tc>
        <w:tc>
          <w:tcPr>
            <w:tcW w:w="648" w:type="dxa"/>
            <w:vMerge w:val="restart"/>
            <w:textDirection w:val="btLr"/>
          </w:tcPr>
          <w:p>
            <w:pPr>
              <w:pStyle w:val="TableParagraph"/>
              <w:spacing w:before="184"/>
              <w:ind w:left="153"/>
              <w:rPr>
                <w:sz w:val="24"/>
              </w:rPr>
            </w:pPr>
            <w:r>
              <w:rPr>
                <w:sz w:val="24"/>
              </w:rPr>
              <w:t>Разом</w:t>
            </w:r>
          </w:p>
        </w:tc>
        <w:tc>
          <w:tcPr>
            <w:tcW w:w="1195" w:type="dxa"/>
            <w:gridSpan w:val="2"/>
          </w:tcPr>
          <w:p>
            <w:pPr>
              <w:pStyle w:val="TableParagraph"/>
              <w:spacing w:before="15"/>
              <w:ind w:left="216"/>
              <w:rPr>
                <w:sz w:val="24"/>
              </w:rPr>
            </w:pPr>
            <w:r>
              <w:rPr>
                <w:sz w:val="24"/>
              </w:rPr>
              <w:t>Корови</w:t>
            </w:r>
          </w:p>
        </w:tc>
        <w:tc>
          <w:tcPr>
            <w:tcW w:w="706" w:type="dxa"/>
            <w:vMerge w:val="restart"/>
            <w:textDirection w:val="btLr"/>
          </w:tcPr>
          <w:p>
            <w:pPr>
              <w:pStyle w:val="TableParagraph"/>
              <w:spacing w:line="290" w:lineRule="atLeast" w:before="94"/>
              <w:ind w:left="23" w:right="10" w:firstLine="148"/>
              <w:rPr>
                <w:sz w:val="24"/>
              </w:rPr>
            </w:pPr>
            <w:r>
              <w:rPr>
                <w:sz w:val="24"/>
              </w:rPr>
              <w:t>З них первістк</w:t>
            </w:r>
          </w:p>
        </w:tc>
        <w:tc>
          <w:tcPr>
            <w:tcW w:w="710" w:type="dxa"/>
            <w:vMerge w:val="restart"/>
            <w:textDirection w:val="btLr"/>
          </w:tcPr>
          <w:p>
            <w:pPr>
              <w:pStyle w:val="TableParagraph"/>
              <w:spacing w:before="218"/>
              <w:ind w:left="105"/>
              <w:rPr>
                <w:sz w:val="24"/>
              </w:rPr>
            </w:pPr>
            <w:r>
              <w:rPr>
                <w:sz w:val="24"/>
              </w:rPr>
              <w:t>Телиці</w:t>
            </w:r>
          </w:p>
        </w:tc>
      </w:tr>
      <w:tr>
        <w:trPr>
          <w:trHeight w:val="590" w:hRule="atLeast"/>
        </w:trPr>
        <w:tc>
          <w:tcPr>
            <w:tcW w:w="1810" w:type="dxa"/>
            <w:vMerge/>
            <w:tcBorders>
              <w:top w:val="nil"/>
            </w:tcBorders>
          </w:tcPr>
          <w:p>
            <w:pPr>
              <w:rPr>
                <w:sz w:val="2"/>
                <w:szCs w:val="2"/>
              </w:rPr>
            </w:pPr>
          </w:p>
        </w:tc>
        <w:tc>
          <w:tcPr>
            <w:tcW w:w="1844" w:type="dxa"/>
            <w:vMerge/>
            <w:tcBorders>
              <w:top w:val="nil"/>
            </w:tcBorders>
          </w:tcPr>
          <w:p>
            <w:pPr>
              <w:rPr>
                <w:sz w:val="2"/>
                <w:szCs w:val="2"/>
              </w:rPr>
            </w:pPr>
          </w:p>
        </w:tc>
        <w:tc>
          <w:tcPr>
            <w:tcW w:w="2439" w:type="dxa"/>
            <w:vMerge/>
            <w:tcBorders>
              <w:top w:val="nil"/>
            </w:tcBorders>
          </w:tcPr>
          <w:p>
            <w:pPr>
              <w:rPr>
                <w:sz w:val="2"/>
                <w:szCs w:val="2"/>
              </w:rPr>
            </w:pPr>
          </w:p>
        </w:tc>
        <w:tc>
          <w:tcPr>
            <w:tcW w:w="648" w:type="dxa"/>
            <w:vMerge/>
            <w:tcBorders>
              <w:top w:val="nil"/>
            </w:tcBorders>
            <w:textDirection w:val="btLr"/>
          </w:tcPr>
          <w:p>
            <w:pPr>
              <w:rPr>
                <w:sz w:val="2"/>
                <w:szCs w:val="2"/>
              </w:rPr>
            </w:pPr>
          </w:p>
        </w:tc>
        <w:tc>
          <w:tcPr>
            <w:tcW w:w="485" w:type="dxa"/>
            <w:textDirection w:val="btLr"/>
          </w:tcPr>
          <w:p>
            <w:pPr>
              <w:pStyle w:val="TableParagraph"/>
              <w:spacing w:before="113"/>
              <w:ind w:left="-1"/>
              <w:rPr>
                <w:sz w:val="24"/>
              </w:rPr>
            </w:pPr>
            <w:r>
              <w:rPr>
                <w:sz w:val="24"/>
              </w:rPr>
              <w:t>Голів</w:t>
            </w:r>
          </w:p>
        </w:tc>
        <w:tc>
          <w:tcPr>
            <w:tcW w:w="710" w:type="dxa"/>
          </w:tcPr>
          <w:p>
            <w:pPr>
              <w:pStyle w:val="TableParagraph"/>
              <w:rPr>
                <w:sz w:val="26"/>
              </w:rPr>
            </w:pPr>
          </w:p>
        </w:tc>
        <w:tc>
          <w:tcPr>
            <w:tcW w:w="706" w:type="dxa"/>
            <w:vMerge/>
            <w:tcBorders>
              <w:top w:val="nil"/>
            </w:tcBorders>
            <w:textDirection w:val="btLr"/>
          </w:tcPr>
          <w:p>
            <w:pPr>
              <w:rPr>
                <w:sz w:val="2"/>
                <w:szCs w:val="2"/>
              </w:rPr>
            </w:pPr>
          </w:p>
        </w:tc>
        <w:tc>
          <w:tcPr>
            <w:tcW w:w="710" w:type="dxa"/>
            <w:vMerge/>
            <w:tcBorders>
              <w:top w:val="nil"/>
            </w:tcBorders>
            <w:textDirection w:val="btLr"/>
          </w:tcPr>
          <w:p>
            <w:pPr>
              <w:rPr>
                <w:sz w:val="2"/>
                <w:szCs w:val="2"/>
              </w:rPr>
            </w:pPr>
          </w:p>
        </w:tc>
      </w:tr>
      <w:tr>
        <w:trPr>
          <w:trHeight w:val="273" w:hRule="atLeast"/>
        </w:trPr>
        <w:tc>
          <w:tcPr>
            <w:tcW w:w="1810" w:type="dxa"/>
          </w:tcPr>
          <w:p>
            <w:pPr>
              <w:pStyle w:val="TableParagraph"/>
              <w:spacing w:line="253" w:lineRule="exact"/>
              <w:ind w:left="110"/>
              <w:rPr>
                <w:sz w:val="24"/>
              </w:rPr>
            </w:pPr>
            <w:r>
              <w:rPr>
                <w:sz w:val="24"/>
              </w:rPr>
              <w:t>Цирруса 16497</w:t>
            </w:r>
          </w:p>
        </w:tc>
        <w:tc>
          <w:tcPr>
            <w:tcW w:w="1844" w:type="dxa"/>
          </w:tcPr>
          <w:p>
            <w:pPr>
              <w:pStyle w:val="TableParagraph"/>
              <w:spacing w:line="253" w:lineRule="exact"/>
              <w:ind w:left="105"/>
              <w:rPr>
                <w:sz w:val="24"/>
              </w:rPr>
            </w:pPr>
            <w:r>
              <w:rPr>
                <w:sz w:val="24"/>
              </w:rPr>
              <w:t>Дельфін 659</w:t>
            </w:r>
          </w:p>
        </w:tc>
        <w:tc>
          <w:tcPr>
            <w:tcW w:w="2439" w:type="dxa"/>
          </w:tcPr>
          <w:p>
            <w:pPr>
              <w:pStyle w:val="TableParagraph"/>
              <w:spacing w:line="253" w:lineRule="exact"/>
              <w:ind w:left="144"/>
              <w:rPr>
                <w:sz w:val="24"/>
              </w:rPr>
            </w:pPr>
            <w:r>
              <w:rPr>
                <w:sz w:val="24"/>
              </w:rPr>
              <w:t>Жирномолочний тип</w:t>
            </w:r>
          </w:p>
        </w:tc>
        <w:tc>
          <w:tcPr>
            <w:tcW w:w="648" w:type="dxa"/>
          </w:tcPr>
          <w:p>
            <w:pPr>
              <w:pStyle w:val="TableParagraph"/>
              <w:spacing w:line="253" w:lineRule="exact"/>
              <w:ind w:left="110"/>
              <w:rPr>
                <w:sz w:val="24"/>
              </w:rPr>
            </w:pPr>
            <w:r>
              <w:rPr>
                <w:sz w:val="24"/>
              </w:rPr>
              <w:t>66</w:t>
            </w:r>
          </w:p>
        </w:tc>
        <w:tc>
          <w:tcPr>
            <w:tcW w:w="485" w:type="dxa"/>
          </w:tcPr>
          <w:p>
            <w:pPr>
              <w:pStyle w:val="TableParagraph"/>
              <w:spacing w:line="253" w:lineRule="exact"/>
              <w:ind w:left="110"/>
              <w:rPr>
                <w:sz w:val="24"/>
              </w:rPr>
            </w:pPr>
            <w:r>
              <w:rPr>
                <w:sz w:val="24"/>
              </w:rPr>
              <w:t>66</w:t>
            </w:r>
          </w:p>
        </w:tc>
        <w:tc>
          <w:tcPr>
            <w:tcW w:w="710" w:type="dxa"/>
          </w:tcPr>
          <w:p>
            <w:pPr>
              <w:pStyle w:val="TableParagraph"/>
              <w:spacing w:line="253" w:lineRule="exact"/>
              <w:ind w:left="111"/>
              <w:rPr>
                <w:sz w:val="24"/>
              </w:rPr>
            </w:pPr>
            <w:r>
              <w:rPr>
                <w:sz w:val="24"/>
              </w:rPr>
              <w:t>30</w:t>
            </w:r>
          </w:p>
        </w:tc>
        <w:tc>
          <w:tcPr>
            <w:tcW w:w="706" w:type="dxa"/>
          </w:tcPr>
          <w:p>
            <w:pPr>
              <w:pStyle w:val="TableParagraph"/>
              <w:spacing w:line="253" w:lineRule="exact"/>
              <w:ind w:left="106"/>
              <w:rPr>
                <w:sz w:val="24"/>
              </w:rPr>
            </w:pPr>
            <w:r>
              <w:rPr>
                <w:w w:val="99"/>
                <w:sz w:val="24"/>
              </w:rPr>
              <w:t>-</w:t>
            </w:r>
          </w:p>
        </w:tc>
        <w:tc>
          <w:tcPr>
            <w:tcW w:w="710" w:type="dxa"/>
          </w:tcPr>
          <w:p>
            <w:pPr>
              <w:pStyle w:val="TableParagraph"/>
              <w:spacing w:line="253" w:lineRule="exact"/>
              <w:ind w:left="111"/>
              <w:rPr>
                <w:sz w:val="24"/>
              </w:rPr>
            </w:pPr>
            <w:r>
              <w:rPr>
                <w:w w:val="99"/>
                <w:sz w:val="24"/>
              </w:rPr>
              <w:t>-</w:t>
            </w:r>
          </w:p>
        </w:tc>
      </w:tr>
      <w:tr>
        <w:trPr>
          <w:trHeight w:val="277" w:hRule="atLeast"/>
        </w:trPr>
        <w:tc>
          <w:tcPr>
            <w:tcW w:w="1810" w:type="dxa"/>
          </w:tcPr>
          <w:p>
            <w:pPr>
              <w:pStyle w:val="TableParagraph"/>
              <w:spacing w:line="258" w:lineRule="exact"/>
              <w:ind w:left="671"/>
              <w:rPr>
                <w:sz w:val="24"/>
              </w:rPr>
            </w:pPr>
            <w:r>
              <w:rPr>
                <w:sz w:val="24"/>
              </w:rPr>
              <w:t>Стара</w:t>
            </w:r>
          </w:p>
        </w:tc>
        <w:tc>
          <w:tcPr>
            <w:tcW w:w="1844" w:type="dxa"/>
          </w:tcPr>
          <w:p>
            <w:pPr>
              <w:pStyle w:val="TableParagraph"/>
              <w:spacing w:line="258" w:lineRule="exact"/>
              <w:ind w:left="105"/>
              <w:rPr>
                <w:sz w:val="24"/>
              </w:rPr>
            </w:pPr>
            <w:r>
              <w:rPr>
                <w:sz w:val="24"/>
              </w:rPr>
              <w:t>Добряка 137</w:t>
            </w:r>
          </w:p>
        </w:tc>
        <w:tc>
          <w:tcPr>
            <w:tcW w:w="2439" w:type="dxa"/>
          </w:tcPr>
          <w:p>
            <w:pPr>
              <w:pStyle w:val="TableParagraph"/>
              <w:spacing w:line="258" w:lineRule="exact"/>
              <w:ind w:left="144"/>
              <w:rPr>
                <w:sz w:val="24"/>
              </w:rPr>
            </w:pPr>
            <w:r>
              <w:rPr>
                <w:sz w:val="24"/>
              </w:rPr>
              <w:t>Жирномолочний тип</w:t>
            </w:r>
          </w:p>
        </w:tc>
        <w:tc>
          <w:tcPr>
            <w:tcW w:w="648" w:type="dxa"/>
          </w:tcPr>
          <w:p>
            <w:pPr>
              <w:pStyle w:val="TableParagraph"/>
              <w:spacing w:line="258" w:lineRule="exact"/>
              <w:ind w:left="110"/>
              <w:rPr>
                <w:sz w:val="24"/>
              </w:rPr>
            </w:pPr>
            <w:r>
              <w:rPr>
                <w:sz w:val="24"/>
              </w:rPr>
              <w:t>9</w:t>
            </w:r>
          </w:p>
        </w:tc>
        <w:tc>
          <w:tcPr>
            <w:tcW w:w="485" w:type="dxa"/>
          </w:tcPr>
          <w:p>
            <w:pPr>
              <w:pStyle w:val="TableParagraph"/>
              <w:spacing w:line="258" w:lineRule="exact"/>
              <w:ind w:left="110"/>
              <w:rPr>
                <w:sz w:val="24"/>
              </w:rPr>
            </w:pPr>
            <w:r>
              <w:rPr>
                <w:sz w:val="24"/>
              </w:rPr>
              <w:t>9</w:t>
            </w:r>
          </w:p>
        </w:tc>
        <w:tc>
          <w:tcPr>
            <w:tcW w:w="710" w:type="dxa"/>
          </w:tcPr>
          <w:p>
            <w:pPr>
              <w:pStyle w:val="TableParagraph"/>
              <w:spacing w:line="258" w:lineRule="exact"/>
              <w:ind w:left="111"/>
              <w:rPr>
                <w:sz w:val="24"/>
              </w:rPr>
            </w:pPr>
            <w:r>
              <w:rPr>
                <w:sz w:val="24"/>
              </w:rPr>
              <w:t>4,1</w:t>
            </w:r>
          </w:p>
        </w:tc>
        <w:tc>
          <w:tcPr>
            <w:tcW w:w="706" w:type="dxa"/>
          </w:tcPr>
          <w:p>
            <w:pPr>
              <w:pStyle w:val="TableParagraph"/>
              <w:spacing w:line="258" w:lineRule="exact"/>
              <w:ind w:left="106"/>
              <w:rPr>
                <w:sz w:val="24"/>
              </w:rPr>
            </w:pPr>
            <w:r>
              <w:rPr>
                <w:w w:val="99"/>
                <w:sz w:val="24"/>
              </w:rPr>
              <w:t>-</w:t>
            </w:r>
          </w:p>
        </w:tc>
        <w:tc>
          <w:tcPr>
            <w:tcW w:w="710" w:type="dxa"/>
          </w:tcPr>
          <w:p>
            <w:pPr>
              <w:pStyle w:val="TableParagraph"/>
              <w:spacing w:line="258" w:lineRule="exact"/>
              <w:ind w:left="111"/>
              <w:rPr>
                <w:sz w:val="24"/>
              </w:rPr>
            </w:pPr>
            <w:r>
              <w:rPr>
                <w:w w:val="99"/>
                <w:sz w:val="24"/>
              </w:rPr>
              <w:t>-</w:t>
            </w:r>
          </w:p>
        </w:tc>
      </w:tr>
      <w:tr>
        <w:trPr>
          <w:trHeight w:val="311" w:hRule="atLeast"/>
        </w:trPr>
        <w:tc>
          <w:tcPr>
            <w:tcW w:w="1810" w:type="dxa"/>
          </w:tcPr>
          <w:p>
            <w:pPr>
              <w:pStyle w:val="TableParagraph"/>
              <w:spacing w:line="268" w:lineRule="exact"/>
              <w:ind w:left="110"/>
              <w:rPr>
                <w:sz w:val="24"/>
              </w:rPr>
            </w:pPr>
            <w:r>
              <w:rPr>
                <w:sz w:val="24"/>
              </w:rPr>
              <w:t>Хановера Ред</w:t>
            </w:r>
          </w:p>
        </w:tc>
        <w:tc>
          <w:tcPr>
            <w:tcW w:w="1844" w:type="dxa"/>
          </w:tcPr>
          <w:p>
            <w:pPr>
              <w:pStyle w:val="TableParagraph"/>
              <w:spacing w:line="268" w:lineRule="exact"/>
              <w:ind w:left="105"/>
              <w:rPr>
                <w:sz w:val="24"/>
              </w:rPr>
            </w:pPr>
            <w:r>
              <w:rPr>
                <w:sz w:val="24"/>
              </w:rPr>
              <w:t>Надир 357</w:t>
            </w:r>
          </w:p>
        </w:tc>
        <w:tc>
          <w:tcPr>
            <w:tcW w:w="2439" w:type="dxa"/>
          </w:tcPr>
          <w:p>
            <w:pPr>
              <w:pStyle w:val="TableParagraph"/>
              <w:spacing w:line="268" w:lineRule="exact"/>
              <w:ind w:left="110"/>
              <w:rPr>
                <w:sz w:val="24"/>
              </w:rPr>
            </w:pPr>
            <w:r>
              <w:rPr>
                <w:sz w:val="24"/>
              </w:rPr>
              <w:t>Г87,5+ЧС6,3+ЧД6,2</w:t>
            </w:r>
          </w:p>
        </w:tc>
        <w:tc>
          <w:tcPr>
            <w:tcW w:w="648" w:type="dxa"/>
          </w:tcPr>
          <w:p>
            <w:pPr>
              <w:pStyle w:val="TableParagraph"/>
              <w:spacing w:line="268" w:lineRule="exact"/>
              <w:ind w:left="110"/>
              <w:rPr>
                <w:sz w:val="24"/>
              </w:rPr>
            </w:pPr>
            <w:r>
              <w:rPr>
                <w:sz w:val="24"/>
              </w:rPr>
              <w:t>9</w:t>
            </w:r>
          </w:p>
        </w:tc>
        <w:tc>
          <w:tcPr>
            <w:tcW w:w="485" w:type="dxa"/>
          </w:tcPr>
          <w:p>
            <w:pPr>
              <w:pStyle w:val="TableParagraph"/>
              <w:spacing w:line="268" w:lineRule="exact"/>
              <w:ind w:left="110"/>
              <w:rPr>
                <w:sz w:val="24"/>
              </w:rPr>
            </w:pPr>
            <w:r>
              <w:rPr>
                <w:sz w:val="24"/>
              </w:rPr>
              <w:t>9</w:t>
            </w:r>
          </w:p>
        </w:tc>
        <w:tc>
          <w:tcPr>
            <w:tcW w:w="710" w:type="dxa"/>
          </w:tcPr>
          <w:p>
            <w:pPr>
              <w:pStyle w:val="TableParagraph"/>
              <w:spacing w:line="268" w:lineRule="exact"/>
              <w:ind w:left="111"/>
              <w:rPr>
                <w:sz w:val="24"/>
              </w:rPr>
            </w:pPr>
            <w:r>
              <w:rPr>
                <w:sz w:val="24"/>
              </w:rPr>
              <w:t>8,6</w:t>
            </w:r>
          </w:p>
        </w:tc>
        <w:tc>
          <w:tcPr>
            <w:tcW w:w="706" w:type="dxa"/>
          </w:tcPr>
          <w:p>
            <w:pPr>
              <w:pStyle w:val="TableParagraph"/>
              <w:spacing w:line="268" w:lineRule="exact"/>
              <w:ind w:left="106"/>
              <w:rPr>
                <w:sz w:val="24"/>
              </w:rPr>
            </w:pPr>
            <w:r>
              <w:rPr>
                <w:w w:val="99"/>
                <w:sz w:val="24"/>
              </w:rPr>
              <w:t>-</w:t>
            </w:r>
          </w:p>
        </w:tc>
        <w:tc>
          <w:tcPr>
            <w:tcW w:w="710" w:type="dxa"/>
          </w:tcPr>
          <w:p>
            <w:pPr>
              <w:pStyle w:val="TableParagraph"/>
              <w:spacing w:line="268" w:lineRule="exact"/>
              <w:ind w:left="111"/>
              <w:rPr>
                <w:sz w:val="24"/>
              </w:rPr>
            </w:pPr>
            <w:r>
              <w:rPr>
                <w:w w:val="99"/>
                <w:sz w:val="24"/>
              </w:rPr>
              <w:t>-</w:t>
            </w:r>
          </w:p>
        </w:tc>
      </w:tr>
      <w:tr>
        <w:trPr>
          <w:trHeight w:val="278" w:hRule="atLeast"/>
        </w:trPr>
        <w:tc>
          <w:tcPr>
            <w:tcW w:w="1810" w:type="dxa"/>
          </w:tcPr>
          <w:p>
            <w:pPr>
              <w:pStyle w:val="TableParagraph"/>
              <w:spacing w:line="258" w:lineRule="exact"/>
              <w:ind w:right="189"/>
              <w:jc w:val="right"/>
              <w:rPr>
                <w:sz w:val="24"/>
              </w:rPr>
            </w:pPr>
            <w:r>
              <w:rPr>
                <w:sz w:val="24"/>
              </w:rPr>
              <w:t>Кавалера</w:t>
            </w:r>
          </w:p>
        </w:tc>
        <w:tc>
          <w:tcPr>
            <w:tcW w:w="1844" w:type="dxa"/>
          </w:tcPr>
          <w:p>
            <w:pPr>
              <w:pStyle w:val="TableParagraph"/>
              <w:spacing w:line="258" w:lineRule="exact"/>
              <w:ind w:left="105"/>
              <w:rPr>
                <w:sz w:val="24"/>
              </w:rPr>
            </w:pPr>
            <w:r>
              <w:rPr>
                <w:sz w:val="24"/>
              </w:rPr>
              <w:t>Лімур 640/1380</w:t>
            </w:r>
          </w:p>
        </w:tc>
        <w:tc>
          <w:tcPr>
            <w:tcW w:w="2439" w:type="dxa"/>
          </w:tcPr>
          <w:p>
            <w:pPr>
              <w:pStyle w:val="TableParagraph"/>
              <w:spacing w:line="258" w:lineRule="exact"/>
              <w:ind w:left="110"/>
              <w:rPr>
                <w:sz w:val="24"/>
              </w:rPr>
            </w:pPr>
            <w:r>
              <w:rPr>
                <w:sz w:val="24"/>
              </w:rPr>
              <w:t>Г89,5+ЧС6,3+ЧД4,2</w:t>
            </w:r>
          </w:p>
        </w:tc>
        <w:tc>
          <w:tcPr>
            <w:tcW w:w="648" w:type="dxa"/>
          </w:tcPr>
          <w:p>
            <w:pPr>
              <w:pStyle w:val="TableParagraph"/>
              <w:spacing w:line="258" w:lineRule="exact"/>
              <w:ind w:left="110"/>
              <w:rPr>
                <w:sz w:val="24"/>
              </w:rPr>
            </w:pPr>
            <w:r>
              <w:rPr>
                <w:sz w:val="24"/>
              </w:rPr>
              <w:t>59</w:t>
            </w:r>
          </w:p>
        </w:tc>
        <w:tc>
          <w:tcPr>
            <w:tcW w:w="485" w:type="dxa"/>
          </w:tcPr>
          <w:p>
            <w:pPr>
              <w:pStyle w:val="TableParagraph"/>
              <w:spacing w:line="258" w:lineRule="exact"/>
              <w:ind w:left="110"/>
              <w:rPr>
                <w:sz w:val="24"/>
              </w:rPr>
            </w:pPr>
            <w:r>
              <w:rPr>
                <w:sz w:val="24"/>
              </w:rPr>
              <w:t>59</w:t>
            </w:r>
          </w:p>
        </w:tc>
        <w:tc>
          <w:tcPr>
            <w:tcW w:w="710" w:type="dxa"/>
          </w:tcPr>
          <w:p>
            <w:pPr>
              <w:pStyle w:val="TableParagraph"/>
              <w:spacing w:line="258" w:lineRule="exact"/>
              <w:ind w:left="111"/>
              <w:rPr>
                <w:sz w:val="24"/>
              </w:rPr>
            </w:pPr>
            <w:r>
              <w:rPr>
                <w:sz w:val="24"/>
              </w:rPr>
              <w:t>6,8</w:t>
            </w:r>
          </w:p>
        </w:tc>
        <w:tc>
          <w:tcPr>
            <w:tcW w:w="706" w:type="dxa"/>
          </w:tcPr>
          <w:p>
            <w:pPr>
              <w:pStyle w:val="TableParagraph"/>
              <w:spacing w:line="258" w:lineRule="exact"/>
              <w:ind w:left="106"/>
              <w:rPr>
                <w:sz w:val="24"/>
              </w:rPr>
            </w:pPr>
            <w:r>
              <w:rPr>
                <w:w w:val="99"/>
                <w:sz w:val="24"/>
              </w:rPr>
              <w:t>-</w:t>
            </w:r>
          </w:p>
        </w:tc>
        <w:tc>
          <w:tcPr>
            <w:tcW w:w="710" w:type="dxa"/>
          </w:tcPr>
          <w:p>
            <w:pPr>
              <w:pStyle w:val="TableParagraph"/>
              <w:spacing w:line="258" w:lineRule="exact"/>
              <w:ind w:left="111"/>
              <w:rPr>
                <w:sz w:val="24"/>
              </w:rPr>
            </w:pPr>
            <w:r>
              <w:rPr>
                <w:w w:val="99"/>
                <w:sz w:val="24"/>
              </w:rPr>
              <w:t>-</w:t>
            </w:r>
          </w:p>
        </w:tc>
      </w:tr>
      <w:tr>
        <w:trPr>
          <w:trHeight w:val="273" w:hRule="atLeast"/>
        </w:trPr>
        <w:tc>
          <w:tcPr>
            <w:tcW w:w="1810" w:type="dxa"/>
          </w:tcPr>
          <w:p>
            <w:pPr>
              <w:pStyle w:val="TableParagraph"/>
              <w:spacing w:line="254" w:lineRule="exact"/>
              <w:ind w:right="189"/>
              <w:jc w:val="right"/>
              <w:rPr>
                <w:sz w:val="24"/>
              </w:rPr>
            </w:pPr>
            <w:r>
              <w:rPr>
                <w:sz w:val="24"/>
              </w:rPr>
              <w:t>Старбака</w:t>
            </w:r>
          </w:p>
        </w:tc>
        <w:tc>
          <w:tcPr>
            <w:tcW w:w="1844" w:type="dxa"/>
          </w:tcPr>
          <w:p>
            <w:pPr>
              <w:pStyle w:val="TableParagraph"/>
              <w:spacing w:line="254" w:lineRule="exact"/>
              <w:ind w:left="259"/>
              <w:rPr>
                <w:sz w:val="24"/>
              </w:rPr>
            </w:pPr>
            <w:r>
              <w:rPr>
                <w:sz w:val="24"/>
              </w:rPr>
              <w:t>Ротшенк Ред</w:t>
            </w:r>
          </w:p>
        </w:tc>
        <w:tc>
          <w:tcPr>
            <w:tcW w:w="2439" w:type="dxa"/>
          </w:tcPr>
          <w:p>
            <w:pPr>
              <w:pStyle w:val="TableParagraph"/>
              <w:spacing w:line="254" w:lineRule="exact"/>
              <w:ind w:left="148"/>
              <w:rPr>
                <w:sz w:val="24"/>
              </w:rPr>
            </w:pPr>
            <w:r>
              <w:rPr>
                <w:sz w:val="24"/>
              </w:rPr>
              <w:t>Голштинська порода</w:t>
            </w:r>
          </w:p>
        </w:tc>
        <w:tc>
          <w:tcPr>
            <w:tcW w:w="648" w:type="dxa"/>
          </w:tcPr>
          <w:p>
            <w:pPr>
              <w:pStyle w:val="TableParagraph"/>
              <w:spacing w:line="254" w:lineRule="exact"/>
              <w:ind w:left="110"/>
              <w:rPr>
                <w:sz w:val="24"/>
              </w:rPr>
            </w:pPr>
            <w:r>
              <w:rPr>
                <w:sz w:val="24"/>
              </w:rPr>
              <w:t>25</w:t>
            </w:r>
          </w:p>
        </w:tc>
        <w:tc>
          <w:tcPr>
            <w:tcW w:w="485" w:type="dxa"/>
          </w:tcPr>
          <w:p>
            <w:pPr>
              <w:pStyle w:val="TableParagraph"/>
              <w:spacing w:line="254" w:lineRule="exact"/>
              <w:ind w:left="110"/>
              <w:rPr>
                <w:sz w:val="24"/>
              </w:rPr>
            </w:pPr>
            <w:r>
              <w:rPr>
                <w:sz w:val="24"/>
              </w:rPr>
              <w:t>25</w:t>
            </w:r>
          </w:p>
        </w:tc>
        <w:tc>
          <w:tcPr>
            <w:tcW w:w="710" w:type="dxa"/>
          </w:tcPr>
          <w:p>
            <w:pPr>
              <w:pStyle w:val="TableParagraph"/>
              <w:spacing w:line="254" w:lineRule="exact"/>
              <w:ind w:left="111"/>
              <w:rPr>
                <w:sz w:val="24"/>
              </w:rPr>
            </w:pPr>
            <w:r>
              <w:rPr>
                <w:sz w:val="24"/>
              </w:rPr>
              <w:t>1,4</w:t>
            </w:r>
          </w:p>
        </w:tc>
        <w:tc>
          <w:tcPr>
            <w:tcW w:w="706" w:type="dxa"/>
          </w:tcPr>
          <w:p>
            <w:pPr>
              <w:pStyle w:val="TableParagraph"/>
              <w:spacing w:line="254" w:lineRule="exact"/>
              <w:ind w:left="106"/>
              <w:rPr>
                <w:sz w:val="24"/>
              </w:rPr>
            </w:pPr>
            <w:r>
              <w:rPr>
                <w:sz w:val="24"/>
              </w:rPr>
              <w:t>25</w:t>
            </w:r>
          </w:p>
        </w:tc>
        <w:tc>
          <w:tcPr>
            <w:tcW w:w="710" w:type="dxa"/>
          </w:tcPr>
          <w:p>
            <w:pPr>
              <w:pStyle w:val="TableParagraph"/>
              <w:spacing w:line="254" w:lineRule="exact"/>
              <w:ind w:left="111"/>
              <w:rPr>
                <w:sz w:val="24"/>
              </w:rPr>
            </w:pPr>
            <w:r>
              <w:rPr>
                <w:w w:val="99"/>
                <w:sz w:val="24"/>
              </w:rPr>
              <w:t>-</w:t>
            </w:r>
          </w:p>
        </w:tc>
      </w:tr>
      <w:tr>
        <w:trPr>
          <w:trHeight w:val="551" w:hRule="atLeast"/>
        </w:trPr>
        <w:tc>
          <w:tcPr>
            <w:tcW w:w="1810" w:type="dxa"/>
          </w:tcPr>
          <w:p>
            <w:pPr>
              <w:pStyle w:val="TableParagraph"/>
              <w:spacing w:line="268" w:lineRule="exact"/>
              <w:ind w:left="649" w:right="625"/>
              <w:jc w:val="center"/>
              <w:rPr>
                <w:sz w:val="24"/>
              </w:rPr>
            </w:pPr>
            <w:r>
              <w:rPr>
                <w:sz w:val="24"/>
              </w:rPr>
              <w:t>Чіфа</w:t>
            </w:r>
          </w:p>
        </w:tc>
        <w:tc>
          <w:tcPr>
            <w:tcW w:w="1844" w:type="dxa"/>
          </w:tcPr>
          <w:p>
            <w:pPr>
              <w:pStyle w:val="TableParagraph"/>
              <w:tabs>
                <w:tab w:pos="767" w:val="left" w:leader="none"/>
                <w:tab w:pos="1414" w:val="left" w:leader="none"/>
              </w:tabs>
              <w:spacing w:line="268" w:lineRule="exact"/>
              <w:ind w:left="105"/>
              <w:rPr>
                <w:sz w:val="24"/>
              </w:rPr>
            </w:pPr>
            <w:r>
              <w:rPr>
                <w:spacing w:val="-3"/>
                <w:sz w:val="24"/>
              </w:rPr>
              <w:t>Фін</w:t>
              <w:tab/>
            </w:r>
            <w:r>
              <w:rPr>
                <w:sz w:val="24"/>
              </w:rPr>
              <w:t>Ред</w:t>
              <w:tab/>
            </w:r>
            <w:r>
              <w:rPr>
                <w:spacing w:val="-3"/>
                <w:sz w:val="24"/>
              </w:rPr>
              <w:t>АТ</w:t>
            </w:r>
          </w:p>
          <w:p>
            <w:pPr>
              <w:pStyle w:val="TableParagraph"/>
              <w:spacing w:line="261" w:lineRule="exact" w:before="2"/>
              <w:ind w:left="105"/>
              <w:rPr>
                <w:sz w:val="24"/>
              </w:rPr>
            </w:pPr>
            <w:r>
              <w:rPr>
                <w:sz w:val="24"/>
              </w:rPr>
              <w:t>243275672</w:t>
            </w:r>
          </w:p>
        </w:tc>
        <w:tc>
          <w:tcPr>
            <w:tcW w:w="2439" w:type="dxa"/>
          </w:tcPr>
          <w:p>
            <w:pPr>
              <w:pStyle w:val="TableParagraph"/>
              <w:spacing w:line="268" w:lineRule="exact"/>
              <w:ind w:left="148"/>
              <w:rPr>
                <w:sz w:val="24"/>
              </w:rPr>
            </w:pPr>
            <w:r>
              <w:rPr>
                <w:sz w:val="24"/>
              </w:rPr>
              <w:t>Голштинська порода</w:t>
            </w:r>
          </w:p>
        </w:tc>
        <w:tc>
          <w:tcPr>
            <w:tcW w:w="648" w:type="dxa"/>
          </w:tcPr>
          <w:p>
            <w:pPr>
              <w:pStyle w:val="TableParagraph"/>
              <w:spacing w:line="268" w:lineRule="exact"/>
              <w:ind w:left="110"/>
              <w:rPr>
                <w:sz w:val="24"/>
              </w:rPr>
            </w:pPr>
            <w:r>
              <w:rPr>
                <w:sz w:val="24"/>
              </w:rPr>
              <w:t>109</w:t>
            </w:r>
          </w:p>
        </w:tc>
        <w:tc>
          <w:tcPr>
            <w:tcW w:w="485" w:type="dxa"/>
          </w:tcPr>
          <w:p>
            <w:pPr>
              <w:pStyle w:val="TableParagraph"/>
              <w:spacing w:line="268" w:lineRule="exact"/>
              <w:ind w:left="110"/>
              <w:rPr>
                <w:sz w:val="24"/>
              </w:rPr>
            </w:pPr>
            <w:r>
              <w:rPr>
                <w:sz w:val="24"/>
              </w:rPr>
              <w:t>42</w:t>
            </w:r>
          </w:p>
        </w:tc>
        <w:tc>
          <w:tcPr>
            <w:tcW w:w="710" w:type="dxa"/>
          </w:tcPr>
          <w:p>
            <w:pPr>
              <w:pStyle w:val="TableParagraph"/>
              <w:spacing w:line="268" w:lineRule="exact"/>
              <w:ind w:left="111"/>
              <w:rPr>
                <w:sz w:val="24"/>
              </w:rPr>
            </w:pPr>
            <w:r>
              <w:rPr>
                <w:sz w:val="24"/>
              </w:rPr>
              <w:t>9,1</w:t>
            </w:r>
          </w:p>
        </w:tc>
        <w:tc>
          <w:tcPr>
            <w:tcW w:w="706" w:type="dxa"/>
          </w:tcPr>
          <w:p>
            <w:pPr>
              <w:pStyle w:val="TableParagraph"/>
              <w:spacing w:line="268" w:lineRule="exact"/>
              <w:ind w:left="106"/>
              <w:rPr>
                <w:sz w:val="24"/>
              </w:rPr>
            </w:pPr>
            <w:r>
              <w:rPr>
                <w:sz w:val="24"/>
              </w:rPr>
              <w:t>42</w:t>
            </w:r>
          </w:p>
        </w:tc>
        <w:tc>
          <w:tcPr>
            <w:tcW w:w="710" w:type="dxa"/>
          </w:tcPr>
          <w:p>
            <w:pPr>
              <w:pStyle w:val="TableParagraph"/>
              <w:spacing w:line="268" w:lineRule="exact"/>
              <w:ind w:left="111"/>
              <w:rPr>
                <w:sz w:val="24"/>
              </w:rPr>
            </w:pPr>
            <w:r>
              <w:rPr>
                <w:sz w:val="24"/>
              </w:rPr>
              <w:t>67</w:t>
            </w:r>
          </w:p>
        </w:tc>
      </w:tr>
      <w:tr>
        <w:trPr>
          <w:trHeight w:val="551" w:hRule="atLeast"/>
        </w:trPr>
        <w:tc>
          <w:tcPr>
            <w:tcW w:w="1810" w:type="dxa"/>
          </w:tcPr>
          <w:p>
            <w:pPr>
              <w:pStyle w:val="TableParagraph"/>
              <w:spacing w:line="268" w:lineRule="exact"/>
              <w:ind w:left="649" w:right="625"/>
              <w:jc w:val="center"/>
              <w:rPr>
                <w:sz w:val="24"/>
              </w:rPr>
            </w:pPr>
            <w:r>
              <w:rPr>
                <w:sz w:val="24"/>
              </w:rPr>
              <w:t>Чіфа</w:t>
            </w:r>
          </w:p>
        </w:tc>
        <w:tc>
          <w:tcPr>
            <w:tcW w:w="1844" w:type="dxa"/>
          </w:tcPr>
          <w:p>
            <w:pPr>
              <w:pStyle w:val="TableParagraph"/>
              <w:spacing w:line="268" w:lineRule="exact"/>
              <w:ind w:left="105"/>
              <w:rPr>
                <w:sz w:val="24"/>
              </w:rPr>
            </w:pPr>
            <w:r>
              <w:rPr>
                <w:sz w:val="24"/>
              </w:rPr>
              <w:t>Фербос Ред ОЕ</w:t>
            </w:r>
          </w:p>
          <w:p>
            <w:pPr>
              <w:pStyle w:val="TableParagraph"/>
              <w:spacing w:line="261" w:lineRule="exact" w:before="2"/>
              <w:ind w:left="105"/>
              <w:rPr>
                <w:sz w:val="24"/>
              </w:rPr>
            </w:pPr>
            <w:r>
              <w:rPr>
                <w:sz w:val="24"/>
              </w:rPr>
              <w:t>113756207</w:t>
            </w:r>
          </w:p>
        </w:tc>
        <w:tc>
          <w:tcPr>
            <w:tcW w:w="2439" w:type="dxa"/>
          </w:tcPr>
          <w:p>
            <w:pPr>
              <w:pStyle w:val="TableParagraph"/>
              <w:spacing w:line="268" w:lineRule="exact"/>
              <w:ind w:left="110"/>
              <w:rPr>
                <w:sz w:val="24"/>
              </w:rPr>
            </w:pPr>
            <w:r>
              <w:rPr>
                <w:sz w:val="24"/>
              </w:rPr>
              <w:t>Голштинська порода</w:t>
            </w:r>
          </w:p>
        </w:tc>
        <w:tc>
          <w:tcPr>
            <w:tcW w:w="648" w:type="dxa"/>
          </w:tcPr>
          <w:p>
            <w:pPr>
              <w:pStyle w:val="TableParagraph"/>
              <w:spacing w:line="268" w:lineRule="exact"/>
              <w:ind w:left="110"/>
              <w:rPr>
                <w:sz w:val="24"/>
              </w:rPr>
            </w:pPr>
            <w:r>
              <w:rPr>
                <w:sz w:val="24"/>
              </w:rPr>
              <w:t>28</w:t>
            </w:r>
          </w:p>
        </w:tc>
        <w:tc>
          <w:tcPr>
            <w:tcW w:w="485" w:type="dxa"/>
          </w:tcPr>
          <w:p>
            <w:pPr>
              <w:pStyle w:val="TableParagraph"/>
              <w:spacing w:line="268" w:lineRule="exact"/>
              <w:ind w:left="110"/>
              <w:rPr>
                <w:sz w:val="24"/>
              </w:rPr>
            </w:pPr>
            <w:r>
              <w:rPr>
                <w:w w:val="99"/>
                <w:sz w:val="24"/>
              </w:rPr>
              <w:t>-</w:t>
            </w:r>
          </w:p>
        </w:tc>
        <w:tc>
          <w:tcPr>
            <w:tcW w:w="710" w:type="dxa"/>
          </w:tcPr>
          <w:p>
            <w:pPr>
              <w:pStyle w:val="TableParagraph"/>
              <w:spacing w:line="268" w:lineRule="exact"/>
              <w:ind w:left="111"/>
              <w:rPr>
                <w:sz w:val="24"/>
              </w:rPr>
            </w:pPr>
            <w:r>
              <w:rPr>
                <w:w w:val="99"/>
                <w:sz w:val="24"/>
              </w:rPr>
              <w:t>-</w:t>
            </w:r>
          </w:p>
        </w:tc>
        <w:tc>
          <w:tcPr>
            <w:tcW w:w="706" w:type="dxa"/>
          </w:tcPr>
          <w:p>
            <w:pPr>
              <w:pStyle w:val="TableParagraph"/>
              <w:spacing w:line="268" w:lineRule="exact"/>
              <w:ind w:left="106"/>
              <w:rPr>
                <w:sz w:val="24"/>
              </w:rPr>
            </w:pPr>
            <w:r>
              <w:rPr>
                <w:w w:val="99"/>
                <w:sz w:val="24"/>
              </w:rPr>
              <w:t>-</w:t>
            </w:r>
          </w:p>
        </w:tc>
        <w:tc>
          <w:tcPr>
            <w:tcW w:w="710" w:type="dxa"/>
          </w:tcPr>
          <w:p>
            <w:pPr>
              <w:pStyle w:val="TableParagraph"/>
              <w:spacing w:line="268" w:lineRule="exact"/>
              <w:ind w:left="111"/>
              <w:rPr>
                <w:sz w:val="24"/>
              </w:rPr>
            </w:pPr>
            <w:r>
              <w:rPr>
                <w:sz w:val="24"/>
              </w:rPr>
              <w:t>28</w:t>
            </w:r>
          </w:p>
        </w:tc>
      </w:tr>
    </w:tbl>
    <w:p>
      <w:pPr>
        <w:pStyle w:val="BodyText"/>
        <w:spacing w:before="4"/>
        <w:ind w:left="0"/>
        <w:jc w:val="left"/>
        <w:rPr>
          <w:sz w:val="27"/>
        </w:rPr>
      </w:pPr>
    </w:p>
    <w:p>
      <w:pPr>
        <w:pStyle w:val="BodyText"/>
        <w:spacing w:line="242" w:lineRule="auto"/>
        <w:ind w:right="613" w:firstLine="710"/>
      </w:pPr>
      <w:r>
        <w:rPr/>
        <w:t>З таблиці 1 видно, що лінія Цирруса 16497 через бугая Дельфіна 659, 66 корів – 30% Стара через бугая Добряка 137, 9 голів – 4,1%. Лінія Хановера Ред</w:t>
      </w:r>
    </w:p>
    <w:p>
      <w:pPr>
        <w:spacing w:after="0" w:line="242" w:lineRule="auto"/>
        <w:sectPr>
          <w:pgSz w:w="11910" w:h="16840"/>
          <w:pgMar w:header="713" w:footer="778" w:top="1140" w:bottom="960" w:left="940" w:right="520"/>
        </w:sectPr>
      </w:pPr>
    </w:p>
    <w:p>
      <w:pPr>
        <w:pStyle w:val="BodyText"/>
        <w:spacing w:before="92"/>
        <w:ind w:right="607"/>
      </w:pPr>
      <w:r>
        <w:rPr/>
        <w:t>через бугая Надіра 357, його походження голштинська порода 87,5+ЧС 6,3+ЧД 6,2; 19 корів – 8,6%. Кавалера через бугая Лімура 640/1380 походження голштинська порода 89,5 + ЧС 6,3 + ЧД 4,2; 59 корів – 26,8%, це бугаї голштинізованого типу. Лінія Старбака через бугая Ротшенк Ред корів – 25 – 11,4%. Чіфа через бугаїв Фін Ред АТ корів 42 – 19,1% Фербос Ред ОЕ в стаді тільки телички це бугаї голштинської породи. Одже сучасна генеалогічна структура характеризується різноманітністю [7,8].</w:t>
      </w:r>
    </w:p>
    <w:p>
      <w:pPr>
        <w:pStyle w:val="BodyText"/>
        <w:spacing w:before="2" w:after="7"/>
        <w:ind w:left="903" w:right="619"/>
      </w:pPr>
      <w:r>
        <w:rPr/>
        <w:t>У</w:t>
      </w:r>
      <w:r>
        <w:rPr>
          <w:spacing w:val="-4"/>
        </w:rPr>
        <w:t> </w:t>
      </w:r>
      <w:r>
        <w:rPr/>
        <w:t>таблиці</w:t>
      </w:r>
      <w:r>
        <w:rPr>
          <w:spacing w:val="-9"/>
        </w:rPr>
        <w:t> </w:t>
      </w:r>
      <w:r>
        <w:rPr/>
        <w:t>2</w:t>
      </w:r>
      <w:r>
        <w:rPr>
          <w:spacing w:val="-3"/>
        </w:rPr>
        <w:t> </w:t>
      </w:r>
      <w:r>
        <w:rPr/>
        <w:t>представлені</w:t>
      </w:r>
      <w:r>
        <w:rPr>
          <w:spacing w:val="-9"/>
        </w:rPr>
        <w:t> </w:t>
      </w:r>
      <w:r>
        <w:rPr/>
        <w:t>показники</w:t>
      </w:r>
      <w:r>
        <w:rPr>
          <w:spacing w:val="2"/>
        </w:rPr>
        <w:t> </w:t>
      </w:r>
      <w:r>
        <w:rPr/>
        <w:t>продуктивні</w:t>
      </w:r>
      <w:r>
        <w:rPr>
          <w:spacing w:val="-8"/>
        </w:rPr>
        <w:t> </w:t>
      </w:r>
      <w:r>
        <w:rPr/>
        <w:t>якості</w:t>
      </w:r>
      <w:r>
        <w:rPr>
          <w:spacing w:val="-8"/>
        </w:rPr>
        <w:t> </w:t>
      </w:r>
      <w:r>
        <w:rPr/>
        <w:t>корів</w:t>
      </w:r>
      <w:r>
        <w:rPr>
          <w:spacing w:val="-6"/>
        </w:rPr>
        <w:t> </w:t>
      </w:r>
      <w:r>
        <w:rPr/>
        <w:t>різних</w:t>
      </w:r>
      <w:r>
        <w:rPr>
          <w:spacing w:val="-7"/>
        </w:rPr>
        <w:t> </w:t>
      </w:r>
      <w:r>
        <w:rPr/>
        <w:t>ліній. Таблиця 2. Продуктивні якості корів різних ліній</w:t>
      </w:r>
      <w:r>
        <w:rPr>
          <w:spacing w:val="-9"/>
        </w:rPr>
        <w:t> </w:t>
      </w:r>
      <w:r>
        <w:rPr/>
        <w:t>Х±Sх</w:t>
      </w:r>
    </w:p>
    <w:tbl>
      <w:tblPr>
        <w:tblW w:w="0" w:type="auto"/>
        <w:jc w:val="left"/>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1095"/>
        <w:gridCol w:w="82"/>
        <w:gridCol w:w="1018"/>
        <w:gridCol w:w="1162"/>
        <w:gridCol w:w="1162"/>
        <w:gridCol w:w="1047"/>
        <w:gridCol w:w="1153"/>
        <w:gridCol w:w="1047"/>
        <w:gridCol w:w="1224"/>
      </w:tblGrid>
      <w:tr>
        <w:trPr>
          <w:trHeight w:val="273" w:hRule="atLeast"/>
        </w:trPr>
        <w:tc>
          <w:tcPr>
            <w:tcW w:w="1570" w:type="dxa"/>
            <w:gridSpan w:val="2"/>
            <w:vMerge w:val="restart"/>
          </w:tcPr>
          <w:p>
            <w:pPr>
              <w:pStyle w:val="TableParagraph"/>
              <w:spacing w:line="268" w:lineRule="exact"/>
              <w:ind w:left="177"/>
              <w:rPr>
                <w:sz w:val="24"/>
              </w:rPr>
            </w:pPr>
            <w:r>
              <w:rPr>
                <w:sz w:val="24"/>
              </w:rPr>
              <w:t>Група корів</w:t>
            </w:r>
          </w:p>
        </w:tc>
        <w:tc>
          <w:tcPr>
            <w:tcW w:w="1100" w:type="dxa"/>
            <w:gridSpan w:val="2"/>
            <w:vMerge w:val="restart"/>
          </w:tcPr>
          <w:p>
            <w:pPr>
              <w:pStyle w:val="TableParagraph"/>
              <w:ind w:left="153" w:right="137" w:hanging="8"/>
              <w:jc w:val="center"/>
              <w:rPr>
                <w:sz w:val="24"/>
              </w:rPr>
            </w:pPr>
            <w:r>
              <w:rPr>
                <w:sz w:val="24"/>
              </w:rPr>
              <w:t>Надій молока, кг</w:t>
            </w:r>
          </w:p>
        </w:tc>
        <w:tc>
          <w:tcPr>
            <w:tcW w:w="4524" w:type="dxa"/>
            <w:gridSpan w:val="4"/>
          </w:tcPr>
          <w:p>
            <w:pPr>
              <w:pStyle w:val="TableParagraph"/>
              <w:spacing w:line="253" w:lineRule="exact"/>
              <w:ind w:left="1344"/>
              <w:rPr>
                <w:sz w:val="24"/>
              </w:rPr>
            </w:pPr>
            <w:r>
              <w:rPr>
                <w:sz w:val="24"/>
              </w:rPr>
              <w:t>Вміст та кількість</w:t>
            </w:r>
          </w:p>
        </w:tc>
        <w:tc>
          <w:tcPr>
            <w:tcW w:w="1047" w:type="dxa"/>
            <w:vMerge w:val="restart"/>
          </w:tcPr>
          <w:p>
            <w:pPr>
              <w:pStyle w:val="TableParagraph"/>
              <w:spacing w:line="237" w:lineRule="auto"/>
              <w:ind w:left="114" w:right="96" w:firstLine="120"/>
              <w:rPr>
                <w:sz w:val="24"/>
              </w:rPr>
            </w:pPr>
            <w:r>
              <w:rPr>
                <w:sz w:val="24"/>
              </w:rPr>
              <w:t>Жива маса, кг</w:t>
            </w:r>
          </w:p>
        </w:tc>
        <w:tc>
          <w:tcPr>
            <w:tcW w:w="1224" w:type="dxa"/>
            <w:vMerge w:val="restart"/>
            <w:tcBorders>
              <w:right w:val="single" w:sz="6" w:space="0" w:color="000000"/>
            </w:tcBorders>
          </w:tcPr>
          <w:p>
            <w:pPr>
              <w:pStyle w:val="TableParagraph"/>
              <w:ind w:left="162" w:right="155" w:firstLine="5"/>
              <w:jc w:val="center"/>
              <w:rPr>
                <w:sz w:val="24"/>
              </w:rPr>
            </w:pPr>
            <w:r>
              <w:rPr>
                <w:sz w:val="24"/>
              </w:rPr>
              <w:t>Оцінка </w:t>
            </w:r>
            <w:r>
              <w:rPr>
                <w:spacing w:val="-1"/>
                <w:sz w:val="24"/>
              </w:rPr>
              <w:t>тілобудо </w:t>
            </w:r>
            <w:r>
              <w:rPr>
                <w:sz w:val="24"/>
              </w:rPr>
              <w:t>ви бал</w:t>
            </w:r>
          </w:p>
        </w:tc>
      </w:tr>
      <w:tr>
        <w:trPr>
          <w:trHeight w:val="278" w:hRule="atLeast"/>
        </w:trPr>
        <w:tc>
          <w:tcPr>
            <w:tcW w:w="1570" w:type="dxa"/>
            <w:gridSpan w:val="2"/>
            <w:vMerge/>
            <w:tcBorders>
              <w:top w:val="nil"/>
            </w:tcBorders>
          </w:tcPr>
          <w:p>
            <w:pPr>
              <w:rPr>
                <w:sz w:val="2"/>
                <w:szCs w:val="2"/>
              </w:rPr>
            </w:pPr>
          </w:p>
        </w:tc>
        <w:tc>
          <w:tcPr>
            <w:tcW w:w="1100" w:type="dxa"/>
            <w:gridSpan w:val="2"/>
            <w:vMerge/>
            <w:tcBorders>
              <w:top w:val="nil"/>
            </w:tcBorders>
          </w:tcPr>
          <w:p>
            <w:pPr>
              <w:rPr>
                <w:sz w:val="2"/>
                <w:szCs w:val="2"/>
              </w:rPr>
            </w:pPr>
          </w:p>
        </w:tc>
        <w:tc>
          <w:tcPr>
            <w:tcW w:w="4524" w:type="dxa"/>
            <w:gridSpan w:val="4"/>
          </w:tcPr>
          <w:p>
            <w:pPr>
              <w:pStyle w:val="TableParagraph"/>
              <w:spacing w:line="258" w:lineRule="exact"/>
              <w:ind w:left="1660" w:right="1652"/>
              <w:jc w:val="center"/>
              <w:rPr>
                <w:sz w:val="24"/>
              </w:rPr>
            </w:pPr>
            <w:r>
              <w:rPr>
                <w:sz w:val="24"/>
              </w:rPr>
              <w:t>Молочного</w:t>
            </w:r>
          </w:p>
        </w:tc>
        <w:tc>
          <w:tcPr>
            <w:tcW w:w="1047" w:type="dxa"/>
            <w:vMerge/>
            <w:tcBorders>
              <w:top w:val="nil"/>
            </w:tcBorders>
          </w:tcPr>
          <w:p>
            <w:pPr>
              <w:rPr>
                <w:sz w:val="2"/>
                <w:szCs w:val="2"/>
              </w:rPr>
            </w:pPr>
          </w:p>
        </w:tc>
        <w:tc>
          <w:tcPr>
            <w:tcW w:w="1224" w:type="dxa"/>
            <w:vMerge/>
            <w:tcBorders>
              <w:top w:val="nil"/>
              <w:right w:val="single" w:sz="6" w:space="0" w:color="000000"/>
            </w:tcBorders>
          </w:tcPr>
          <w:p>
            <w:pPr>
              <w:rPr>
                <w:sz w:val="2"/>
                <w:szCs w:val="2"/>
              </w:rPr>
            </w:pPr>
          </w:p>
        </w:tc>
      </w:tr>
      <w:tr>
        <w:trPr>
          <w:trHeight w:val="278" w:hRule="atLeast"/>
        </w:trPr>
        <w:tc>
          <w:tcPr>
            <w:tcW w:w="1570" w:type="dxa"/>
            <w:gridSpan w:val="2"/>
            <w:vMerge/>
            <w:tcBorders>
              <w:top w:val="nil"/>
            </w:tcBorders>
          </w:tcPr>
          <w:p>
            <w:pPr>
              <w:rPr>
                <w:sz w:val="2"/>
                <w:szCs w:val="2"/>
              </w:rPr>
            </w:pPr>
          </w:p>
        </w:tc>
        <w:tc>
          <w:tcPr>
            <w:tcW w:w="1100" w:type="dxa"/>
            <w:gridSpan w:val="2"/>
            <w:vMerge/>
            <w:tcBorders>
              <w:top w:val="nil"/>
            </w:tcBorders>
          </w:tcPr>
          <w:p>
            <w:pPr>
              <w:rPr>
                <w:sz w:val="2"/>
                <w:szCs w:val="2"/>
              </w:rPr>
            </w:pPr>
          </w:p>
        </w:tc>
        <w:tc>
          <w:tcPr>
            <w:tcW w:w="2324" w:type="dxa"/>
            <w:gridSpan w:val="2"/>
          </w:tcPr>
          <w:p>
            <w:pPr>
              <w:pStyle w:val="TableParagraph"/>
              <w:spacing w:line="258" w:lineRule="exact"/>
              <w:ind w:left="851" w:right="838"/>
              <w:jc w:val="center"/>
              <w:rPr>
                <w:sz w:val="24"/>
              </w:rPr>
            </w:pPr>
            <w:r>
              <w:rPr>
                <w:sz w:val="24"/>
              </w:rPr>
              <w:t>Жиру</w:t>
            </w:r>
          </w:p>
        </w:tc>
        <w:tc>
          <w:tcPr>
            <w:tcW w:w="2200" w:type="dxa"/>
            <w:gridSpan w:val="2"/>
          </w:tcPr>
          <w:p>
            <w:pPr>
              <w:pStyle w:val="TableParagraph"/>
              <w:spacing w:line="258" w:lineRule="exact"/>
              <w:ind w:left="800" w:right="788"/>
              <w:jc w:val="center"/>
              <w:rPr>
                <w:sz w:val="24"/>
              </w:rPr>
            </w:pPr>
            <w:r>
              <w:rPr>
                <w:sz w:val="24"/>
              </w:rPr>
              <w:t>Білку</w:t>
            </w:r>
          </w:p>
        </w:tc>
        <w:tc>
          <w:tcPr>
            <w:tcW w:w="1047" w:type="dxa"/>
            <w:vMerge/>
            <w:tcBorders>
              <w:top w:val="nil"/>
            </w:tcBorders>
          </w:tcPr>
          <w:p>
            <w:pPr>
              <w:rPr>
                <w:sz w:val="2"/>
                <w:szCs w:val="2"/>
              </w:rPr>
            </w:pPr>
          </w:p>
        </w:tc>
        <w:tc>
          <w:tcPr>
            <w:tcW w:w="1224" w:type="dxa"/>
            <w:vMerge/>
            <w:tcBorders>
              <w:top w:val="nil"/>
              <w:right w:val="single" w:sz="6" w:space="0" w:color="000000"/>
            </w:tcBorders>
          </w:tcPr>
          <w:p>
            <w:pPr>
              <w:rPr>
                <w:sz w:val="2"/>
                <w:szCs w:val="2"/>
              </w:rPr>
            </w:pPr>
          </w:p>
        </w:tc>
      </w:tr>
      <w:tr>
        <w:trPr>
          <w:trHeight w:val="273" w:hRule="atLeast"/>
        </w:trPr>
        <w:tc>
          <w:tcPr>
            <w:tcW w:w="1570" w:type="dxa"/>
            <w:gridSpan w:val="2"/>
            <w:vMerge/>
            <w:tcBorders>
              <w:top w:val="nil"/>
            </w:tcBorders>
          </w:tcPr>
          <w:p>
            <w:pPr>
              <w:rPr>
                <w:sz w:val="2"/>
                <w:szCs w:val="2"/>
              </w:rPr>
            </w:pPr>
          </w:p>
        </w:tc>
        <w:tc>
          <w:tcPr>
            <w:tcW w:w="1100" w:type="dxa"/>
            <w:gridSpan w:val="2"/>
            <w:vMerge/>
            <w:tcBorders>
              <w:top w:val="nil"/>
            </w:tcBorders>
          </w:tcPr>
          <w:p>
            <w:pPr>
              <w:rPr>
                <w:sz w:val="2"/>
                <w:szCs w:val="2"/>
              </w:rPr>
            </w:pPr>
          </w:p>
        </w:tc>
        <w:tc>
          <w:tcPr>
            <w:tcW w:w="1162" w:type="dxa"/>
          </w:tcPr>
          <w:p>
            <w:pPr>
              <w:pStyle w:val="TableParagraph"/>
              <w:spacing w:line="253" w:lineRule="exact"/>
              <w:ind w:left="6"/>
              <w:jc w:val="center"/>
              <w:rPr>
                <w:sz w:val="24"/>
              </w:rPr>
            </w:pPr>
            <w:r>
              <w:rPr>
                <w:w w:val="99"/>
                <w:sz w:val="24"/>
              </w:rPr>
              <w:t>%</w:t>
            </w:r>
          </w:p>
        </w:tc>
        <w:tc>
          <w:tcPr>
            <w:tcW w:w="1162" w:type="dxa"/>
          </w:tcPr>
          <w:p>
            <w:pPr>
              <w:pStyle w:val="TableParagraph"/>
              <w:spacing w:line="253" w:lineRule="exact"/>
              <w:ind w:left="192" w:right="182"/>
              <w:jc w:val="center"/>
              <w:rPr>
                <w:sz w:val="24"/>
              </w:rPr>
            </w:pPr>
            <w:r>
              <w:rPr>
                <w:sz w:val="24"/>
              </w:rPr>
              <w:t>кг</w:t>
            </w:r>
          </w:p>
        </w:tc>
        <w:tc>
          <w:tcPr>
            <w:tcW w:w="1047" w:type="dxa"/>
          </w:tcPr>
          <w:p>
            <w:pPr>
              <w:pStyle w:val="TableParagraph"/>
              <w:spacing w:line="253" w:lineRule="exact"/>
              <w:ind w:left="7"/>
              <w:jc w:val="center"/>
              <w:rPr>
                <w:sz w:val="24"/>
              </w:rPr>
            </w:pPr>
            <w:r>
              <w:rPr>
                <w:w w:val="99"/>
                <w:sz w:val="24"/>
              </w:rPr>
              <w:t>%</w:t>
            </w:r>
          </w:p>
        </w:tc>
        <w:tc>
          <w:tcPr>
            <w:tcW w:w="1153" w:type="dxa"/>
          </w:tcPr>
          <w:p>
            <w:pPr>
              <w:pStyle w:val="TableParagraph"/>
              <w:spacing w:line="253" w:lineRule="exact"/>
              <w:ind w:left="370" w:right="370"/>
              <w:jc w:val="center"/>
              <w:rPr>
                <w:sz w:val="24"/>
              </w:rPr>
            </w:pPr>
            <w:r>
              <w:rPr>
                <w:sz w:val="24"/>
              </w:rPr>
              <w:t>кг</w:t>
            </w:r>
          </w:p>
        </w:tc>
        <w:tc>
          <w:tcPr>
            <w:tcW w:w="1047" w:type="dxa"/>
            <w:vMerge/>
            <w:tcBorders>
              <w:top w:val="nil"/>
            </w:tcBorders>
          </w:tcPr>
          <w:p>
            <w:pPr>
              <w:rPr>
                <w:sz w:val="2"/>
                <w:szCs w:val="2"/>
              </w:rPr>
            </w:pPr>
          </w:p>
        </w:tc>
        <w:tc>
          <w:tcPr>
            <w:tcW w:w="1224" w:type="dxa"/>
            <w:vMerge/>
            <w:tcBorders>
              <w:top w:val="nil"/>
              <w:right w:val="single" w:sz="6" w:space="0" w:color="000000"/>
            </w:tcBorders>
          </w:tcPr>
          <w:p>
            <w:pPr>
              <w:rPr>
                <w:sz w:val="2"/>
                <w:szCs w:val="2"/>
              </w:rPr>
            </w:pPr>
          </w:p>
        </w:tc>
      </w:tr>
      <w:tr>
        <w:trPr>
          <w:trHeight w:val="321" w:hRule="atLeast"/>
        </w:trPr>
        <w:tc>
          <w:tcPr>
            <w:tcW w:w="9465" w:type="dxa"/>
            <w:gridSpan w:val="10"/>
            <w:tcBorders>
              <w:right w:val="single" w:sz="6" w:space="0" w:color="000000"/>
            </w:tcBorders>
          </w:tcPr>
          <w:p>
            <w:pPr>
              <w:pStyle w:val="TableParagraph"/>
              <w:spacing w:line="301" w:lineRule="exact"/>
              <w:ind w:left="2511" w:right="2512"/>
              <w:jc w:val="center"/>
              <w:rPr>
                <w:sz w:val="28"/>
              </w:rPr>
            </w:pPr>
            <w:r>
              <w:rPr>
                <w:sz w:val="28"/>
              </w:rPr>
              <w:t>Лінія Цирруса 16497, б. Дельфін 659</w:t>
            </w:r>
          </w:p>
        </w:tc>
      </w:tr>
      <w:tr>
        <w:trPr>
          <w:trHeight w:val="551" w:hRule="atLeast"/>
        </w:trPr>
        <w:tc>
          <w:tcPr>
            <w:tcW w:w="1570" w:type="dxa"/>
            <w:gridSpan w:val="2"/>
          </w:tcPr>
          <w:p>
            <w:pPr>
              <w:pStyle w:val="TableParagraph"/>
              <w:spacing w:line="268" w:lineRule="exact"/>
              <w:ind w:left="101" w:right="101"/>
              <w:jc w:val="center"/>
              <w:rPr>
                <w:sz w:val="24"/>
              </w:rPr>
            </w:pPr>
            <w:r>
              <w:rPr>
                <w:sz w:val="24"/>
              </w:rPr>
              <w:t>Лактація</w:t>
            </w:r>
          </w:p>
          <w:p>
            <w:pPr>
              <w:pStyle w:val="TableParagraph"/>
              <w:spacing w:line="261" w:lineRule="exact" w:before="2"/>
              <w:ind w:left="109" w:right="101"/>
              <w:jc w:val="center"/>
              <w:rPr>
                <w:sz w:val="24"/>
              </w:rPr>
            </w:pPr>
            <w:r>
              <w:rPr>
                <w:sz w:val="24"/>
              </w:rPr>
              <w:t>Перша Х±Sх</w:t>
            </w:r>
          </w:p>
        </w:tc>
        <w:tc>
          <w:tcPr>
            <w:tcW w:w="1100" w:type="dxa"/>
            <w:gridSpan w:val="2"/>
          </w:tcPr>
          <w:p>
            <w:pPr>
              <w:pStyle w:val="TableParagraph"/>
              <w:spacing w:line="268" w:lineRule="exact"/>
              <w:ind w:left="215"/>
              <w:rPr>
                <w:sz w:val="24"/>
              </w:rPr>
            </w:pPr>
            <w:r>
              <w:rPr>
                <w:sz w:val="24"/>
              </w:rPr>
              <w:t>3880 ±</w:t>
            </w:r>
          </w:p>
          <w:p>
            <w:pPr>
              <w:pStyle w:val="TableParagraph"/>
              <w:spacing w:line="261" w:lineRule="exact" w:before="2"/>
              <w:ind w:left="283"/>
              <w:rPr>
                <w:sz w:val="24"/>
              </w:rPr>
            </w:pPr>
            <w:r>
              <w:rPr>
                <w:sz w:val="24"/>
              </w:rPr>
              <w:t>122,5</w:t>
            </w:r>
          </w:p>
        </w:tc>
        <w:tc>
          <w:tcPr>
            <w:tcW w:w="1162" w:type="dxa"/>
          </w:tcPr>
          <w:p>
            <w:pPr>
              <w:pStyle w:val="TableParagraph"/>
              <w:spacing w:line="268" w:lineRule="exact"/>
              <w:ind w:left="369"/>
              <w:rPr>
                <w:sz w:val="24"/>
              </w:rPr>
            </w:pPr>
            <w:r>
              <w:rPr>
                <w:sz w:val="24"/>
              </w:rPr>
              <w:t>3,98</w:t>
            </w:r>
          </w:p>
          <w:p>
            <w:pPr>
              <w:pStyle w:val="TableParagraph"/>
              <w:spacing w:line="261" w:lineRule="exact" w:before="2"/>
              <w:ind w:left="306"/>
              <w:rPr>
                <w:sz w:val="24"/>
              </w:rPr>
            </w:pPr>
            <w:r>
              <w:rPr>
                <w:sz w:val="24"/>
              </w:rPr>
              <w:t>±0,04</w:t>
            </w:r>
          </w:p>
        </w:tc>
        <w:tc>
          <w:tcPr>
            <w:tcW w:w="1162" w:type="dxa"/>
          </w:tcPr>
          <w:p>
            <w:pPr>
              <w:pStyle w:val="TableParagraph"/>
              <w:spacing w:line="268" w:lineRule="exact"/>
              <w:ind w:left="197" w:right="182"/>
              <w:jc w:val="center"/>
              <w:rPr>
                <w:sz w:val="24"/>
              </w:rPr>
            </w:pPr>
            <w:r>
              <w:rPr>
                <w:sz w:val="24"/>
              </w:rPr>
              <w:t>154,4 ±</w:t>
            </w:r>
          </w:p>
          <w:p>
            <w:pPr>
              <w:pStyle w:val="TableParagraph"/>
              <w:spacing w:line="261" w:lineRule="exact" w:before="2"/>
              <w:ind w:left="195" w:right="182"/>
              <w:jc w:val="center"/>
              <w:rPr>
                <w:sz w:val="24"/>
              </w:rPr>
            </w:pPr>
            <w:r>
              <w:rPr>
                <w:sz w:val="24"/>
              </w:rPr>
              <w:t>4,6</w:t>
            </w:r>
          </w:p>
        </w:tc>
        <w:tc>
          <w:tcPr>
            <w:tcW w:w="1047" w:type="dxa"/>
          </w:tcPr>
          <w:p>
            <w:pPr>
              <w:pStyle w:val="TableParagraph"/>
              <w:spacing w:line="268" w:lineRule="exact"/>
              <w:ind w:left="316"/>
              <w:rPr>
                <w:sz w:val="24"/>
              </w:rPr>
            </w:pPr>
            <w:r>
              <w:rPr>
                <w:sz w:val="24"/>
              </w:rPr>
              <w:t>3,24</w:t>
            </w:r>
          </w:p>
          <w:p>
            <w:pPr>
              <w:pStyle w:val="TableParagraph"/>
              <w:spacing w:line="261" w:lineRule="exact" w:before="2"/>
              <w:ind w:left="186"/>
              <w:rPr>
                <w:sz w:val="24"/>
              </w:rPr>
            </w:pPr>
            <w:r>
              <w:rPr>
                <w:sz w:val="24"/>
              </w:rPr>
              <w:t>±0,009</w:t>
            </w:r>
          </w:p>
        </w:tc>
        <w:tc>
          <w:tcPr>
            <w:tcW w:w="1153" w:type="dxa"/>
          </w:tcPr>
          <w:p>
            <w:pPr>
              <w:pStyle w:val="TableParagraph"/>
              <w:spacing w:line="268" w:lineRule="exact"/>
              <w:ind w:left="301"/>
              <w:rPr>
                <w:sz w:val="24"/>
              </w:rPr>
            </w:pPr>
            <w:r>
              <w:rPr>
                <w:sz w:val="24"/>
              </w:rPr>
              <w:t>125,5</w:t>
            </w:r>
          </w:p>
          <w:p>
            <w:pPr>
              <w:pStyle w:val="TableParagraph"/>
              <w:spacing w:line="261" w:lineRule="exact" w:before="2"/>
              <w:ind w:left="359"/>
              <w:rPr>
                <w:sz w:val="24"/>
              </w:rPr>
            </w:pPr>
            <w:r>
              <w:rPr>
                <w:sz w:val="24"/>
              </w:rPr>
              <w:t>±4,0</w:t>
            </w:r>
          </w:p>
        </w:tc>
        <w:tc>
          <w:tcPr>
            <w:tcW w:w="1047" w:type="dxa"/>
          </w:tcPr>
          <w:p>
            <w:pPr>
              <w:pStyle w:val="TableParagraph"/>
              <w:spacing w:line="268" w:lineRule="exact"/>
              <w:ind w:left="339"/>
              <w:rPr>
                <w:sz w:val="24"/>
              </w:rPr>
            </w:pPr>
            <w:r>
              <w:rPr>
                <w:sz w:val="24"/>
              </w:rPr>
              <w:t>492</w:t>
            </w:r>
          </w:p>
          <w:p>
            <w:pPr>
              <w:pStyle w:val="TableParagraph"/>
              <w:spacing w:line="261" w:lineRule="exact" w:before="2"/>
              <w:ind w:left="301"/>
              <w:rPr>
                <w:sz w:val="24"/>
              </w:rPr>
            </w:pPr>
            <w:r>
              <w:rPr>
                <w:sz w:val="24"/>
              </w:rPr>
              <w:t>±6,2</w:t>
            </w:r>
          </w:p>
        </w:tc>
        <w:tc>
          <w:tcPr>
            <w:tcW w:w="1224" w:type="dxa"/>
            <w:tcBorders>
              <w:right w:val="single" w:sz="6" w:space="0" w:color="000000"/>
            </w:tcBorders>
          </w:tcPr>
          <w:p>
            <w:pPr>
              <w:pStyle w:val="TableParagraph"/>
              <w:spacing w:line="268" w:lineRule="exact"/>
              <w:ind w:left="464"/>
              <w:rPr>
                <w:sz w:val="24"/>
              </w:rPr>
            </w:pPr>
            <w:r>
              <w:rPr>
                <w:sz w:val="24"/>
              </w:rPr>
              <w:t>9,0</w:t>
            </w:r>
          </w:p>
        </w:tc>
      </w:tr>
      <w:tr>
        <w:trPr>
          <w:trHeight w:val="278" w:hRule="atLeast"/>
        </w:trPr>
        <w:tc>
          <w:tcPr>
            <w:tcW w:w="475" w:type="dxa"/>
            <w:vMerge w:val="restart"/>
            <w:textDirection w:val="btLr"/>
          </w:tcPr>
          <w:p>
            <w:pPr>
              <w:pStyle w:val="TableParagraph"/>
              <w:spacing w:before="107"/>
              <w:ind w:left="86"/>
              <w:rPr>
                <w:sz w:val="24"/>
              </w:rPr>
            </w:pPr>
            <w:r>
              <w:rPr>
                <w:sz w:val="24"/>
              </w:rPr>
              <w:t>Показники</w:t>
            </w:r>
          </w:p>
        </w:tc>
        <w:tc>
          <w:tcPr>
            <w:tcW w:w="1095" w:type="dxa"/>
          </w:tcPr>
          <w:p>
            <w:pPr>
              <w:pStyle w:val="TableParagraph"/>
              <w:spacing w:line="259" w:lineRule="exact"/>
              <w:ind w:left="284" w:right="276"/>
              <w:jc w:val="center"/>
              <w:rPr>
                <w:sz w:val="24"/>
              </w:rPr>
            </w:pPr>
            <w:r>
              <w:rPr>
                <w:sz w:val="24"/>
              </w:rPr>
              <w:t>±õ</w:t>
            </w:r>
          </w:p>
        </w:tc>
        <w:tc>
          <w:tcPr>
            <w:tcW w:w="1100" w:type="dxa"/>
            <w:gridSpan w:val="2"/>
          </w:tcPr>
          <w:p>
            <w:pPr>
              <w:pStyle w:val="TableParagraph"/>
              <w:spacing w:line="259" w:lineRule="exact"/>
              <w:ind w:left="283"/>
              <w:rPr>
                <w:sz w:val="24"/>
              </w:rPr>
            </w:pPr>
            <w:r>
              <w:rPr>
                <w:sz w:val="24"/>
              </w:rPr>
              <w:t>612,0</w:t>
            </w:r>
          </w:p>
        </w:tc>
        <w:tc>
          <w:tcPr>
            <w:tcW w:w="1162" w:type="dxa"/>
          </w:tcPr>
          <w:p>
            <w:pPr>
              <w:pStyle w:val="TableParagraph"/>
              <w:spacing w:line="259" w:lineRule="exact"/>
              <w:ind w:left="197" w:right="179"/>
              <w:jc w:val="center"/>
              <w:rPr>
                <w:sz w:val="24"/>
              </w:rPr>
            </w:pPr>
            <w:r>
              <w:rPr>
                <w:sz w:val="24"/>
              </w:rPr>
              <w:t>0,21</w:t>
            </w:r>
          </w:p>
        </w:tc>
        <w:tc>
          <w:tcPr>
            <w:tcW w:w="1162" w:type="dxa"/>
          </w:tcPr>
          <w:p>
            <w:pPr>
              <w:pStyle w:val="TableParagraph"/>
              <w:spacing w:line="259" w:lineRule="exact"/>
              <w:ind w:left="197" w:right="179"/>
              <w:jc w:val="center"/>
              <w:rPr>
                <w:sz w:val="24"/>
              </w:rPr>
            </w:pPr>
            <w:r>
              <w:rPr>
                <w:sz w:val="24"/>
              </w:rPr>
              <w:t>23,1</w:t>
            </w:r>
          </w:p>
        </w:tc>
        <w:tc>
          <w:tcPr>
            <w:tcW w:w="1047" w:type="dxa"/>
          </w:tcPr>
          <w:p>
            <w:pPr>
              <w:pStyle w:val="TableParagraph"/>
              <w:spacing w:line="259" w:lineRule="exact"/>
              <w:ind w:left="255" w:right="237"/>
              <w:jc w:val="center"/>
              <w:rPr>
                <w:sz w:val="24"/>
              </w:rPr>
            </w:pPr>
            <w:r>
              <w:rPr>
                <w:sz w:val="24"/>
              </w:rPr>
              <w:t>0,05</w:t>
            </w:r>
          </w:p>
        </w:tc>
        <w:tc>
          <w:tcPr>
            <w:tcW w:w="1153" w:type="dxa"/>
          </w:tcPr>
          <w:p>
            <w:pPr>
              <w:pStyle w:val="TableParagraph"/>
              <w:spacing w:line="259" w:lineRule="exact"/>
              <w:ind w:left="373" w:right="365"/>
              <w:jc w:val="center"/>
              <w:rPr>
                <w:sz w:val="24"/>
              </w:rPr>
            </w:pPr>
            <w:r>
              <w:rPr>
                <w:sz w:val="24"/>
              </w:rPr>
              <w:t>20</w:t>
            </w:r>
          </w:p>
        </w:tc>
        <w:tc>
          <w:tcPr>
            <w:tcW w:w="1047" w:type="dxa"/>
          </w:tcPr>
          <w:p>
            <w:pPr>
              <w:pStyle w:val="TableParagraph"/>
              <w:spacing w:line="259" w:lineRule="exact"/>
              <w:ind w:right="397"/>
              <w:jc w:val="right"/>
              <w:rPr>
                <w:sz w:val="24"/>
              </w:rPr>
            </w:pPr>
            <w:r>
              <w:rPr>
                <w:sz w:val="24"/>
              </w:rPr>
              <w:t>31</w:t>
            </w:r>
          </w:p>
        </w:tc>
        <w:tc>
          <w:tcPr>
            <w:tcW w:w="1224" w:type="dxa"/>
            <w:vMerge w:val="restart"/>
            <w:tcBorders>
              <w:right w:val="single" w:sz="6" w:space="0" w:color="000000"/>
            </w:tcBorders>
          </w:tcPr>
          <w:p>
            <w:pPr>
              <w:pStyle w:val="TableParagraph"/>
              <w:spacing w:line="268" w:lineRule="exact"/>
              <w:ind w:left="10"/>
              <w:jc w:val="center"/>
              <w:rPr>
                <w:sz w:val="24"/>
              </w:rPr>
            </w:pPr>
            <w:r>
              <w:rPr>
                <w:sz w:val="24"/>
              </w:rPr>
              <w:t>х</w:t>
            </w:r>
          </w:p>
        </w:tc>
      </w:tr>
      <w:tr>
        <w:trPr>
          <w:trHeight w:val="277" w:hRule="atLeast"/>
        </w:trPr>
        <w:tc>
          <w:tcPr>
            <w:tcW w:w="475" w:type="dxa"/>
            <w:vMerge/>
            <w:tcBorders>
              <w:top w:val="nil"/>
            </w:tcBorders>
            <w:textDirection w:val="btLr"/>
          </w:tcPr>
          <w:p>
            <w:pPr>
              <w:rPr>
                <w:sz w:val="2"/>
                <w:szCs w:val="2"/>
              </w:rPr>
            </w:pPr>
          </w:p>
        </w:tc>
        <w:tc>
          <w:tcPr>
            <w:tcW w:w="1095" w:type="dxa"/>
          </w:tcPr>
          <w:p>
            <w:pPr>
              <w:pStyle w:val="TableParagraph"/>
              <w:spacing w:line="258" w:lineRule="exact"/>
              <w:ind w:left="284" w:right="281"/>
              <w:jc w:val="center"/>
              <w:rPr>
                <w:sz w:val="24"/>
              </w:rPr>
            </w:pPr>
            <w:r>
              <w:rPr>
                <w:sz w:val="24"/>
              </w:rPr>
              <w:t>Cv%</w:t>
            </w:r>
          </w:p>
        </w:tc>
        <w:tc>
          <w:tcPr>
            <w:tcW w:w="1100" w:type="dxa"/>
            <w:gridSpan w:val="2"/>
          </w:tcPr>
          <w:p>
            <w:pPr>
              <w:pStyle w:val="TableParagraph"/>
              <w:spacing w:line="258" w:lineRule="exact"/>
              <w:ind w:left="283"/>
              <w:rPr>
                <w:sz w:val="24"/>
              </w:rPr>
            </w:pPr>
            <w:r>
              <w:rPr>
                <w:sz w:val="24"/>
              </w:rPr>
              <w:t>15,96</w:t>
            </w:r>
          </w:p>
        </w:tc>
        <w:tc>
          <w:tcPr>
            <w:tcW w:w="1162" w:type="dxa"/>
          </w:tcPr>
          <w:p>
            <w:pPr>
              <w:pStyle w:val="TableParagraph"/>
              <w:spacing w:line="258" w:lineRule="exact"/>
              <w:ind w:left="195" w:right="182"/>
              <w:jc w:val="center"/>
              <w:rPr>
                <w:sz w:val="24"/>
              </w:rPr>
            </w:pPr>
            <w:r>
              <w:rPr>
                <w:sz w:val="24"/>
              </w:rPr>
              <w:t>5,3</w:t>
            </w:r>
          </w:p>
        </w:tc>
        <w:tc>
          <w:tcPr>
            <w:tcW w:w="1162" w:type="dxa"/>
          </w:tcPr>
          <w:p>
            <w:pPr>
              <w:pStyle w:val="TableParagraph"/>
              <w:spacing w:line="258" w:lineRule="exact"/>
              <w:ind w:left="195" w:right="182"/>
              <w:jc w:val="center"/>
              <w:rPr>
                <w:sz w:val="24"/>
              </w:rPr>
            </w:pPr>
            <w:r>
              <w:rPr>
                <w:sz w:val="24"/>
              </w:rPr>
              <w:t>14,96</w:t>
            </w:r>
          </w:p>
        </w:tc>
        <w:tc>
          <w:tcPr>
            <w:tcW w:w="1047" w:type="dxa"/>
          </w:tcPr>
          <w:p>
            <w:pPr>
              <w:pStyle w:val="TableParagraph"/>
              <w:spacing w:line="258" w:lineRule="exact"/>
              <w:ind w:left="255" w:right="237"/>
              <w:jc w:val="center"/>
              <w:rPr>
                <w:sz w:val="24"/>
              </w:rPr>
            </w:pPr>
            <w:r>
              <w:rPr>
                <w:sz w:val="24"/>
              </w:rPr>
              <w:t>1,54</w:t>
            </w:r>
          </w:p>
        </w:tc>
        <w:tc>
          <w:tcPr>
            <w:tcW w:w="1153" w:type="dxa"/>
          </w:tcPr>
          <w:p>
            <w:pPr>
              <w:pStyle w:val="TableParagraph"/>
              <w:spacing w:line="258" w:lineRule="exact"/>
              <w:ind w:right="354"/>
              <w:jc w:val="right"/>
              <w:rPr>
                <w:sz w:val="24"/>
              </w:rPr>
            </w:pPr>
            <w:r>
              <w:rPr>
                <w:sz w:val="24"/>
              </w:rPr>
              <w:t>15,9</w:t>
            </w:r>
          </w:p>
        </w:tc>
        <w:tc>
          <w:tcPr>
            <w:tcW w:w="1047" w:type="dxa"/>
          </w:tcPr>
          <w:p>
            <w:pPr>
              <w:pStyle w:val="TableParagraph"/>
              <w:spacing w:line="258" w:lineRule="exact"/>
              <w:ind w:right="363"/>
              <w:jc w:val="right"/>
              <w:rPr>
                <w:sz w:val="24"/>
              </w:rPr>
            </w:pPr>
            <w:r>
              <w:rPr>
                <w:sz w:val="24"/>
              </w:rPr>
              <w:t>6,3</w:t>
            </w:r>
          </w:p>
        </w:tc>
        <w:tc>
          <w:tcPr>
            <w:tcW w:w="1224" w:type="dxa"/>
            <w:vMerge/>
            <w:tcBorders>
              <w:top w:val="nil"/>
              <w:right w:val="single" w:sz="6" w:space="0" w:color="000000"/>
            </w:tcBorders>
          </w:tcPr>
          <w:p>
            <w:pPr>
              <w:rPr>
                <w:sz w:val="2"/>
                <w:szCs w:val="2"/>
              </w:rPr>
            </w:pPr>
          </w:p>
        </w:tc>
      </w:tr>
      <w:tr>
        <w:trPr>
          <w:trHeight w:val="830" w:hRule="atLeast"/>
        </w:trPr>
        <w:tc>
          <w:tcPr>
            <w:tcW w:w="475" w:type="dxa"/>
            <w:vMerge/>
            <w:tcBorders>
              <w:top w:val="nil"/>
            </w:tcBorders>
            <w:textDirection w:val="btLr"/>
          </w:tcPr>
          <w:p>
            <w:pPr>
              <w:rPr>
                <w:sz w:val="2"/>
                <w:szCs w:val="2"/>
              </w:rPr>
            </w:pPr>
          </w:p>
        </w:tc>
        <w:tc>
          <w:tcPr>
            <w:tcW w:w="1095" w:type="dxa"/>
          </w:tcPr>
          <w:p>
            <w:pPr>
              <w:pStyle w:val="TableParagraph"/>
              <w:spacing w:line="268" w:lineRule="exact"/>
              <w:ind w:left="284" w:right="280"/>
              <w:jc w:val="center"/>
              <w:rPr>
                <w:sz w:val="24"/>
              </w:rPr>
            </w:pPr>
            <w:r>
              <w:rPr>
                <w:sz w:val="24"/>
              </w:rPr>
              <w:t>limit</w:t>
            </w:r>
          </w:p>
        </w:tc>
        <w:tc>
          <w:tcPr>
            <w:tcW w:w="1100" w:type="dxa"/>
            <w:gridSpan w:val="2"/>
          </w:tcPr>
          <w:p>
            <w:pPr>
              <w:pStyle w:val="TableParagraph"/>
              <w:spacing w:line="267" w:lineRule="exact"/>
              <w:ind w:left="311"/>
              <w:rPr>
                <w:sz w:val="24"/>
              </w:rPr>
            </w:pPr>
            <w:r>
              <w:rPr>
                <w:sz w:val="24"/>
              </w:rPr>
              <w:t>3057</w:t>
            </w:r>
          </w:p>
          <w:p>
            <w:pPr>
              <w:pStyle w:val="TableParagraph"/>
              <w:spacing w:line="275" w:lineRule="exact"/>
              <w:ind w:left="311"/>
              <w:rPr>
                <w:sz w:val="24"/>
              </w:rPr>
            </w:pPr>
            <w:r>
              <w:rPr>
                <w:sz w:val="24"/>
              </w:rPr>
              <w:t>5281</w:t>
            </w:r>
          </w:p>
        </w:tc>
        <w:tc>
          <w:tcPr>
            <w:tcW w:w="1162" w:type="dxa"/>
          </w:tcPr>
          <w:p>
            <w:pPr>
              <w:pStyle w:val="TableParagraph"/>
              <w:spacing w:line="267" w:lineRule="exact"/>
              <w:ind w:left="373"/>
              <w:rPr>
                <w:sz w:val="24"/>
              </w:rPr>
            </w:pPr>
            <w:r>
              <w:rPr>
                <w:sz w:val="24"/>
              </w:rPr>
              <w:t>3,70</w:t>
            </w:r>
          </w:p>
          <w:p>
            <w:pPr>
              <w:pStyle w:val="TableParagraph"/>
              <w:spacing w:line="275" w:lineRule="exact"/>
              <w:ind w:left="373"/>
              <w:rPr>
                <w:sz w:val="24"/>
              </w:rPr>
            </w:pPr>
            <w:r>
              <w:rPr>
                <w:sz w:val="24"/>
              </w:rPr>
              <w:t>4,88</w:t>
            </w:r>
          </w:p>
        </w:tc>
        <w:tc>
          <w:tcPr>
            <w:tcW w:w="1162" w:type="dxa"/>
          </w:tcPr>
          <w:p>
            <w:pPr>
              <w:pStyle w:val="TableParagraph"/>
              <w:spacing w:line="267" w:lineRule="exact"/>
              <w:ind w:left="195" w:right="182"/>
              <w:jc w:val="center"/>
              <w:rPr>
                <w:sz w:val="24"/>
              </w:rPr>
            </w:pPr>
            <w:r>
              <w:rPr>
                <w:sz w:val="24"/>
              </w:rPr>
              <w:t>122</w:t>
            </w:r>
          </w:p>
          <w:p>
            <w:pPr>
              <w:pStyle w:val="TableParagraph"/>
              <w:spacing w:line="275" w:lineRule="exact"/>
              <w:ind w:left="195" w:right="182"/>
              <w:jc w:val="center"/>
              <w:rPr>
                <w:sz w:val="24"/>
              </w:rPr>
            </w:pPr>
            <w:r>
              <w:rPr>
                <w:sz w:val="24"/>
              </w:rPr>
              <w:t>197</w:t>
            </w:r>
          </w:p>
        </w:tc>
        <w:tc>
          <w:tcPr>
            <w:tcW w:w="1047" w:type="dxa"/>
          </w:tcPr>
          <w:p>
            <w:pPr>
              <w:pStyle w:val="TableParagraph"/>
              <w:spacing w:line="267" w:lineRule="exact"/>
              <w:ind w:left="316"/>
              <w:rPr>
                <w:sz w:val="24"/>
              </w:rPr>
            </w:pPr>
            <w:r>
              <w:rPr>
                <w:sz w:val="24"/>
              </w:rPr>
              <w:t>3,15</w:t>
            </w:r>
          </w:p>
          <w:p>
            <w:pPr>
              <w:pStyle w:val="TableParagraph"/>
              <w:spacing w:line="275" w:lineRule="exact"/>
              <w:ind w:left="316"/>
              <w:rPr>
                <w:sz w:val="24"/>
              </w:rPr>
            </w:pPr>
            <w:r>
              <w:rPr>
                <w:sz w:val="24"/>
              </w:rPr>
              <w:t>3,30</w:t>
            </w:r>
          </w:p>
        </w:tc>
        <w:tc>
          <w:tcPr>
            <w:tcW w:w="1153" w:type="dxa"/>
          </w:tcPr>
          <w:p>
            <w:pPr>
              <w:pStyle w:val="TableParagraph"/>
              <w:spacing w:line="267" w:lineRule="exact"/>
              <w:ind w:left="373" w:right="365"/>
              <w:jc w:val="center"/>
              <w:rPr>
                <w:sz w:val="24"/>
              </w:rPr>
            </w:pPr>
            <w:r>
              <w:rPr>
                <w:sz w:val="24"/>
              </w:rPr>
              <w:t>98</w:t>
            </w:r>
          </w:p>
          <w:p>
            <w:pPr>
              <w:pStyle w:val="TableParagraph"/>
              <w:spacing w:line="275" w:lineRule="exact"/>
              <w:ind w:left="373" w:right="370"/>
              <w:jc w:val="center"/>
              <w:rPr>
                <w:sz w:val="24"/>
              </w:rPr>
            </w:pPr>
            <w:r>
              <w:rPr>
                <w:sz w:val="24"/>
              </w:rPr>
              <w:t>171</w:t>
            </w:r>
          </w:p>
        </w:tc>
        <w:tc>
          <w:tcPr>
            <w:tcW w:w="1047" w:type="dxa"/>
          </w:tcPr>
          <w:p>
            <w:pPr>
              <w:pStyle w:val="TableParagraph"/>
              <w:spacing w:line="267" w:lineRule="exact"/>
              <w:ind w:left="339"/>
              <w:rPr>
                <w:sz w:val="24"/>
              </w:rPr>
            </w:pPr>
            <w:r>
              <w:rPr>
                <w:sz w:val="24"/>
              </w:rPr>
              <w:t>470</w:t>
            </w:r>
          </w:p>
          <w:p>
            <w:pPr>
              <w:pStyle w:val="TableParagraph"/>
              <w:spacing w:line="275" w:lineRule="exact"/>
              <w:ind w:left="339"/>
              <w:rPr>
                <w:sz w:val="24"/>
              </w:rPr>
            </w:pPr>
            <w:r>
              <w:rPr>
                <w:sz w:val="24"/>
              </w:rPr>
              <w:t>530</w:t>
            </w:r>
          </w:p>
        </w:tc>
        <w:tc>
          <w:tcPr>
            <w:tcW w:w="1224" w:type="dxa"/>
            <w:vMerge/>
            <w:tcBorders>
              <w:top w:val="nil"/>
              <w:right w:val="single" w:sz="6" w:space="0" w:color="000000"/>
            </w:tcBorders>
          </w:tcPr>
          <w:p>
            <w:pPr>
              <w:rPr>
                <w:sz w:val="2"/>
                <w:szCs w:val="2"/>
              </w:rPr>
            </w:pPr>
          </w:p>
        </w:tc>
      </w:tr>
      <w:tr>
        <w:trPr>
          <w:trHeight w:val="273" w:hRule="atLeast"/>
        </w:trPr>
        <w:tc>
          <w:tcPr>
            <w:tcW w:w="9465" w:type="dxa"/>
            <w:gridSpan w:val="10"/>
            <w:tcBorders>
              <w:right w:val="single" w:sz="6" w:space="0" w:color="000000"/>
            </w:tcBorders>
          </w:tcPr>
          <w:p>
            <w:pPr>
              <w:pStyle w:val="TableParagraph"/>
              <w:spacing w:line="253" w:lineRule="exact"/>
              <w:ind w:left="2511" w:right="2508"/>
              <w:jc w:val="center"/>
              <w:rPr>
                <w:sz w:val="24"/>
              </w:rPr>
            </w:pPr>
            <w:r>
              <w:rPr>
                <w:sz w:val="24"/>
              </w:rPr>
              <w:t>Стандарт породи</w:t>
            </w:r>
          </w:p>
        </w:tc>
      </w:tr>
      <w:tr>
        <w:trPr>
          <w:trHeight w:val="278" w:hRule="atLeast"/>
        </w:trPr>
        <w:tc>
          <w:tcPr>
            <w:tcW w:w="1652" w:type="dxa"/>
            <w:gridSpan w:val="3"/>
          </w:tcPr>
          <w:p>
            <w:pPr>
              <w:pStyle w:val="TableParagraph"/>
              <w:spacing w:line="258" w:lineRule="exact"/>
              <w:ind w:left="475"/>
              <w:rPr>
                <w:sz w:val="24"/>
              </w:rPr>
            </w:pPr>
            <w:r>
              <w:rPr>
                <w:sz w:val="24"/>
              </w:rPr>
              <w:t>Перша</w:t>
            </w:r>
          </w:p>
        </w:tc>
        <w:tc>
          <w:tcPr>
            <w:tcW w:w="1018" w:type="dxa"/>
          </w:tcPr>
          <w:p>
            <w:pPr>
              <w:pStyle w:val="TableParagraph"/>
              <w:spacing w:line="258" w:lineRule="exact"/>
              <w:ind w:left="238" w:right="229"/>
              <w:jc w:val="center"/>
              <w:rPr>
                <w:sz w:val="24"/>
              </w:rPr>
            </w:pPr>
            <w:r>
              <w:rPr>
                <w:sz w:val="24"/>
              </w:rPr>
              <w:t>3100</w:t>
            </w:r>
          </w:p>
        </w:tc>
        <w:tc>
          <w:tcPr>
            <w:tcW w:w="1162" w:type="dxa"/>
          </w:tcPr>
          <w:p>
            <w:pPr>
              <w:pStyle w:val="TableParagraph"/>
              <w:spacing w:line="258" w:lineRule="exact"/>
              <w:ind w:left="195" w:right="182"/>
              <w:jc w:val="center"/>
              <w:rPr>
                <w:sz w:val="24"/>
              </w:rPr>
            </w:pPr>
            <w:r>
              <w:rPr>
                <w:sz w:val="24"/>
              </w:rPr>
              <w:t>3,7</w:t>
            </w:r>
          </w:p>
        </w:tc>
        <w:tc>
          <w:tcPr>
            <w:tcW w:w="1162" w:type="dxa"/>
          </w:tcPr>
          <w:p>
            <w:pPr>
              <w:pStyle w:val="TableParagraph"/>
              <w:spacing w:line="258" w:lineRule="exact"/>
              <w:ind w:left="195" w:right="182"/>
              <w:jc w:val="center"/>
              <w:rPr>
                <w:sz w:val="24"/>
              </w:rPr>
            </w:pPr>
            <w:r>
              <w:rPr>
                <w:sz w:val="24"/>
              </w:rPr>
              <w:t>115</w:t>
            </w:r>
          </w:p>
        </w:tc>
        <w:tc>
          <w:tcPr>
            <w:tcW w:w="1047" w:type="dxa"/>
          </w:tcPr>
          <w:p>
            <w:pPr>
              <w:pStyle w:val="TableParagraph"/>
              <w:spacing w:line="258" w:lineRule="exact"/>
              <w:ind w:left="255" w:right="242"/>
              <w:jc w:val="center"/>
              <w:rPr>
                <w:sz w:val="24"/>
              </w:rPr>
            </w:pPr>
            <w:r>
              <w:rPr>
                <w:sz w:val="24"/>
              </w:rPr>
              <w:t>3,3</w:t>
            </w:r>
          </w:p>
        </w:tc>
        <w:tc>
          <w:tcPr>
            <w:tcW w:w="1153" w:type="dxa"/>
          </w:tcPr>
          <w:p>
            <w:pPr>
              <w:pStyle w:val="TableParagraph"/>
              <w:spacing w:line="258" w:lineRule="exact"/>
              <w:ind w:right="387"/>
              <w:jc w:val="right"/>
              <w:rPr>
                <w:sz w:val="24"/>
              </w:rPr>
            </w:pPr>
            <w:r>
              <w:rPr>
                <w:sz w:val="24"/>
              </w:rPr>
              <w:t>102</w:t>
            </w:r>
          </w:p>
        </w:tc>
        <w:tc>
          <w:tcPr>
            <w:tcW w:w="1047" w:type="dxa"/>
          </w:tcPr>
          <w:p>
            <w:pPr>
              <w:pStyle w:val="TableParagraph"/>
              <w:spacing w:line="258" w:lineRule="exact"/>
              <w:ind w:right="335"/>
              <w:jc w:val="right"/>
              <w:rPr>
                <w:sz w:val="24"/>
              </w:rPr>
            </w:pPr>
            <w:r>
              <w:rPr>
                <w:sz w:val="24"/>
              </w:rPr>
              <w:t>470</w:t>
            </w:r>
          </w:p>
        </w:tc>
        <w:tc>
          <w:tcPr>
            <w:tcW w:w="1224" w:type="dxa"/>
            <w:tcBorders>
              <w:right w:val="single" w:sz="6" w:space="0" w:color="000000"/>
            </w:tcBorders>
          </w:tcPr>
          <w:p>
            <w:pPr>
              <w:pStyle w:val="TableParagraph"/>
              <w:rPr>
                <w:sz w:val="20"/>
              </w:rPr>
            </w:pPr>
          </w:p>
        </w:tc>
      </w:tr>
      <w:tr>
        <w:trPr>
          <w:trHeight w:val="825" w:hRule="atLeast"/>
        </w:trPr>
        <w:tc>
          <w:tcPr>
            <w:tcW w:w="1652" w:type="dxa"/>
            <w:gridSpan w:val="3"/>
          </w:tcPr>
          <w:p>
            <w:pPr>
              <w:pStyle w:val="TableParagraph"/>
              <w:spacing w:line="237" w:lineRule="auto"/>
              <w:ind w:left="244" w:right="239" w:hanging="4"/>
              <w:jc w:val="center"/>
              <w:rPr>
                <w:sz w:val="24"/>
              </w:rPr>
            </w:pPr>
            <w:r>
              <w:rPr>
                <w:sz w:val="24"/>
              </w:rPr>
              <w:t>± до стандарту </w:t>
            </w:r>
            <w:r>
              <w:rPr>
                <w:spacing w:val="-14"/>
                <w:sz w:val="24"/>
              </w:rPr>
              <w:t>І</w:t>
            </w:r>
          </w:p>
          <w:p>
            <w:pPr>
              <w:pStyle w:val="TableParagraph"/>
              <w:spacing w:line="261" w:lineRule="exact"/>
              <w:ind w:left="124" w:right="125"/>
              <w:jc w:val="center"/>
              <w:rPr>
                <w:sz w:val="24"/>
              </w:rPr>
            </w:pPr>
            <w:r>
              <w:rPr>
                <w:sz w:val="24"/>
              </w:rPr>
              <w:t>лактації</w:t>
            </w:r>
          </w:p>
        </w:tc>
        <w:tc>
          <w:tcPr>
            <w:tcW w:w="1018" w:type="dxa"/>
          </w:tcPr>
          <w:p>
            <w:pPr>
              <w:pStyle w:val="TableParagraph"/>
              <w:spacing w:line="268" w:lineRule="exact"/>
              <w:ind w:left="243" w:right="229"/>
              <w:jc w:val="center"/>
              <w:rPr>
                <w:sz w:val="24"/>
              </w:rPr>
            </w:pPr>
            <w:r>
              <w:rPr>
                <w:sz w:val="24"/>
              </w:rPr>
              <w:t>+780</w:t>
            </w:r>
          </w:p>
        </w:tc>
        <w:tc>
          <w:tcPr>
            <w:tcW w:w="1162" w:type="dxa"/>
          </w:tcPr>
          <w:p>
            <w:pPr>
              <w:pStyle w:val="TableParagraph"/>
              <w:spacing w:line="268" w:lineRule="exact"/>
              <w:ind w:left="190" w:right="182"/>
              <w:jc w:val="center"/>
              <w:rPr>
                <w:sz w:val="24"/>
              </w:rPr>
            </w:pPr>
            <w:r>
              <w:rPr>
                <w:sz w:val="24"/>
              </w:rPr>
              <w:t>+0,29</w:t>
            </w:r>
          </w:p>
        </w:tc>
        <w:tc>
          <w:tcPr>
            <w:tcW w:w="1162" w:type="dxa"/>
          </w:tcPr>
          <w:p>
            <w:pPr>
              <w:pStyle w:val="TableParagraph"/>
              <w:spacing w:line="268" w:lineRule="exact"/>
              <w:ind w:left="190" w:right="182"/>
              <w:jc w:val="center"/>
              <w:rPr>
                <w:sz w:val="24"/>
              </w:rPr>
            </w:pPr>
            <w:r>
              <w:rPr>
                <w:sz w:val="24"/>
              </w:rPr>
              <w:t>+39,4</w:t>
            </w:r>
          </w:p>
        </w:tc>
        <w:tc>
          <w:tcPr>
            <w:tcW w:w="1047" w:type="dxa"/>
          </w:tcPr>
          <w:p>
            <w:pPr>
              <w:pStyle w:val="TableParagraph"/>
              <w:spacing w:line="268" w:lineRule="exact"/>
              <w:ind w:left="255" w:right="242"/>
              <w:jc w:val="center"/>
              <w:rPr>
                <w:sz w:val="24"/>
              </w:rPr>
            </w:pPr>
            <w:r>
              <w:rPr>
                <w:sz w:val="24"/>
              </w:rPr>
              <w:t>-0,06</w:t>
            </w:r>
          </w:p>
        </w:tc>
        <w:tc>
          <w:tcPr>
            <w:tcW w:w="1153" w:type="dxa"/>
          </w:tcPr>
          <w:p>
            <w:pPr>
              <w:pStyle w:val="TableParagraph"/>
              <w:spacing w:line="268" w:lineRule="exact"/>
              <w:ind w:right="287"/>
              <w:jc w:val="right"/>
              <w:rPr>
                <w:sz w:val="24"/>
              </w:rPr>
            </w:pPr>
            <w:r>
              <w:rPr>
                <w:sz w:val="24"/>
              </w:rPr>
              <w:t>+23,5</w:t>
            </w:r>
          </w:p>
        </w:tc>
        <w:tc>
          <w:tcPr>
            <w:tcW w:w="1047" w:type="dxa"/>
          </w:tcPr>
          <w:p>
            <w:pPr>
              <w:pStyle w:val="TableParagraph"/>
              <w:spacing w:line="268" w:lineRule="exact"/>
              <w:ind w:right="296"/>
              <w:jc w:val="right"/>
              <w:rPr>
                <w:sz w:val="24"/>
              </w:rPr>
            </w:pPr>
            <w:r>
              <w:rPr>
                <w:sz w:val="24"/>
              </w:rPr>
              <w:t>+ 22</w:t>
            </w:r>
          </w:p>
        </w:tc>
        <w:tc>
          <w:tcPr>
            <w:tcW w:w="1224" w:type="dxa"/>
            <w:tcBorders>
              <w:right w:val="single" w:sz="6" w:space="0" w:color="000000"/>
            </w:tcBorders>
          </w:tcPr>
          <w:p>
            <w:pPr>
              <w:pStyle w:val="TableParagraph"/>
              <w:rPr>
                <w:sz w:val="26"/>
              </w:rPr>
            </w:pPr>
          </w:p>
        </w:tc>
      </w:tr>
      <w:tr>
        <w:trPr>
          <w:trHeight w:val="551" w:hRule="atLeast"/>
        </w:trPr>
        <w:tc>
          <w:tcPr>
            <w:tcW w:w="1652" w:type="dxa"/>
            <w:gridSpan w:val="3"/>
          </w:tcPr>
          <w:p>
            <w:pPr>
              <w:pStyle w:val="TableParagraph"/>
              <w:spacing w:line="268" w:lineRule="exact"/>
              <w:ind w:left="128" w:right="121"/>
              <w:jc w:val="center"/>
              <w:rPr>
                <w:sz w:val="24"/>
              </w:rPr>
            </w:pPr>
            <w:r>
              <w:rPr>
                <w:sz w:val="24"/>
              </w:rPr>
              <w:t>Третя і</w:t>
            </w:r>
          </w:p>
          <w:p>
            <w:pPr>
              <w:pStyle w:val="TableParagraph"/>
              <w:spacing w:line="261" w:lineRule="exact" w:before="2"/>
              <w:ind w:left="128" w:right="125"/>
              <w:jc w:val="center"/>
              <w:rPr>
                <w:sz w:val="24"/>
              </w:rPr>
            </w:pPr>
            <w:r>
              <w:rPr>
                <w:sz w:val="24"/>
              </w:rPr>
              <w:t>старше Х±Sх</w:t>
            </w:r>
          </w:p>
        </w:tc>
        <w:tc>
          <w:tcPr>
            <w:tcW w:w="1018" w:type="dxa"/>
          </w:tcPr>
          <w:p>
            <w:pPr>
              <w:pStyle w:val="TableParagraph"/>
              <w:spacing w:line="268" w:lineRule="exact"/>
              <w:ind w:left="268"/>
              <w:rPr>
                <w:sz w:val="24"/>
              </w:rPr>
            </w:pPr>
            <w:r>
              <w:rPr>
                <w:sz w:val="24"/>
              </w:rPr>
              <w:t>4152</w:t>
            </w:r>
          </w:p>
          <w:p>
            <w:pPr>
              <w:pStyle w:val="TableParagraph"/>
              <w:spacing w:line="261" w:lineRule="exact" w:before="2"/>
              <w:ind w:left="172"/>
              <w:rPr>
                <w:sz w:val="24"/>
              </w:rPr>
            </w:pPr>
            <w:r>
              <w:rPr>
                <w:sz w:val="24"/>
              </w:rPr>
              <w:t>±116,3</w:t>
            </w:r>
          </w:p>
        </w:tc>
        <w:tc>
          <w:tcPr>
            <w:tcW w:w="1162" w:type="dxa"/>
          </w:tcPr>
          <w:p>
            <w:pPr>
              <w:pStyle w:val="TableParagraph"/>
              <w:spacing w:line="268" w:lineRule="exact"/>
              <w:ind w:left="369"/>
              <w:rPr>
                <w:sz w:val="24"/>
              </w:rPr>
            </w:pPr>
            <w:r>
              <w:rPr>
                <w:sz w:val="24"/>
              </w:rPr>
              <w:t>4,07</w:t>
            </w:r>
          </w:p>
          <w:p>
            <w:pPr>
              <w:pStyle w:val="TableParagraph"/>
              <w:spacing w:line="261" w:lineRule="exact" w:before="2"/>
              <w:ind w:left="306"/>
              <w:rPr>
                <w:sz w:val="24"/>
              </w:rPr>
            </w:pPr>
            <w:r>
              <w:rPr>
                <w:sz w:val="24"/>
              </w:rPr>
              <w:t>±0,02</w:t>
            </w:r>
          </w:p>
        </w:tc>
        <w:tc>
          <w:tcPr>
            <w:tcW w:w="1162" w:type="dxa"/>
          </w:tcPr>
          <w:p>
            <w:pPr>
              <w:pStyle w:val="TableParagraph"/>
              <w:spacing w:line="268" w:lineRule="exact"/>
              <w:ind w:left="311"/>
              <w:rPr>
                <w:sz w:val="24"/>
              </w:rPr>
            </w:pPr>
            <w:r>
              <w:rPr>
                <w:sz w:val="24"/>
              </w:rPr>
              <w:t>168,8</w:t>
            </w:r>
          </w:p>
          <w:p>
            <w:pPr>
              <w:pStyle w:val="TableParagraph"/>
              <w:spacing w:line="261" w:lineRule="exact" w:before="2"/>
              <w:ind w:left="364"/>
              <w:rPr>
                <w:sz w:val="24"/>
              </w:rPr>
            </w:pPr>
            <w:r>
              <w:rPr>
                <w:sz w:val="24"/>
              </w:rPr>
              <w:t>±4,9</w:t>
            </w:r>
          </w:p>
        </w:tc>
        <w:tc>
          <w:tcPr>
            <w:tcW w:w="1047" w:type="dxa"/>
          </w:tcPr>
          <w:p>
            <w:pPr>
              <w:pStyle w:val="TableParagraph"/>
              <w:spacing w:line="268" w:lineRule="exact"/>
              <w:ind w:left="311"/>
              <w:rPr>
                <w:sz w:val="24"/>
              </w:rPr>
            </w:pPr>
            <w:r>
              <w:rPr>
                <w:sz w:val="24"/>
              </w:rPr>
              <w:t>3,26</w:t>
            </w:r>
          </w:p>
          <w:p>
            <w:pPr>
              <w:pStyle w:val="TableParagraph"/>
              <w:spacing w:line="261" w:lineRule="exact" w:before="2"/>
              <w:ind w:left="249"/>
              <w:rPr>
                <w:sz w:val="24"/>
              </w:rPr>
            </w:pPr>
            <w:r>
              <w:rPr>
                <w:sz w:val="24"/>
              </w:rPr>
              <w:t>±0,01</w:t>
            </w:r>
          </w:p>
        </w:tc>
        <w:tc>
          <w:tcPr>
            <w:tcW w:w="1153" w:type="dxa"/>
          </w:tcPr>
          <w:p>
            <w:pPr>
              <w:pStyle w:val="TableParagraph"/>
              <w:spacing w:line="268" w:lineRule="exact"/>
              <w:ind w:left="364"/>
              <w:rPr>
                <w:sz w:val="24"/>
              </w:rPr>
            </w:pPr>
            <w:r>
              <w:rPr>
                <w:sz w:val="24"/>
              </w:rPr>
              <w:t>35,2</w:t>
            </w:r>
          </w:p>
          <w:p>
            <w:pPr>
              <w:pStyle w:val="TableParagraph"/>
              <w:spacing w:line="261" w:lineRule="exact" w:before="2"/>
              <w:ind w:left="297"/>
              <w:rPr>
                <w:sz w:val="24"/>
              </w:rPr>
            </w:pPr>
            <w:r>
              <w:rPr>
                <w:sz w:val="24"/>
              </w:rPr>
              <w:t>±3,79</w:t>
            </w:r>
          </w:p>
        </w:tc>
        <w:tc>
          <w:tcPr>
            <w:tcW w:w="1047" w:type="dxa"/>
          </w:tcPr>
          <w:p>
            <w:pPr>
              <w:pStyle w:val="TableParagraph"/>
              <w:spacing w:line="268" w:lineRule="exact"/>
              <w:ind w:left="339"/>
              <w:rPr>
                <w:sz w:val="24"/>
              </w:rPr>
            </w:pPr>
            <w:r>
              <w:rPr>
                <w:sz w:val="24"/>
              </w:rPr>
              <w:t>549</w:t>
            </w:r>
          </w:p>
          <w:p>
            <w:pPr>
              <w:pStyle w:val="TableParagraph"/>
              <w:spacing w:line="261" w:lineRule="exact" w:before="2"/>
              <w:ind w:left="301"/>
              <w:rPr>
                <w:sz w:val="24"/>
              </w:rPr>
            </w:pPr>
            <w:r>
              <w:rPr>
                <w:sz w:val="24"/>
              </w:rPr>
              <w:t>±5,8</w:t>
            </w:r>
          </w:p>
        </w:tc>
        <w:tc>
          <w:tcPr>
            <w:tcW w:w="1224" w:type="dxa"/>
            <w:tcBorders>
              <w:right w:val="single" w:sz="6" w:space="0" w:color="000000"/>
            </w:tcBorders>
          </w:tcPr>
          <w:p>
            <w:pPr>
              <w:pStyle w:val="TableParagraph"/>
              <w:spacing w:line="268" w:lineRule="exact"/>
              <w:ind w:left="464"/>
              <w:rPr>
                <w:sz w:val="24"/>
              </w:rPr>
            </w:pPr>
            <w:r>
              <w:rPr>
                <w:sz w:val="24"/>
              </w:rPr>
              <w:t>9,2</w:t>
            </w:r>
          </w:p>
        </w:tc>
      </w:tr>
      <w:tr>
        <w:trPr>
          <w:trHeight w:val="278" w:hRule="atLeast"/>
        </w:trPr>
        <w:tc>
          <w:tcPr>
            <w:tcW w:w="475" w:type="dxa"/>
            <w:vMerge w:val="restart"/>
            <w:textDirection w:val="btLr"/>
          </w:tcPr>
          <w:p>
            <w:pPr>
              <w:pStyle w:val="TableParagraph"/>
              <w:spacing w:before="107"/>
              <w:ind w:left="33"/>
              <w:rPr>
                <w:sz w:val="24"/>
              </w:rPr>
            </w:pPr>
            <w:r>
              <w:rPr>
                <w:sz w:val="24"/>
              </w:rPr>
              <w:t>Показники</w:t>
            </w:r>
          </w:p>
        </w:tc>
        <w:tc>
          <w:tcPr>
            <w:tcW w:w="1177" w:type="dxa"/>
            <w:gridSpan w:val="2"/>
          </w:tcPr>
          <w:p>
            <w:pPr>
              <w:pStyle w:val="TableParagraph"/>
              <w:spacing w:line="258" w:lineRule="exact"/>
              <w:ind w:left="330" w:right="327"/>
              <w:jc w:val="center"/>
              <w:rPr>
                <w:sz w:val="24"/>
              </w:rPr>
            </w:pPr>
            <w:r>
              <w:rPr>
                <w:sz w:val="24"/>
              </w:rPr>
              <w:t>±õ</w:t>
            </w:r>
          </w:p>
        </w:tc>
        <w:tc>
          <w:tcPr>
            <w:tcW w:w="1018" w:type="dxa"/>
          </w:tcPr>
          <w:p>
            <w:pPr>
              <w:pStyle w:val="TableParagraph"/>
              <w:spacing w:line="258" w:lineRule="exact"/>
              <w:ind w:left="243" w:right="229"/>
              <w:jc w:val="center"/>
              <w:rPr>
                <w:sz w:val="24"/>
              </w:rPr>
            </w:pPr>
            <w:r>
              <w:rPr>
                <w:sz w:val="24"/>
              </w:rPr>
              <w:t>649</w:t>
            </w:r>
          </w:p>
        </w:tc>
        <w:tc>
          <w:tcPr>
            <w:tcW w:w="1162" w:type="dxa"/>
          </w:tcPr>
          <w:p>
            <w:pPr>
              <w:pStyle w:val="TableParagraph"/>
              <w:spacing w:line="258" w:lineRule="exact"/>
              <w:ind w:left="197" w:right="179"/>
              <w:jc w:val="center"/>
              <w:rPr>
                <w:sz w:val="24"/>
              </w:rPr>
            </w:pPr>
            <w:r>
              <w:rPr>
                <w:sz w:val="24"/>
              </w:rPr>
              <w:t>0,15</w:t>
            </w:r>
          </w:p>
        </w:tc>
        <w:tc>
          <w:tcPr>
            <w:tcW w:w="1162" w:type="dxa"/>
          </w:tcPr>
          <w:p>
            <w:pPr>
              <w:pStyle w:val="TableParagraph"/>
              <w:spacing w:line="258" w:lineRule="exact"/>
              <w:ind w:left="197" w:right="179"/>
              <w:jc w:val="center"/>
              <w:rPr>
                <w:sz w:val="24"/>
              </w:rPr>
            </w:pPr>
            <w:r>
              <w:rPr>
                <w:sz w:val="24"/>
              </w:rPr>
              <w:t>22,3</w:t>
            </w:r>
          </w:p>
        </w:tc>
        <w:tc>
          <w:tcPr>
            <w:tcW w:w="1047" w:type="dxa"/>
          </w:tcPr>
          <w:p>
            <w:pPr>
              <w:pStyle w:val="TableParagraph"/>
              <w:spacing w:line="258" w:lineRule="exact"/>
              <w:ind w:left="255" w:right="237"/>
              <w:jc w:val="center"/>
              <w:rPr>
                <w:sz w:val="24"/>
              </w:rPr>
            </w:pPr>
            <w:r>
              <w:rPr>
                <w:sz w:val="24"/>
              </w:rPr>
              <w:t>0,07</w:t>
            </w:r>
          </w:p>
        </w:tc>
        <w:tc>
          <w:tcPr>
            <w:tcW w:w="1153" w:type="dxa"/>
          </w:tcPr>
          <w:p>
            <w:pPr>
              <w:pStyle w:val="TableParagraph"/>
              <w:spacing w:line="258" w:lineRule="exact"/>
              <w:ind w:right="354"/>
              <w:jc w:val="right"/>
              <w:rPr>
                <w:sz w:val="24"/>
              </w:rPr>
            </w:pPr>
            <w:r>
              <w:rPr>
                <w:sz w:val="24"/>
              </w:rPr>
              <w:t>21,1</w:t>
            </w:r>
          </w:p>
        </w:tc>
        <w:tc>
          <w:tcPr>
            <w:tcW w:w="1047" w:type="dxa"/>
          </w:tcPr>
          <w:p>
            <w:pPr>
              <w:pStyle w:val="TableParagraph"/>
              <w:spacing w:line="258" w:lineRule="exact"/>
              <w:ind w:right="301"/>
              <w:jc w:val="right"/>
              <w:rPr>
                <w:sz w:val="24"/>
              </w:rPr>
            </w:pPr>
            <w:r>
              <w:rPr>
                <w:sz w:val="24"/>
              </w:rPr>
              <w:t>32,2</w:t>
            </w:r>
          </w:p>
        </w:tc>
        <w:tc>
          <w:tcPr>
            <w:tcW w:w="1224" w:type="dxa"/>
            <w:vMerge w:val="restart"/>
            <w:tcBorders>
              <w:right w:val="single" w:sz="6" w:space="0" w:color="000000"/>
            </w:tcBorders>
          </w:tcPr>
          <w:p>
            <w:pPr>
              <w:pStyle w:val="TableParagraph"/>
              <w:spacing w:line="268" w:lineRule="exact"/>
              <w:ind w:left="392"/>
              <w:rPr>
                <w:sz w:val="24"/>
              </w:rPr>
            </w:pPr>
            <w:r>
              <w:rPr>
                <w:sz w:val="24"/>
              </w:rPr>
              <w:t>8-10</w:t>
            </w:r>
          </w:p>
        </w:tc>
      </w:tr>
      <w:tr>
        <w:trPr>
          <w:trHeight w:val="277" w:hRule="atLeast"/>
        </w:trPr>
        <w:tc>
          <w:tcPr>
            <w:tcW w:w="475" w:type="dxa"/>
            <w:vMerge/>
            <w:tcBorders>
              <w:top w:val="nil"/>
            </w:tcBorders>
            <w:textDirection w:val="btLr"/>
          </w:tcPr>
          <w:p>
            <w:pPr>
              <w:rPr>
                <w:sz w:val="2"/>
                <w:szCs w:val="2"/>
              </w:rPr>
            </w:pPr>
          </w:p>
        </w:tc>
        <w:tc>
          <w:tcPr>
            <w:tcW w:w="1177" w:type="dxa"/>
            <w:gridSpan w:val="2"/>
          </w:tcPr>
          <w:p>
            <w:pPr>
              <w:pStyle w:val="TableParagraph"/>
              <w:spacing w:line="258" w:lineRule="exact"/>
              <w:ind w:left="346"/>
              <w:rPr>
                <w:sz w:val="24"/>
              </w:rPr>
            </w:pPr>
            <w:r>
              <w:rPr>
                <w:sz w:val="24"/>
              </w:rPr>
              <w:t>Cv%</w:t>
            </w:r>
          </w:p>
        </w:tc>
        <w:tc>
          <w:tcPr>
            <w:tcW w:w="1018" w:type="dxa"/>
          </w:tcPr>
          <w:p>
            <w:pPr>
              <w:pStyle w:val="TableParagraph"/>
              <w:spacing w:line="258" w:lineRule="exact"/>
              <w:ind w:left="243" w:right="225"/>
              <w:jc w:val="center"/>
              <w:rPr>
                <w:sz w:val="24"/>
              </w:rPr>
            </w:pPr>
            <w:r>
              <w:rPr>
                <w:sz w:val="24"/>
              </w:rPr>
              <w:t>15,7</w:t>
            </w:r>
          </w:p>
        </w:tc>
        <w:tc>
          <w:tcPr>
            <w:tcW w:w="1162" w:type="dxa"/>
          </w:tcPr>
          <w:p>
            <w:pPr>
              <w:pStyle w:val="TableParagraph"/>
              <w:spacing w:line="258" w:lineRule="exact"/>
              <w:ind w:left="195" w:right="182"/>
              <w:jc w:val="center"/>
              <w:rPr>
                <w:sz w:val="24"/>
              </w:rPr>
            </w:pPr>
            <w:r>
              <w:rPr>
                <w:sz w:val="24"/>
              </w:rPr>
              <w:t>3,7</w:t>
            </w:r>
          </w:p>
        </w:tc>
        <w:tc>
          <w:tcPr>
            <w:tcW w:w="1162" w:type="dxa"/>
          </w:tcPr>
          <w:p>
            <w:pPr>
              <w:pStyle w:val="TableParagraph"/>
              <w:spacing w:line="258" w:lineRule="exact"/>
              <w:ind w:left="197" w:right="179"/>
              <w:jc w:val="center"/>
              <w:rPr>
                <w:sz w:val="24"/>
              </w:rPr>
            </w:pPr>
            <w:r>
              <w:rPr>
                <w:sz w:val="24"/>
              </w:rPr>
              <w:t>13,2</w:t>
            </w:r>
          </w:p>
        </w:tc>
        <w:tc>
          <w:tcPr>
            <w:tcW w:w="1047" w:type="dxa"/>
          </w:tcPr>
          <w:p>
            <w:pPr>
              <w:pStyle w:val="TableParagraph"/>
              <w:spacing w:line="258" w:lineRule="exact"/>
              <w:ind w:left="255" w:right="242"/>
              <w:jc w:val="center"/>
              <w:rPr>
                <w:sz w:val="24"/>
              </w:rPr>
            </w:pPr>
            <w:r>
              <w:rPr>
                <w:sz w:val="24"/>
              </w:rPr>
              <w:t>1,2</w:t>
            </w:r>
          </w:p>
        </w:tc>
        <w:tc>
          <w:tcPr>
            <w:tcW w:w="1153" w:type="dxa"/>
          </w:tcPr>
          <w:p>
            <w:pPr>
              <w:pStyle w:val="TableParagraph"/>
              <w:spacing w:line="258" w:lineRule="exact"/>
              <w:ind w:right="354"/>
              <w:jc w:val="right"/>
              <w:rPr>
                <w:sz w:val="24"/>
              </w:rPr>
            </w:pPr>
            <w:r>
              <w:rPr>
                <w:sz w:val="24"/>
              </w:rPr>
              <w:t>15,6</w:t>
            </w:r>
          </w:p>
        </w:tc>
        <w:tc>
          <w:tcPr>
            <w:tcW w:w="1047" w:type="dxa"/>
          </w:tcPr>
          <w:p>
            <w:pPr>
              <w:pStyle w:val="TableParagraph"/>
              <w:spacing w:line="258" w:lineRule="exact"/>
              <w:ind w:right="364"/>
              <w:jc w:val="right"/>
              <w:rPr>
                <w:sz w:val="24"/>
              </w:rPr>
            </w:pPr>
            <w:r>
              <w:rPr>
                <w:sz w:val="24"/>
              </w:rPr>
              <w:t>5,8</w:t>
            </w:r>
          </w:p>
        </w:tc>
        <w:tc>
          <w:tcPr>
            <w:tcW w:w="1224" w:type="dxa"/>
            <w:vMerge/>
            <w:tcBorders>
              <w:top w:val="nil"/>
              <w:right w:val="single" w:sz="6" w:space="0" w:color="000000"/>
            </w:tcBorders>
          </w:tcPr>
          <w:p>
            <w:pPr>
              <w:rPr>
                <w:sz w:val="2"/>
                <w:szCs w:val="2"/>
              </w:rPr>
            </w:pPr>
          </w:p>
        </w:tc>
      </w:tr>
      <w:tr>
        <w:trPr>
          <w:trHeight w:val="724" w:hRule="atLeast"/>
        </w:trPr>
        <w:tc>
          <w:tcPr>
            <w:tcW w:w="475" w:type="dxa"/>
            <w:vMerge/>
            <w:tcBorders>
              <w:top w:val="nil"/>
            </w:tcBorders>
            <w:textDirection w:val="btLr"/>
          </w:tcPr>
          <w:p>
            <w:pPr>
              <w:rPr>
                <w:sz w:val="2"/>
                <w:szCs w:val="2"/>
              </w:rPr>
            </w:pPr>
          </w:p>
        </w:tc>
        <w:tc>
          <w:tcPr>
            <w:tcW w:w="1177" w:type="dxa"/>
            <w:gridSpan w:val="2"/>
          </w:tcPr>
          <w:p>
            <w:pPr>
              <w:pStyle w:val="TableParagraph"/>
              <w:spacing w:line="268" w:lineRule="exact"/>
              <w:ind w:left="360"/>
              <w:rPr>
                <w:sz w:val="24"/>
              </w:rPr>
            </w:pPr>
            <w:r>
              <w:rPr>
                <w:sz w:val="24"/>
              </w:rPr>
              <w:t>limit</w:t>
            </w:r>
          </w:p>
        </w:tc>
        <w:tc>
          <w:tcPr>
            <w:tcW w:w="1018" w:type="dxa"/>
          </w:tcPr>
          <w:p>
            <w:pPr>
              <w:pStyle w:val="TableParagraph"/>
              <w:spacing w:line="267" w:lineRule="exact"/>
              <w:ind w:left="268"/>
              <w:rPr>
                <w:sz w:val="24"/>
              </w:rPr>
            </w:pPr>
            <w:r>
              <w:rPr>
                <w:sz w:val="24"/>
              </w:rPr>
              <w:t>2790</w:t>
            </w:r>
          </w:p>
          <w:p>
            <w:pPr>
              <w:pStyle w:val="TableParagraph"/>
              <w:spacing w:line="275" w:lineRule="exact"/>
              <w:ind w:left="268"/>
              <w:rPr>
                <w:sz w:val="24"/>
              </w:rPr>
            </w:pPr>
            <w:r>
              <w:rPr>
                <w:sz w:val="24"/>
              </w:rPr>
              <w:t>5215</w:t>
            </w:r>
          </w:p>
        </w:tc>
        <w:tc>
          <w:tcPr>
            <w:tcW w:w="1162" w:type="dxa"/>
          </w:tcPr>
          <w:p>
            <w:pPr>
              <w:pStyle w:val="TableParagraph"/>
              <w:spacing w:line="267" w:lineRule="exact"/>
              <w:ind w:left="197" w:right="179"/>
              <w:jc w:val="center"/>
              <w:rPr>
                <w:sz w:val="24"/>
              </w:rPr>
            </w:pPr>
            <w:r>
              <w:rPr>
                <w:sz w:val="24"/>
              </w:rPr>
              <w:t>3,61</w:t>
            </w:r>
          </w:p>
          <w:p>
            <w:pPr>
              <w:pStyle w:val="TableParagraph"/>
              <w:spacing w:line="275" w:lineRule="exact"/>
              <w:ind w:left="195" w:right="182"/>
              <w:jc w:val="center"/>
              <w:rPr>
                <w:sz w:val="24"/>
              </w:rPr>
            </w:pPr>
            <w:r>
              <w:rPr>
                <w:sz w:val="24"/>
              </w:rPr>
              <w:t>4,4</w:t>
            </w:r>
          </w:p>
        </w:tc>
        <w:tc>
          <w:tcPr>
            <w:tcW w:w="1162" w:type="dxa"/>
          </w:tcPr>
          <w:p>
            <w:pPr>
              <w:pStyle w:val="TableParagraph"/>
              <w:spacing w:line="267" w:lineRule="exact"/>
              <w:ind w:left="195" w:right="182"/>
              <w:jc w:val="center"/>
              <w:rPr>
                <w:sz w:val="24"/>
              </w:rPr>
            </w:pPr>
            <w:r>
              <w:rPr>
                <w:sz w:val="24"/>
              </w:rPr>
              <w:t>127</w:t>
            </w:r>
          </w:p>
          <w:p>
            <w:pPr>
              <w:pStyle w:val="TableParagraph"/>
              <w:spacing w:line="275" w:lineRule="exact"/>
              <w:ind w:left="195" w:right="182"/>
              <w:jc w:val="center"/>
              <w:rPr>
                <w:sz w:val="24"/>
              </w:rPr>
            </w:pPr>
            <w:r>
              <w:rPr>
                <w:sz w:val="24"/>
              </w:rPr>
              <w:t>203</w:t>
            </w:r>
          </w:p>
        </w:tc>
        <w:tc>
          <w:tcPr>
            <w:tcW w:w="1047" w:type="dxa"/>
          </w:tcPr>
          <w:p>
            <w:pPr>
              <w:pStyle w:val="TableParagraph"/>
              <w:spacing w:line="267" w:lineRule="exact"/>
              <w:ind w:left="316"/>
              <w:rPr>
                <w:sz w:val="24"/>
              </w:rPr>
            </w:pPr>
            <w:r>
              <w:rPr>
                <w:sz w:val="24"/>
              </w:rPr>
              <w:t>3,21</w:t>
            </w:r>
          </w:p>
          <w:p>
            <w:pPr>
              <w:pStyle w:val="TableParagraph"/>
              <w:spacing w:line="275" w:lineRule="exact"/>
              <w:ind w:left="316"/>
              <w:rPr>
                <w:sz w:val="24"/>
              </w:rPr>
            </w:pPr>
            <w:r>
              <w:rPr>
                <w:sz w:val="24"/>
              </w:rPr>
              <w:t>3,32</w:t>
            </w:r>
          </w:p>
        </w:tc>
        <w:tc>
          <w:tcPr>
            <w:tcW w:w="1153" w:type="dxa"/>
          </w:tcPr>
          <w:p>
            <w:pPr>
              <w:pStyle w:val="TableParagraph"/>
              <w:spacing w:line="267" w:lineRule="exact"/>
              <w:ind w:left="373" w:right="365"/>
              <w:jc w:val="center"/>
              <w:rPr>
                <w:sz w:val="24"/>
              </w:rPr>
            </w:pPr>
            <w:r>
              <w:rPr>
                <w:sz w:val="24"/>
              </w:rPr>
              <w:t>90</w:t>
            </w:r>
          </w:p>
          <w:p>
            <w:pPr>
              <w:pStyle w:val="TableParagraph"/>
              <w:spacing w:line="275" w:lineRule="exact"/>
              <w:ind w:left="373" w:right="370"/>
              <w:jc w:val="center"/>
              <w:rPr>
                <w:sz w:val="24"/>
              </w:rPr>
            </w:pPr>
            <w:r>
              <w:rPr>
                <w:sz w:val="24"/>
              </w:rPr>
              <w:t>172</w:t>
            </w:r>
          </w:p>
        </w:tc>
        <w:tc>
          <w:tcPr>
            <w:tcW w:w="1047" w:type="dxa"/>
          </w:tcPr>
          <w:p>
            <w:pPr>
              <w:pStyle w:val="TableParagraph"/>
              <w:spacing w:line="267" w:lineRule="exact"/>
              <w:ind w:left="339"/>
              <w:rPr>
                <w:sz w:val="24"/>
              </w:rPr>
            </w:pPr>
            <w:r>
              <w:rPr>
                <w:sz w:val="24"/>
              </w:rPr>
              <w:t>500</w:t>
            </w:r>
          </w:p>
          <w:p>
            <w:pPr>
              <w:pStyle w:val="TableParagraph"/>
              <w:spacing w:line="275" w:lineRule="exact"/>
              <w:ind w:left="339"/>
              <w:rPr>
                <w:sz w:val="24"/>
              </w:rPr>
            </w:pPr>
            <w:r>
              <w:rPr>
                <w:sz w:val="24"/>
              </w:rPr>
              <w:t>650</w:t>
            </w:r>
          </w:p>
        </w:tc>
        <w:tc>
          <w:tcPr>
            <w:tcW w:w="1224" w:type="dxa"/>
            <w:vMerge/>
            <w:tcBorders>
              <w:top w:val="nil"/>
              <w:right w:val="single" w:sz="6" w:space="0" w:color="000000"/>
            </w:tcBorders>
          </w:tcPr>
          <w:p>
            <w:pPr>
              <w:rPr>
                <w:sz w:val="2"/>
                <w:szCs w:val="2"/>
              </w:rPr>
            </w:pPr>
          </w:p>
        </w:tc>
      </w:tr>
      <w:tr>
        <w:trPr>
          <w:trHeight w:val="278" w:hRule="atLeast"/>
        </w:trPr>
        <w:tc>
          <w:tcPr>
            <w:tcW w:w="9465" w:type="dxa"/>
            <w:gridSpan w:val="10"/>
            <w:tcBorders>
              <w:right w:val="single" w:sz="6" w:space="0" w:color="000000"/>
            </w:tcBorders>
          </w:tcPr>
          <w:p>
            <w:pPr>
              <w:pStyle w:val="TableParagraph"/>
              <w:spacing w:line="258" w:lineRule="exact"/>
              <w:ind w:left="2511" w:right="2508"/>
              <w:jc w:val="center"/>
              <w:rPr>
                <w:sz w:val="24"/>
              </w:rPr>
            </w:pPr>
            <w:r>
              <w:rPr>
                <w:sz w:val="24"/>
              </w:rPr>
              <w:t>Стандарт породи</w:t>
            </w:r>
          </w:p>
        </w:tc>
      </w:tr>
      <w:tr>
        <w:trPr>
          <w:trHeight w:val="277" w:hRule="atLeast"/>
        </w:trPr>
        <w:tc>
          <w:tcPr>
            <w:tcW w:w="1570" w:type="dxa"/>
            <w:gridSpan w:val="2"/>
          </w:tcPr>
          <w:p>
            <w:pPr>
              <w:pStyle w:val="TableParagraph"/>
              <w:spacing w:line="258" w:lineRule="exact"/>
              <w:ind w:left="201"/>
              <w:rPr>
                <w:sz w:val="24"/>
              </w:rPr>
            </w:pPr>
            <w:r>
              <w:rPr>
                <w:sz w:val="24"/>
              </w:rPr>
              <w:t>ІІІ лактація</w:t>
            </w:r>
          </w:p>
        </w:tc>
        <w:tc>
          <w:tcPr>
            <w:tcW w:w="1100" w:type="dxa"/>
            <w:gridSpan w:val="2"/>
          </w:tcPr>
          <w:p>
            <w:pPr>
              <w:pStyle w:val="TableParagraph"/>
              <w:spacing w:line="258" w:lineRule="exact"/>
              <w:ind w:left="311"/>
              <w:rPr>
                <w:sz w:val="24"/>
              </w:rPr>
            </w:pPr>
            <w:r>
              <w:rPr>
                <w:sz w:val="24"/>
              </w:rPr>
              <w:t>3900</w:t>
            </w:r>
          </w:p>
        </w:tc>
        <w:tc>
          <w:tcPr>
            <w:tcW w:w="1162" w:type="dxa"/>
          </w:tcPr>
          <w:p>
            <w:pPr>
              <w:pStyle w:val="TableParagraph"/>
              <w:spacing w:line="258" w:lineRule="exact"/>
              <w:ind w:left="195" w:right="182"/>
              <w:jc w:val="center"/>
              <w:rPr>
                <w:sz w:val="24"/>
              </w:rPr>
            </w:pPr>
            <w:r>
              <w:rPr>
                <w:sz w:val="24"/>
              </w:rPr>
              <w:t>3,7</w:t>
            </w:r>
          </w:p>
        </w:tc>
        <w:tc>
          <w:tcPr>
            <w:tcW w:w="1162" w:type="dxa"/>
          </w:tcPr>
          <w:p>
            <w:pPr>
              <w:pStyle w:val="TableParagraph"/>
              <w:spacing w:line="258" w:lineRule="exact"/>
              <w:ind w:left="195" w:right="182"/>
              <w:jc w:val="center"/>
              <w:rPr>
                <w:sz w:val="24"/>
              </w:rPr>
            </w:pPr>
            <w:r>
              <w:rPr>
                <w:sz w:val="24"/>
              </w:rPr>
              <w:t>144</w:t>
            </w:r>
          </w:p>
        </w:tc>
        <w:tc>
          <w:tcPr>
            <w:tcW w:w="1047" w:type="dxa"/>
          </w:tcPr>
          <w:p>
            <w:pPr>
              <w:pStyle w:val="TableParagraph"/>
              <w:spacing w:line="258" w:lineRule="exact"/>
              <w:ind w:left="255" w:right="242"/>
              <w:jc w:val="center"/>
              <w:rPr>
                <w:sz w:val="24"/>
              </w:rPr>
            </w:pPr>
            <w:r>
              <w:rPr>
                <w:sz w:val="24"/>
              </w:rPr>
              <w:t>3,3</w:t>
            </w:r>
          </w:p>
        </w:tc>
        <w:tc>
          <w:tcPr>
            <w:tcW w:w="1153" w:type="dxa"/>
          </w:tcPr>
          <w:p>
            <w:pPr>
              <w:pStyle w:val="TableParagraph"/>
              <w:spacing w:line="258" w:lineRule="exact"/>
              <w:ind w:right="387"/>
              <w:jc w:val="right"/>
              <w:rPr>
                <w:sz w:val="24"/>
              </w:rPr>
            </w:pPr>
            <w:r>
              <w:rPr>
                <w:sz w:val="24"/>
              </w:rPr>
              <w:t>129</w:t>
            </w:r>
          </w:p>
        </w:tc>
        <w:tc>
          <w:tcPr>
            <w:tcW w:w="1047" w:type="dxa"/>
          </w:tcPr>
          <w:p>
            <w:pPr>
              <w:pStyle w:val="TableParagraph"/>
              <w:spacing w:line="258" w:lineRule="exact"/>
              <w:ind w:right="335"/>
              <w:jc w:val="right"/>
              <w:rPr>
                <w:sz w:val="24"/>
              </w:rPr>
            </w:pPr>
            <w:r>
              <w:rPr>
                <w:sz w:val="24"/>
              </w:rPr>
              <w:t>530</w:t>
            </w:r>
          </w:p>
        </w:tc>
        <w:tc>
          <w:tcPr>
            <w:tcW w:w="1224" w:type="dxa"/>
            <w:tcBorders>
              <w:right w:val="single" w:sz="6" w:space="0" w:color="000000"/>
            </w:tcBorders>
          </w:tcPr>
          <w:p>
            <w:pPr>
              <w:pStyle w:val="TableParagraph"/>
              <w:rPr>
                <w:sz w:val="20"/>
              </w:rPr>
            </w:pPr>
          </w:p>
        </w:tc>
      </w:tr>
      <w:tr>
        <w:trPr>
          <w:trHeight w:val="552" w:hRule="atLeast"/>
        </w:trPr>
        <w:tc>
          <w:tcPr>
            <w:tcW w:w="1570" w:type="dxa"/>
            <w:gridSpan w:val="2"/>
          </w:tcPr>
          <w:p>
            <w:pPr>
              <w:pStyle w:val="TableParagraph"/>
              <w:spacing w:line="267" w:lineRule="exact"/>
              <w:ind w:left="417"/>
              <w:rPr>
                <w:sz w:val="24"/>
              </w:rPr>
            </w:pPr>
            <w:r>
              <w:rPr>
                <w:sz w:val="24"/>
              </w:rPr>
              <w:t>± до ІІІ</w:t>
            </w:r>
          </w:p>
          <w:p>
            <w:pPr>
              <w:pStyle w:val="TableParagraph"/>
              <w:spacing w:line="265" w:lineRule="exact"/>
              <w:ind w:left="374"/>
              <w:rPr>
                <w:sz w:val="24"/>
              </w:rPr>
            </w:pPr>
            <w:r>
              <w:rPr>
                <w:sz w:val="24"/>
              </w:rPr>
              <w:t>лактації</w:t>
            </w:r>
          </w:p>
        </w:tc>
        <w:tc>
          <w:tcPr>
            <w:tcW w:w="1100" w:type="dxa"/>
            <w:gridSpan w:val="2"/>
          </w:tcPr>
          <w:p>
            <w:pPr>
              <w:pStyle w:val="TableParagraph"/>
              <w:spacing w:line="268" w:lineRule="exact"/>
              <w:ind w:left="273"/>
              <w:rPr>
                <w:sz w:val="24"/>
              </w:rPr>
            </w:pPr>
            <w:r>
              <w:rPr>
                <w:sz w:val="24"/>
              </w:rPr>
              <w:t>+ 252</w:t>
            </w:r>
          </w:p>
        </w:tc>
        <w:tc>
          <w:tcPr>
            <w:tcW w:w="1162" w:type="dxa"/>
          </w:tcPr>
          <w:p>
            <w:pPr>
              <w:pStyle w:val="TableParagraph"/>
              <w:spacing w:line="268" w:lineRule="exact"/>
              <w:ind w:left="190" w:right="182"/>
              <w:jc w:val="center"/>
              <w:rPr>
                <w:sz w:val="24"/>
              </w:rPr>
            </w:pPr>
            <w:r>
              <w:rPr>
                <w:sz w:val="24"/>
              </w:rPr>
              <w:t>+0,37</w:t>
            </w:r>
          </w:p>
        </w:tc>
        <w:tc>
          <w:tcPr>
            <w:tcW w:w="1162" w:type="dxa"/>
          </w:tcPr>
          <w:p>
            <w:pPr>
              <w:pStyle w:val="TableParagraph"/>
              <w:spacing w:line="268" w:lineRule="exact"/>
              <w:ind w:left="193" w:right="182"/>
              <w:jc w:val="center"/>
              <w:rPr>
                <w:sz w:val="24"/>
              </w:rPr>
            </w:pPr>
            <w:r>
              <w:rPr>
                <w:sz w:val="24"/>
              </w:rPr>
              <w:t>+24,8</w:t>
            </w:r>
          </w:p>
        </w:tc>
        <w:tc>
          <w:tcPr>
            <w:tcW w:w="1047" w:type="dxa"/>
          </w:tcPr>
          <w:p>
            <w:pPr>
              <w:pStyle w:val="TableParagraph"/>
              <w:spacing w:line="268" w:lineRule="exact"/>
              <w:ind w:left="255" w:right="242"/>
              <w:jc w:val="center"/>
              <w:rPr>
                <w:sz w:val="24"/>
              </w:rPr>
            </w:pPr>
            <w:r>
              <w:rPr>
                <w:sz w:val="24"/>
              </w:rPr>
              <w:t>-0,06</w:t>
            </w:r>
          </w:p>
        </w:tc>
        <w:tc>
          <w:tcPr>
            <w:tcW w:w="1153" w:type="dxa"/>
          </w:tcPr>
          <w:p>
            <w:pPr>
              <w:pStyle w:val="TableParagraph"/>
              <w:spacing w:line="268" w:lineRule="exact"/>
              <w:ind w:right="316"/>
              <w:jc w:val="right"/>
              <w:rPr>
                <w:sz w:val="24"/>
              </w:rPr>
            </w:pPr>
            <w:r>
              <w:rPr>
                <w:sz w:val="24"/>
              </w:rPr>
              <w:t>+ 6,2</w:t>
            </w:r>
          </w:p>
        </w:tc>
        <w:tc>
          <w:tcPr>
            <w:tcW w:w="1047" w:type="dxa"/>
          </w:tcPr>
          <w:p>
            <w:pPr>
              <w:pStyle w:val="TableParagraph"/>
              <w:spacing w:line="268" w:lineRule="exact"/>
              <w:ind w:right="296"/>
              <w:jc w:val="right"/>
              <w:rPr>
                <w:sz w:val="24"/>
              </w:rPr>
            </w:pPr>
            <w:r>
              <w:rPr>
                <w:sz w:val="24"/>
              </w:rPr>
              <w:t>+ 19</w:t>
            </w:r>
          </w:p>
        </w:tc>
        <w:tc>
          <w:tcPr>
            <w:tcW w:w="1224" w:type="dxa"/>
            <w:tcBorders>
              <w:right w:val="single" w:sz="6" w:space="0" w:color="000000"/>
            </w:tcBorders>
          </w:tcPr>
          <w:p>
            <w:pPr>
              <w:pStyle w:val="TableParagraph"/>
              <w:rPr>
                <w:sz w:val="26"/>
              </w:rPr>
            </w:pPr>
          </w:p>
        </w:tc>
      </w:tr>
    </w:tbl>
    <w:p>
      <w:pPr>
        <w:pStyle w:val="BodyText"/>
        <w:spacing w:before="4"/>
        <w:ind w:left="0"/>
        <w:jc w:val="left"/>
        <w:rPr>
          <w:sz w:val="27"/>
        </w:rPr>
      </w:pPr>
    </w:p>
    <w:p>
      <w:pPr>
        <w:pStyle w:val="BodyText"/>
        <w:ind w:right="617" w:firstLine="710"/>
      </w:pPr>
      <w:r>
        <w:rPr/>
        <w:t>З таблиці 2 видно, що корови які належать до лінії Цирруса за рівнем молочної</w:t>
      </w:r>
      <w:r>
        <w:rPr>
          <w:spacing w:val="-20"/>
        </w:rPr>
        <w:t> </w:t>
      </w:r>
      <w:r>
        <w:rPr/>
        <w:t>продуктивності</w:t>
      </w:r>
      <w:r>
        <w:rPr>
          <w:spacing w:val="-19"/>
        </w:rPr>
        <w:t> </w:t>
      </w:r>
      <w:r>
        <w:rPr/>
        <w:t>перевищують</w:t>
      </w:r>
      <w:r>
        <w:rPr>
          <w:spacing w:val="-16"/>
        </w:rPr>
        <w:t> </w:t>
      </w:r>
      <w:r>
        <w:rPr/>
        <w:t>нормативні</w:t>
      </w:r>
      <w:r>
        <w:rPr>
          <w:spacing w:val="-19"/>
        </w:rPr>
        <w:t> </w:t>
      </w:r>
      <w:r>
        <w:rPr/>
        <w:t>вимоги</w:t>
      </w:r>
      <w:r>
        <w:rPr>
          <w:spacing w:val="-15"/>
        </w:rPr>
        <w:t> </w:t>
      </w:r>
      <w:r>
        <w:rPr/>
        <w:t>породного</w:t>
      </w:r>
      <w:r>
        <w:rPr>
          <w:spacing w:val="-15"/>
        </w:rPr>
        <w:t> </w:t>
      </w:r>
      <w:r>
        <w:rPr/>
        <w:t>стандарту як</w:t>
      </w:r>
      <w:r>
        <w:rPr>
          <w:spacing w:val="-7"/>
        </w:rPr>
        <w:t> </w:t>
      </w:r>
      <w:r>
        <w:rPr/>
        <w:t>за</w:t>
      </w:r>
      <w:r>
        <w:rPr>
          <w:spacing w:val="-5"/>
        </w:rPr>
        <w:t> </w:t>
      </w:r>
      <w:r>
        <w:rPr/>
        <w:t>першу</w:t>
      </w:r>
      <w:r>
        <w:rPr>
          <w:spacing w:val="-11"/>
        </w:rPr>
        <w:t> </w:t>
      </w:r>
      <w:r>
        <w:rPr/>
        <w:t>так</w:t>
      </w:r>
      <w:r>
        <w:rPr>
          <w:spacing w:val="-2"/>
        </w:rPr>
        <w:t> </w:t>
      </w:r>
      <w:r>
        <w:rPr/>
        <w:t>і</w:t>
      </w:r>
      <w:r>
        <w:rPr>
          <w:spacing w:val="-12"/>
        </w:rPr>
        <w:t> </w:t>
      </w:r>
      <w:r>
        <w:rPr/>
        <w:t>за</w:t>
      </w:r>
      <w:r>
        <w:rPr>
          <w:spacing w:val="-5"/>
        </w:rPr>
        <w:t> </w:t>
      </w:r>
      <w:r>
        <w:rPr/>
        <w:t>третю</w:t>
      </w:r>
      <w:r>
        <w:rPr>
          <w:spacing w:val="-8"/>
        </w:rPr>
        <w:t> </w:t>
      </w:r>
      <w:r>
        <w:rPr/>
        <w:t>лактацію.</w:t>
      </w:r>
      <w:r>
        <w:rPr>
          <w:spacing w:val="-4"/>
        </w:rPr>
        <w:t> </w:t>
      </w:r>
      <w:r>
        <w:rPr/>
        <w:t>За</w:t>
      </w:r>
      <w:r>
        <w:rPr>
          <w:spacing w:val="-5"/>
        </w:rPr>
        <w:t> </w:t>
      </w:r>
      <w:r>
        <w:rPr/>
        <w:t>надоєм</w:t>
      </w:r>
      <w:r>
        <w:rPr>
          <w:spacing w:val="-5"/>
        </w:rPr>
        <w:t> </w:t>
      </w:r>
      <w:r>
        <w:rPr/>
        <w:t>+780</w:t>
      </w:r>
      <w:r>
        <w:rPr>
          <w:spacing w:val="-6"/>
        </w:rPr>
        <w:t> </w:t>
      </w:r>
      <w:r>
        <w:rPr/>
        <w:t>кг,</w:t>
      </w:r>
      <w:r>
        <w:rPr>
          <w:spacing w:val="-4"/>
        </w:rPr>
        <w:t> </w:t>
      </w:r>
      <w:r>
        <w:rPr/>
        <w:t>вмістом</w:t>
      </w:r>
      <w:r>
        <w:rPr>
          <w:spacing w:val="-5"/>
        </w:rPr>
        <w:t> </w:t>
      </w:r>
      <w:r>
        <w:rPr/>
        <w:t>молочного</w:t>
      </w:r>
      <w:r>
        <w:rPr>
          <w:spacing w:val="-6"/>
        </w:rPr>
        <w:t> </w:t>
      </w:r>
      <w:r>
        <w:rPr/>
        <w:t>жиру</w:t>
      </w:r>
    </w:p>
    <w:p>
      <w:pPr>
        <w:pStyle w:val="BodyText"/>
        <w:ind w:right="614"/>
      </w:pPr>
      <w:r>
        <w:rPr/>
        <w:t>+39,4, молочного білку 23,5, живою масою +22 кг. За третьою лактацією відповідно +252; +24,8; +6,2; +19 кг. З таблиці також видно що за вмістом білку в молоці корови поступаються вимогам породного стандарту на 0,06%[ 8,9]. У таблиці 3. представлені показники продуктивності якості корів-дочок голштинізованих бугаїв-плідників. З цієї таблиці видно, що корови які походять від</w:t>
      </w:r>
      <w:r>
        <w:rPr>
          <w:spacing w:val="-7"/>
        </w:rPr>
        <w:t> </w:t>
      </w:r>
      <w:r>
        <w:rPr/>
        <w:t>голштинізованого</w:t>
      </w:r>
      <w:r>
        <w:rPr>
          <w:spacing w:val="-9"/>
        </w:rPr>
        <w:t> </w:t>
      </w:r>
      <w:r>
        <w:rPr/>
        <w:t>бугая</w:t>
      </w:r>
      <w:r>
        <w:rPr>
          <w:spacing w:val="-8"/>
        </w:rPr>
        <w:t> </w:t>
      </w:r>
      <w:r>
        <w:rPr/>
        <w:t>Лімур</w:t>
      </w:r>
      <w:r>
        <w:rPr>
          <w:spacing w:val="-8"/>
        </w:rPr>
        <w:t> </w:t>
      </w:r>
      <w:r>
        <w:rPr/>
        <w:t>640,</w:t>
      </w:r>
      <w:r>
        <w:rPr>
          <w:spacing w:val="-7"/>
        </w:rPr>
        <w:t> </w:t>
      </w:r>
      <w:r>
        <w:rPr/>
        <w:t>в</w:t>
      </w:r>
      <w:r>
        <w:rPr>
          <w:spacing w:val="-15"/>
        </w:rPr>
        <w:t> </w:t>
      </w:r>
      <w:r>
        <w:rPr/>
        <w:t>порівнянні</w:t>
      </w:r>
      <w:r>
        <w:rPr>
          <w:spacing w:val="-15"/>
        </w:rPr>
        <w:t> </w:t>
      </w:r>
      <w:r>
        <w:rPr/>
        <w:t>зі</w:t>
      </w:r>
      <w:r>
        <w:rPr>
          <w:spacing w:val="-13"/>
        </w:rPr>
        <w:t> </w:t>
      </w:r>
      <w:r>
        <w:rPr/>
        <w:t>стандартом</w:t>
      </w:r>
      <w:r>
        <w:rPr>
          <w:spacing w:val="-8"/>
        </w:rPr>
        <w:t> </w:t>
      </w:r>
      <w:r>
        <w:rPr/>
        <w:t>мають</w:t>
      </w:r>
      <w:r>
        <w:rPr>
          <w:spacing w:val="-11"/>
        </w:rPr>
        <w:t> </w:t>
      </w:r>
      <w:r>
        <w:rPr/>
        <w:t>порідні відмінності</w:t>
      </w:r>
      <w:r>
        <w:rPr>
          <w:spacing w:val="-8"/>
        </w:rPr>
        <w:t> </w:t>
      </w:r>
      <w:r>
        <w:rPr/>
        <w:t>за</w:t>
      </w:r>
      <w:r>
        <w:rPr>
          <w:spacing w:val="-5"/>
        </w:rPr>
        <w:t> </w:t>
      </w:r>
      <w:r>
        <w:rPr/>
        <w:t>надоєм</w:t>
      </w:r>
      <w:r>
        <w:rPr>
          <w:spacing w:val="-5"/>
        </w:rPr>
        <w:t> </w:t>
      </w:r>
      <w:r>
        <w:rPr/>
        <w:t>молока</w:t>
      </w:r>
      <w:r>
        <w:rPr>
          <w:spacing w:val="-6"/>
        </w:rPr>
        <w:t> </w:t>
      </w:r>
      <w:r>
        <w:rPr/>
        <w:t>+821</w:t>
      </w:r>
      <w:r>
        <w:rPr>
          <w:spacing w:val="-6"/>
        </w:rPr>
        <w:t> </w:t>
      </w:r>
      <w:r>
        <w:rPr/>
        <w:t>кг</w:t>
      </w:r>
      <w:r>
        <w:rPr>
          <w:spacing w:val="-6"/>
        </w:rPr>
        <w:t> </w:t>
      </w:r>
      <w:r>
        <w:rPr/>
        <w:t>(26,5%),</w:t>
      </w:r>
      <w:r>
        <w:rPr>
          <w:spacing w:val="-4"/>
        </w:rPr>
        <w:t> </w:t>
      </w:r>
      <w:r>
        <w:rPr/>
        <w:t>молочного</w:t>
      </w:r>
      <w:r>
        <w:rPr>
          <w:spacing w:val="-6"/>
        </w:rPr>
        <w:t> </w:t>
      </w:r>
      <w:r>
        <w:rPr/>
        <w:t>жиру</w:t>
      </w:r>
      <w:r>
        <w:rPr>
          <w:spacing w:val="-11"/>
        </w:rPr>
        <w:t> </w:t>
      </w:r>
      <w:r>
        <w:rPr/>
        <w:t>+41,7</w:t>
      </w:r>
      <w:r>
        <w:rPr>
          <w:spacing w:val="-6"/>
        </w:rPr>
        <w:t> </w:t>
      </w:r>
      <w:r>
        <w:rPr/>
        <w:t>кг</w:t>
      </w:r>
      <w:r>
        <w:rPr>
          <w:spacing w:val="-6"/>
        </w:rPr>
        <w:t> </w:t>
      </w:r>
      <w:r>
        <w:rPr/>
        <w:t>(31,2%),</w:t>
      </w:r>
    </w:p>
    <w:p>
      <w:pPr>
        <w:spacing w:after="0"/>
        <w:sectPr>
          <w:pgSz w:w="11910" w:h="16840"/>
          <w:pgMar w:header="713" w:footer="778" w:top="1140" w:bottom="960" w:left="940" w:right="520"/>
        </w:sectPr>
      </w:pPr>
    </w:p>
    <w:p>
      <w:pPr>
        <w:pStyle w:val="BodyText"/>
        <w:spacing w:before="92"/>
        <w:ind w:right="612"/>
      </w:pPr>
      <w:r>
        <w:rPr/>
        <w:t>молочного білка +27,6 кг (27,0%). Аналіз порівняльної характеристики до нормативних вимог стандарту показав (Таблиця 3), що надій корів, одержаних від голштинізованого бугая Надира 357 за І лактацію більше на 1105 кг молока, за третю відповідно на 557 кг, молочного жиру на 35,96 кг і 36,6 кг, молочного білка на 32,13 кг і 17,2 кг. Перевищували нащадки бугая Надира 357 і за живою масою на 35 та 33,8 кг.</w:t>
      </w:r>
    </w:p>
    <w:p>
      <w:pPr>
        <w:pStyle w:val="BodyText"/>
        <w:spacing w:before="3" w:after="6"/>
        <w:ind w:right="610" w:firstLine="710"/>
      </w:pPr>
      <w:r>
        <w:rPr/>
        <w:t>Таблиця 3. Продуктивні якості корів-дочок голштинізованих бугаїв- плідників</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8"/>
        <w:gridCol w:w="1220"/>
        <w:gridCol w:w="1114"/>
        <w:gridCol w:w="1119"/>
        <w:gridCol w:w="1215"/>
        <w:gridCol w:w="1018"/>
        <w:gridCol w:w="1004"/>
        <w:gridCol w:w="970"/>
        <w:gridCol w:w="1128"/>
      </w:tblGrid>
      <w:tr>
        <w:trPr>
          <w:trHeight w:val="273" w:hRule="atLeast"/>
        </w:trPr>
        <w:tc>
          <w:tcPr>
            <w:tcW w:w="2008" w:type="dxa"/>
            <w:gridSpan w:val="2"/>
            <w:vMerge w:val="restart"/>
            <w:tcBorders>
              <w:right w:val="single" w:sz="6" w:space="0" w:color="000000"/>
            </w:tcBorders>
          </w:tcPr>
          <w:p>
            <w:pPr>
              <w:pStyle w:val="TableParagraph"/>
              <w:rPr>
                <w:sz w:val="26"/>
              </w:rPr>
            </w:pPr>
          </w:p>
          <w:p>
            <w:pPr>
              <w:pStyle w:val="TableParagraph"/>
              <w:spacing w:before="7"/>
              <w:rPr>
                <w:sz w:val="24"/>
              </w:rPr>
            </w:pPr>
          </w:p>
          <w:p>
            <w:pPr>
              <w:pStyle w:val="TableParagraph"/>
              <w:ind w:left="398"/>
              <w:rPr>
                <w:sz w:val="24"/>
              </w:rPr>
            </w:pPr>
            <w:r>
              <w:rPr>
                <w:sz w:val="24"/>
              </w:rPr>
              <w:t>Група корів</w:t>
            </w:r>
          </w:p>
        </w:tc>
        <w:tc>
          <w:tcPr>
            <w:tcW w:w="1114" w:type="dxa"/>
            <w:vMerge w:val="restart"/>
            <w:tcBorders>
              <w:left w:val="single" w:sz="6" w:space="0" w:color="000000"/>
            </w:tcBorders>
          </w:tcPr>
          <w:p>
            <w:pPr>
              <w:pStyle w:val="TableParagraph"/>
              <w:spacing w:before="4"/>
              <w:rPr>
                <w:sz w:val="26"/>
              </w:rPr>
            </w:pPr>
          </w:p>
          <w:p>
            <w:pPr>
              <w:pStyle w:val="TableParagraph"/>
              <w:ind w:left="159" w:right="140" w:hanging="9"/>
              <w:jc w:val="center"/>
              <w:rPr>
                <w:sz w:val="24"/>
              </w:rPr>
            </w:pPr>
            <w:r>
              <w:rPr>
                <w:sz w:val="24"/>
              </w:rPr>
              <w:t>Надій молока, кг</w:t>
            </w:r>
          </w:p>
        </w:tc>
        <w:tc>
          <w:tcPr>
            <w:tcW w:w="4356" w:type="dxa"/>
            <w:gridSpan w:val="4"/>
          </w:tcPr>
          <w:p>
            <w:pPr>
              <w:pStyle w:val="TableParagraph"/>
              <w:spacing w:line="253" w:lineRule="exact"/>
              <w:ind w:left="1256"/>
              <w:rPr>
                <w:sz w:val="24"/>
              </w:rPr>
            </w:pPr>
            <w:r>
              <w:rPr>
                <w:sz w:val="24"/>
              </w:rPr>
              <w:t>Вміст та кількість</w:t>
            </w:r>
          </w:p>
        </w:tc>
        <w:tc>
          <w:tcPr>
            <w:tcW w:w="970" w:type="dxa"/>
            <w:vMerge w:val="restart"/>
          </w:tcPr>
          <w:p>
            <w:pPr>
              <w:pStyle w:val="TableParagraph"/>
              <w:spacing w:before="4"/>
              <w:rPr>
                <w:sz w:val="26"/>
              </w:rPr>
            </w:pPr>
          </w:p>
          <w:p>
            <w:pPr>
              <w:pStyle w:val="TableParagraph"/>
              <w:ind w:left="175" w:right="176"/>
              <w:jc w:val="center"/>
              <w:rPr>
                <w:sz w:val="24"/>
              </w:rPr>
            </w:pPr>
            <w:r>
              <w:rPr>
                <w:sz w:val="24"/>
              </w:rPr>
              <w:t>Жива маса, кг</w:t>
            </w:r>
          </w:p>
        </w:tc>
        <w:tc>
          <w:tcPr>
            <w:tcW w:w="1128" w:type="dxa"/>
            <w:vMerge w:val="restart"/>
            <w:tcBorders>
              <w:right w:val="single" w:sz="6" w:space="0" w:color="000000"/>
            </w:tcBorders>
          </w:tcPr>
          <w:p>
            <w:pPr>
              <w:pStyle w:val="TableParagraph"/>
              <w:spacing w:before="4"/>
              <w:rPr>
                <w:sz w:val="26"/>
              </w:rPr>
            </w:pPr>
          </w:p>
          <w:p>
            <w:pPr>
              <w:pStyle w:val="TableParagraph"/>
              <w:ind w:left="108" w:right="112" w:firstLine="5"/>
              <w:jc w:val="center"/>
              <w:rPr>
                <w:sz w:val="24"/>
              </w:rPr>
            </w:pPr>
            <w:r>
              <w:rPr>
                <w:sz w:val="24"/>
              </w:rPr>
              <w:t>Оцінка </w:t>
            </w:r>
            <w:r>
              <w:rPr>
                <w:spacing w:val="-1"/>
                <w:sz w:val="24"/>
              </w:rPr>
              <w:t>тілобудо </w:t>
            </w:r>
            <w:r>
              <w:rPr>
                <w:sz w:val="24"/>
              </w:rPr>
              <w:t>ви бал</w:t>
            </w:r>
          </w:p>
        </w:tc>
      </w:tr>
      <w:tr>
        <w:trPr>
          <w:trHeight w:val="278" w:hRule="atLeast"/>
        </w:trPr>
        <w:tc>
          <w:tcPr>
            <w:tcW w:w="2008" w:type="dxa"/>
            <w:gridSpan w:val="2"/>
            <w:vMerge/>
            <w:tcBorders>
              <w:top w:val="nil"/>
              <w:right w:val="single" w:sz="6" w:space="0" w:color="000000"/>
            </w:tcBorders>
          </w:tcPr>
          <w:p>
            <w:pPr>
              <w:rPr>
                <w:sz w:val="2"/>
                <w:szCs w:val="2"/>
              </w:rPr>
            </w:pPr>
          </w:p>
        </w:tc>
        <w:tc>
          <w:tcPr>
            <w:tcW w:w="1114" w:type="dxa"/>
            <w:vMerge/>
            <w:tcBorders>
              <w:top w:val="nil"/>
              <w:left w:val="single" w:sz="6" w:space="0" w:color="000000"/>
            </w:tcBorders>
          </w:tcPr>
          <w:p>
            <w:pPr>
              <w:rPr>
                <w:sz w:val="2"/>
                <w:szCs w:val="2"/>
              </w:rPr>
            </w:pPr>
          </w:p>
        </w:tc>
        <w:tc>
          <w:tcPr>
            <w:tcW w:w="4356" w:type="dxa"/>
            <w:gridSpan w:val="4"/>
          </w:tcPr>
          <w:p>
            <w:pPr>
              <w:pStyle w:val="TableParagraph"/>
              <w:spacing w:line="258" w:lineRule="exact"/>
              <w:ind w:left="1573" w:right="1572"/>
              <w:jc w:val="center"/>
              <w:rPr>
                <w:sz w:val="24"/>
              </w:rPr>
            </w:pPr>
            <w:r>
              <w:rPr>
                <w:sz w:val="24"/>
              </w:rPr>
              <w:t>Молочного</w:t>
            </w:r>
          </w:p>
        </w:tc>
        <w:tc>
          <w:tcPr>
            <w:tcW w:w="970" w:type="dxa"/>
            <w:vMerge/>
            <w:tcBorders>
              <w:top w:val="nil"/>
            </w:tcBorders>
          </w:tcPr>
          <w:p>
            <w:pPr>
              <w:rPr>
                <w:sz w:val="2"/>
                <w:szCs w:val="2"/>
              </w:rPr>
            </w:pPr>
          </w:p>
        </w:tc>
        <w:tc>
          <w:tcPr>
            <w:tcW w:w="1128" w:type="dxa"/>
            <w:vMerge/>
            <w:tcBorders>
              <w:top w:val="nil"/>
              <w:right w:val="single" w:sz="6" w:space="0" w:color="000000"/>
            </w:tcBorders>
          </w:tcPr>
          <w:p>
            <w:pPr>
              <w:rPr>
                <w:sz w:val="2"/>
                <w:szCs w:val="2"/>
              </w:rPr>
            </w:pPr>
          </w:p>
        </w:tc>
      </w:tr>
      <w:tr>
        <w:trPr>
          <w:trHeight w:val="278" w:hRule="atLeast"/>
        </w:trPr>
        <w:tc>
          <w:tcPr>
            <w:tcW w:w="2008" w:type="dxa"/>
            <w:gridSpan w:val="2"/>
            <w:vMerge/>
            <w:tcBorders>
              <w:top w:val="nil"/>
              <w:right w:val="single" w:sz="6" w:space="0" w:color="000000"/>
            </w:tcBorders>
          </w:tcPr>
          <w:p>
            <w:pPr>
              <w:rPr>
                <w:sz w:val="2"/>
                <w:szCs w:val="2"/>
              </w:rPr>
            </w:pPr>
          </w:p>
        </w:tc>
        <w:tc>
          <w:tcPr>
            <w:tcW w:w="1114" w:type="dxa"/>
            <w:vMerge/>
            <w:tcBorders>
              <w:top w:val="nil"/>
              <w:left w:val="single" w:sz="6" w:space="0" w:color="000000"/>
            </w:tcBorders>
          </w:tcPr>
          <w:p>
            <w:pPr>
              <w:rPr>
                <w:sz w:val="2"/>
                <w:szCs w:val="2"/>
              </w:rPr>
            </w:pPr>
          </w:p>
        </w:tc>
        <w:tc>
          <w:tcPr>
            <w:tcW w:w="2334" w:type="dxa"/>
            <w:gridSpan w:val="2"/>
          </w:tcPr>
          <w:p>
            <w:pPr>
              <w:pStyle w:val="TableParagraph"/>
              <w:spacing w:line="258" w:lineRule="exact"/>
              <w:ind w:left="855" w:right="844"/>
              <w:jc w:val="center"/>
              <w:rPr>
                <w:sz w:val="24"/>
              </w:rPr>
            </w:pPr>
            <w:r>
              <w:rPr>
                <w:sz w:val="24"/>
              </w:rPr>
              <w:t>Жиру</w:t>
            </w:r>
          </w:p>
        </w:tc>
        <w:tc>
          <w:tcPr>
            <w:tcW w:w="2022" w:type="dxa"/>
            <w:gridSpan w:val="2"/>
          </w:tcPr>
          <w:p>
            <w:pPr>
              <w:pStyle w:val="TableParagraph"/>
              <w:spacing w:line="258" w:lineRule="exact"/>
              <w:ind w:left="708" w:right="702"/>
              <w:jc w:val="center"/>
              <w:rPr>
                <w:sz w:val="24"/>
              </w:rPr>
            </w:pPr>
            <w:r>
              <w:rPr>
                <w:sz w:val="24"/>
              </w:rPr>
              <w:t>Білку</w:t>
            </w:r>
          </w:p>
        </w:tc>
        <w:tc>
          <w:tcPr>
            <w:tcW w:w="970" w:type="dxa"/>
            <w:vMerge/>
            <w:tcBorders>
              <w:top w:val="nil"/>
            </w:tcBorders>
          </w:tcPr>
          <w:p>
            <w:pPr>
              <w:rPr>
                <w:sz w:val="2"/>
                <w:szCs w:val="2"/>
              </w:rPr>
            </w:pPr>
          </w:p>
        </w:tc>
        <w:tc>
          <w:tcPr>
            <w:tcW w:w="1128" w:type="dxa"/>
            <w:vMerge/>
            <w:tcBorders>
              <w:top w:val="nil"/>
              <w:right w:val="single" w:sz="6" w:space="0" w:color="000000"/>
            </w:tcBorders>
          </w:tcPr>
          <w:p>
            <w:pPr>
              <w:rPr>
                <w:sz w:val="2"/>
                <w:szCs w:val="2"/>
              </w:rPr>
            </w:pPr>
          </w:p>
        </w:tc>
      </w:tr>
      <w:tr>
        <w:trPr>
          <w:trHeight w:val="594" w:hRule="atLeast"/>
        </w:trPr>
        <w:tc>
          <w:tcPr>
            <w:tcW w:w="2008" w:type="dxa"/>
            <w:gridSpan w:val="2"/>
            <w:vMerge/>
            <w:tcBorders>
              <w:top w:val="nil"/>
              <w:right w:val="single" w:sz="6" w:space="0" w:color="000000"/>
            </w:tcBorders>
          </w:tcPr>
          <w:p>
            <w:pPr>
              <w:rPr>
                <w:sz w:val="2"/>
                <w:szCs w:val="2"/>
              </w:rPr>
            </w:pPr>
          </w:p>
        </w:tc>
        <w:tc>
          <w:tcPr>
            <w:tcW w:w="1114" w:type="dxa"/>
            <w:vMerge/>
            <w:tcBorders>
              <w:top w:val="nil"/>
              <w:left w:val="single" w:sz="6" w:space="0" w:color="000000"/>
            </w:tcBorders>
          </w:tcPr>
          <w:p>
            <w:pPr>
              <w:rPr>
                <w:sz w:val="2"/>
                <w:szCs w:val="2"/>
              </w:rPr>
            </w:pPr>
          </w:p>
        </w:tc>
        <w:tc>
          <w:tcPr>
            <w:tcW w:w="1119" w:type="dxa"/>
          </w:tcPr>
          <w:p>
            <w:pPr>
              <w:pStyle w:val="TableParagraph"/>
              <w:spacing w:before="150"/>
              <w:ind w:left="1"/>
              <w:jc w:val="center"/>
              <w:rPr>
                <w:sz w:val="24"/>
              </w:rPr>
            </w:pPr>
            <w:r>
              <w:rPr>
                <w:w w:val="99"/>
                <w:sz w:val="24"/>
              </w:rPr>
              <w:t>%</w:t>
            </w:r>
          </w:p>
        </w:tc>
        <w:tc>
          <w:tcPr>
            <w:tcW w:w="1215" w:type="dxa"/>
          </w:tcPr>
          <w:p>
            <w:pPr>
              <w:pStyle w:val="TableParagraph"/>
              <w:spacing w:before="150"/>
              <w:ind w:left="402" w:right="399"/>
              <w:jc w:val="center"/>
              <w:rPr>
                <w:sz w:val="24"/>
              </w:rPr>
            </w:pPr>
            <w:r>
              <w:rPr>
                <w:sz w:val="24"/>
              </w:rPr>
              <w:t>кг</w:t>
            </w:r>
          </w:p>
        </w:tc>
        <w:tc>
          <w:tcPr>
            <w:tcW w:w="1018" w:type="dxa"/>
          </w:tcPr>
          <w:p>
            <w:pPr>
              <w:pStyle w:val="TableParagraph"/>
              <w:spacing w:before="150"/>
              <w:ind w:left="5"/>
              <w:jc w:val="center"/>
              <w:rPr>
                <w:sz w:val="24"/>
              </w:rPr>
            </w:pPr>
            <w:r>
              <w:rPr>
                <w:w w:val="99"/>
                <w:sz w:val="24"/>
              </w:rPr>
              <w:t>%</w:t>
            </w:r>
          </w:p>
        </w:tc>
        <w:tc>
          <w:tcPr>
            <w:tcW w:w="1004" w:type="dxa"/>
          </w:tcPr>
          <w:p>
            <w:pPr>
              <w:pStyle w:val="TableParagraph"/>
              <w:spacing w:before="150"/>
              <w:ind w:left="128" w:right="126"/>
              <w:jc w:val="center"/>
              <w:rPr>
                <w:sz w:val="24"/>
              </w:rPr>
            </w:pPr>
            <w:r>
              <w:rPr>
                <w:sz w:val="24"/>
              </w:rPr>
              <w:t>кг</w:t>
            </w:r>
          </w:p>
        </w:tc>
        <w:tc>
          <w:tcPr>
            <w:tcW w:w="970" w:type="dxa"/>
            <w:vMerge/>
            <w:tcBorders>
              <w:top w:val="nil"/>
            </w:tcBorders>
          </w:tcPr>
          <w:p>
            <w:pPr>
              <w:rPr>
                <w:sz w:val="2"/>
                <w:szCs w:val="2"/>
              </w:rPr>
            </w:pPr>
          </w:p>
        </w:tc>
        <w:tc>
          <w:tcPr>
            <w:tcW w:w="1128" w:type="dxa"/>
            <w:vMerge/>
            <w:tcBorders>
              <w:top w:val="nil"/>
              <w:right w:val="single" w:sz="6" w:space="0" w:color="000000"/>
            </w:tcBorders>
          </w:tcPr>
          <w:p>
            <w:pPr>
              <w:rPr>
                <w:sz w:val="2"/>
                <w:szCs w:val="2"/>
              </w:rPr>
            </w:pPr>
          </w:p>
        </w:tc>
      </w:tr>
      <w:tr>
        <w:trPr>
          <w:trHeight w:val="278" w:hRule="atLeast"/>
        </w:trPr>
        <w:tc>
          <w:tcPr>
            <w:tcW w:w="9576" w:type="dxa"/>
            <w:gridSpan w:val="9"/>
            <w:tcBorders>
              <w:right w:val="single" w:sz="6" w:space="0" w:color="000000"/>
            </w:tcBorders>
          </w:tcPr>
          <w:p>
            <w:pPr>
              <w:pStyle w:val="TableParagraph"/>
              <w:spacing w:line="258" w:lineRule="exact"/>
              <w:ind w:left="1933" w:right="1920"/>
              <w:jc w:val="center"/>
              <w:rPr>
                <w:sz w:val="24"/>
              </w:rPr>
            </w:pPr>
            <w:r>
              <w:rPr>
                <w:sz w:val="24"/>
              </w:rPr>
              <w:t>Лінія Кавалера, б. Лімур 640/1330 Г 89,5+ЧС6,3+ЧД4,2</w:t>
            </w:r>
          </w:p>
        </w:tc>
      </w:tr>
      <w:tr>
        <w:trPr>
          <w:trHeight w:val="551" w:hRule="atLeast"/>
        </w:trPr>
        <w:tc>
          <w:tcPr>
            <w:tcW w:w="2008" w:type="dxa"/>
            <w:gridSpan w:val="2"/>
            <w:tcBorders>
              <w:right w:val="single" w:sz="6" w:space="0" w:color="000000"/>
            </w:tcBorders>
          </w:tcPr>
          <w:p>
            <w:pPr>
              <w:pStyle w:val="TableParagraph"/>
              <w:spacing w:line="268" w:lineRule="exact"/>
              <w:ind w:left="150" w:right="145"/>
              <w:jc w:val="center"/>
              <w:rPr>
                <w:sz w:val="24"/>
              </w:rPr>
            </w:pPr>
            <w:r>
              <w:rPr>
                <w:sz w:val="24"/>
              </w:rPr>
              <w:t>Лактація</w:t>
            </w:r>
          </w:p>
          <w:p>
            <w:pPr>
              <w:pStyle w:val="TableParagraph"/>
              <w:spacing w:line="261" w:lineRule="exact" w:before="2"/>
              <w:ind w:left="155" w:right="141"/>
              <w:jc w:val="center"/>
              <w:rPr>
                <w:sz w:val="24"/>
              </w:rPr>
            </w:pPr>
            <w:r>
              <w:rPr>
                <w:sz w:val="24"/>
              </w:rPr>
              <w:t>Перша Х±Sх</w:t>
            </w:r>
          </w:p>
        </w:tc>
        <w:tc>
          <w:tcPr>
            <w:tcW w:w="1114" w:type="dxa"/>
            <w:tcBorders>
              <w:left w:val="single" w:sz="6" w:space="0" w:color="000000"/>
            </w:tcBorders>
          </w:tcPr>
          <w:p>
            <w:pPr>
              <w:pStyle w:val="TableParagraph"/>
              <w:spacing w:line="268" w:lineRule="exact"/>
              <w:ind w:left="318"/>
              <w:rPr>
                <w:sz w:val="24"/>
              </w:rPr>
            </w:pPr>
            <w:r>
              <w:rPr>
                <w:sz w:val="24"/>
              </w:rPr>
              <w:t>3921</w:t>
            </w:r>
          </w:p>
          <w:p>
            <w:pPr>
              <w:pStyle w:val="TableParagraph"/>
              <w:spacing w:line="261" w:lineRule="exact" w:before="2"/>
              <w:ind w:left="222"/>
              <w:rPr>
                <w:sz w:val="24"/>
              </w:rPr>
            </w:pPr>
            <w:r>
              <w:rPr>
                <w:sz w:val="24"/>
              </w:rPr>
              <w:t>±138,9</w:t>
            </w:r>
          </w:p>
        </w:tc>
        <w:tc>
          <w:tcPr>
            <w:tcW w:w="1119" w:type="dxa"/>
          </w:tcPr>
          <w:p>
            <w:pPr>
              <w:pStyle w:val="TableParagraph"/>
              <w:spacing w:line="268" w:lineRule="exact"/>
              <w:ind w:left="344"/>
              <w:rPr>
                <w:sz w:val="24"/>
              </w:rPr>
            </w:pPr>
            <w:r>
              <w:rPr>
                <w:sz w:val="24"/>
              </w:rPr>
              <w:t>4,01</w:t>
            </w:r>
          </w:p>
          <w:p>
            <w:pPr>
              <w:pStyle w:val="TableParagraph"/>
              <w:spacing w:line="261" w:lineRule="exact" w:before="2"/>
              <w:ind w:left="282"/>
              <w:rPr>
                <w:sz w:val="24"/>
              </w:rPr>
            </w:pPr>
            <w:r>
              <w:rPr>
                <w:sz w:val="24"/>
              </w:rPr>
              <w:t>±0,03</w:t>
            </w:r>
          </w:p>
        </w:tc>
        <w:tc>
          <w:tcPr>
            <w:tcW w:w="1215" w:type="dxa"/>
          </w:tcPr>
          <w:p>
            <w:pPr>
              <w:pStyle w:val="TableParagraph"/>
              <w:spacing w:line="268" w:lineRule="exact"/>
              <w:ind w:left="335"/>
              <w:rPr>
                <w:sz w:val="24"/>
              </w:rPr>
            </w:pPr>
            <w:r>
              <w:rPr>
                <w:sz w:val="24"/>
              </w:rPr>
              <w:t>156,7</w:t>
            </w:r>
          </w:p>
          <w:p>
            <w:pPr>
              <w:pStyle w:val="TableParagraph"/>
              <w:spacing w:line="261" w:lineRule="exact" w:before="2"/>
              <w:ind w:left="330"/>
              <w:rPr>
                <w:sz w:val="24"/>
              </w:rPr>
            </w:pPr>
            <w:r>
              <w:rPr>
                <w:sz w:val="24"/>
              </w:rPr>
              <w:t>±5,33</w:t>
            </w:r>
          </w:p>
        </w:tc>
        <w:tc>
          <w:tcPr>
            <w:tcW w:w="1018" w:type="dxa"/>
          </w:tcPr>
          <w:p>
            <w:pPr>
              <w:pStyle w:val="TableParagraph"/>
              <w:spacing w:line="268" w:lineRule="exact"/>
              <w:ind w:left="296"/>
              <w:rPr>
                <w:sz w:val="24"/>
              </w:rPr>
            </w:pPr>
            <w:r>
              <w:rPr>
                <w:sz w:val="24"/>
              </w:rPr>
              <w:t>3,24</w:t>
            </w:r>
          </w:p>
          <w:p>
            <w:pPr>
              <w:pStyle w:val="TableParagraph"/>
              <w:spacing w:line="261" w:lineRule="exact" w:before="2"/>
              <w:ind w:left="233"/>
              <w:rPr>
                <w:sz w:val="24"/>
              </w:rPr>
            </w:pPr>
            <w:r>
              <w:rPr>
                <w:sz w:val="24"/>
              </w:rPr>
              <w:t>±0,18</w:t>
            </w:r>
          </w:p>
        </w:tc>
        <w:tc>
          <w:tcPr>
            <w:tcW w:w="1004" w:type="dxa"/>
          </w:tcPr>
          <w:p>
            <w:pPr>
              <w:pStyle w:val="TableParagraph"/>
              <w:spacing w:line="268" w:lineRule="exact"/>
              <w:ind w:left="228"/>
              <w:rPr>
                <w:sz w:val="24"/>
              </w:rPr>
            </w:pPr>
            <w:r>
              <w:rPr>
                <w:sz w:val="24"/>
              </w:rPr>
              <w:t>129,6</w:t>
            </w:r>
          </w:p>
          <w:p>
            <w:pPr>
              <w:pStyle w:val="TableParagraph"/>
              <w:spacing w:line="261" w:lineRule="exact" w:before="2"/>
              <w:ind w:left="281"/>
              <w:rPr>
                <w:sz w:val="24"/>
              </w:rPr>
            </w:pPr>
            <w:r>
              <w:rPr>
                <w:sz w:val="24"/>
              </w:rPr>
              <w:t>±5,1</w:t>
            </w:r>
          </w:p>
        </w:tc>
        <w:tc>
          <w:tcPr>
            <w:tcW w:w="970" w:type="dxa"/>
          </w:tcPr>
          <w:p>
            <w:pPr>
              <w:pStyle w:val="TableParagraph"/>
              <w:spacing w:line="268" w:lineRule="exact"/>
              <w:ind w:left="209"/>
              <w:rPr>
                <w:sz w:val="24"/>
              </w:rPr>
            </w:pPr>
            <w:r>
              <w:rPr>
                <w:sz w:val="24"/>
              </w:rPr>
              <w:t>504,8</w:t>
            </w:r>
          </w:p>
          <w:p>
            <w:pPr>
              <w:pStyle w:val="TableParagraph"/>
              <w:spacing w:line="261" w:lineRule="exact" w:before="2"/>
              <w:ind w:left="262"/>
              <w:rPr>
                <w:sz w:val="24"/>
              </w:rPr>
            </w:pPr>
            <w:r>
              <w:rPr>
                <w:sz w:val="24"/>
              </w:rPr>
              <w:t>±2,4</w:t>
            </w:r>
          </w:p>
        </w:tc>
        <w:tc>
          <w:tcPr>
            <w:tcW w:w="1128" w:type="dxa"/>
            <w:tcBorders>
              <w:right w:val="single" w:sz="6" w:space="0" w:color="000000"/>
            </w:tcBorders>
          </w:tcPr>
          <w:p>
            <w:pPr>
              <w:pStyle w:val="TableParagraph"/>
              <w:spacing w:before="131"/>
              <w:ind w:left="390" w:right="382"/>
              <w:jc w:val="center"/>
              <w:rPr>
                <w:sz w:val="24"/>
              </w:rPr>
            </w:pPr>
            <w:r>
              <w:rPr>
                <w:sz w:val="24"/>
              </w:rPr>
              <w:t>8,9</w:t>
            </w:r>
          </w:p>
        </w:tc>
      </w:tr>
      <w:tr>
        <w:trPr>
          <w:trHeight w:val="278" w:hRule="atLeast"/>
        </w:trPr>
        <w:tc>
          <w:tcPr>
            <w:tcW w:w="788" w:type="dxa"/>
            <w:vMerge w:val="restart"/>
            <w:textDirection w:val="btLr"/>
          </w:tcPr>
          <w:p>
            <w:pPr>
              <w:pStyle w:val="TableParagraph"/>
              <w:spacing w:line="247" w:lineRule="auto" w:before="111"/>
              <w:ind w:left="23" w:right="4"/>
              <w:rPr>
                <w:sz w:val="24"/>
              </w:rPr>
            </w:pPr>
            <w:r>
              <w:rPr>
                <w:sz w:val="24"/>
              </w:rPr>
              <w:t>Показники мінливості</w:t>
            </w:r>
          </w:p>
        </w:tc>
        <w:tc>
          <w:tcPr>
            <w:tcW w:w="1220" w:type="dxa"/>
            <w:tcBorders>
              <w:right w:val="single" w:sz="6" w:space="0" w:color="000000"/>
            </w:tcBorders>
          </w:tcPr>
          <w:p>
            <w:pPr>
              <w:pStyle w:val="TableParagraph"/>
              <w:spacing w:line="259" w:lineRule="exact"/>
              <w:ind w:left="345" w:right="337"/>
              <w:jc w:val="center"/>
              <w:rPr>
                <w:sz w:val="24"/>
              </w:rPr>
            </w:pPr>
            <w:r>
              <w:rPr>
                <w:sz w:val="24"/>
              </w:rPr>
              <w:t>±õ</w:t>
            </w:r>
          </w:p>
        </w:tc>
        <w:tc>
          <w:tcPr>
            <w:tcW w:w="1114" w:type="dxa"/>
            <w:tcBorders>
              <w:left w:val="single" w:sz="6" w:space="0" w:color="000000"/>
            </w:tcBorders>
          </w:tcPr>
          <w:p>
            <w:pPr>
              <w:pStyle w:val="TableParagraph"/>
              <w:spacing w:line="259" w:lineRule="exact"/>
              <w:ind w:left="175" w:right="156"/>
              <w:jc w:val="center"/>
              <w:rPr>
                <w:sz w:val="24"/>
              </w:rPr>
            </w:pPr>
            <w:r>
              <w:rPr>
                <w:sz w:val="24"/>
              </w:rPr>
              <w:t>749,0</w:t>
            </w:r>
          </w:p>
        </w:tc>
        <w:tc>
          <w:tcPr>
            <w:tcW w:w="1119" w:type="dxa"/>
          </w:tcPr>
          <w:p>
            <w:pPr>
              <w:pStyle w:val="TableParagraph"/>
              <w:spacing w:line="259" w:lineRule="exact"/>
              <w:ind w:left="349"/>
              <w:rPr>
                <w:sz w:val="24"/>
              </w:rPr>
            </w:pPr>
            <w:r>
              <w:rPr>
                <w:sz w:val="24"/>
              </w:rPr>
              <w:t>0,12</w:t>
            </w:r>
          </w:p>
        </w:tc>
        <w:tc>
          <w:tcPr>
            <w:tcW w:w="1215" w:type="dxa"/>
          </w:tcPr>
          <w:p>
            <w:pPr>
              <w:pStyle w:val="TableParagraph"/>
              <w:spacing w:line="259" w:lineRule="exact"/>
              <w:ind w:left="397"/>
              <w:rPr>
                <w:sz w:val="24"/>
              </w:rPr>
            </w:pPr>
            <w:r>
              <w:rPr>
                <w:sz w:val="24"/>
              </w:rPr>
              <w:t>28,7</w:t>
            </w:r>
          </w:p>
        </w:tc>
        <w:tc>
          <w:tcPr>
            <w:tcW w:w="1018" w:type="dxa"/>
          </w:tcPr>
          <w:p>
            <w:pPr>
              <w:pStyle w:val="TableParagraph"/>
              <w:spacing w:line="259" w:lineRule="exact"/>
              <w:ind w:left="300"/>
              <w:rPr>
                <w:sz w:val="24"/>
              </w:rPr>
            </w:pPr>
            <w:r>
              <w:rPr>
                <w:sz w:val="24"/>
              </w:rPr>
              <w:t>0,05</w:t>
            </w:r>
          </w:p>
        </w:tc>
        <w:tc>
          <w:tcPr>
            <w:tcW w:w="1004" w:type="dxa"/>
          </w:tcPr>
          <w:p>
            <w:pPr>
              <w:pStyle w:val="TableParagraph"/>
              <w:spacing w:line="259" w:lineRule="exact"/>
              <w:ind w:left="136" w:right="126"/>
              <w:jc w:val="center"/>
              <w:rPr>
                <w:sz w:val="24"/>
              </w:rPr>
            </w:pPr>
            <w:r>
              <w:rPr>
                <w:sz w:val="24"/>
              </w:rPr>
              <w:t>21,3</w:t>
            </w:r>
          </w:p>
        </w:tc>
        <w:tc>
          <w:tcPr>
            <w:tcW w:w="970" w:type="dxa"/>
          </w:tcPr>
          <w:p>
            <w:pPr>
              <w:pStyle w:val="TableParagraph"/>
              <w:spacing w:line="259" w:lineRule="exact"/>
              <w:ind w:left="271"/>
              <w:rPr>
                <w:sz w:val="24"/>
              </w:rPr>
            </w:pPr>
            <w:r>
              <w:rPr>
                <w:sz w:val="24"/>
              </w:rPr>
              <w:t>18,9</w:t>
            </w:r>
          </w:p>
        </w:tc>
        <w:tc>
          <w:tcPr>
            <w:tcW w:w="1128" w:type="dxa"/>
            <w:vMerge w:val="restart"/>
            <w:tcBorders>
              <w:right w:val="single" w:sz="6" w:space="0" w:color="000000"/>
            </w:tcBorders>
          </w:tcPr>
          <w:p>
            <w:pPr>
              <w:pStyle w:val="TableParagraph"/>
              <w:rPr>
                <w:sz w:val="26"/>
              </w:rPr>
            </w:pPr>
          </w:p>
        </w:tc>
      </w:tr>
      <w:tr>
        <w:trPr>
          <w:trHeight w:val="273" w:hRule="atLeast"/>
        </w:trPr>
        <w:tc>
          <w:tcPr>
            <w:tcW w:w="788" w:type="dxa"/>
            <w:vMerge/>
            <w:tcBorders>
              <w:top w:val="nil"/>
            </w:tcBorders>
            <w:textDirection w:val="btLr"/>
          </w:tcPr>
          <w:p>
            <w:pPr>
              <w:rPr>
                <w:sz w:val="2"/>
                <w:szCs w:val="2"/>
              </w:rPr>
            </w:pPr>
          </w:p>
        </w:tc>
        <w:tc>
          <w:tcPr>
            <w:tcW w:w="1220" w:type="dxa"/>
            <w:tcBorders>
              <w:right w:val="single" w:sz="6" w:space="0" w:color="000000"/>
            </w:tcBorders>
          </w:tcPr>
          <w:p>
            <w:pPr>
              <w:pStyle w:val="TableParagraph"/>
              <w:spacing w:line="253" w:lineRule="exact"/>
              <w:ind w:left="345" w:right="341"/>
              <w:jc w:val="center"/>
              <w:rPr>
                <w:sz w:val="24"/>
              </w:rPr>
            </w:pPr>
            <w:r>
              <w:rPr>
                <w:sz w:val="24"/>
              </w:rPr>
              <w:t>Cv%</w:t>
            </w:r>
          </w:p>
        </w:tc>
        <w:tc>
          <w:tcPr>
            <w:tcW w:w="1114" w:type="dxa"/>
            <w:tcBorders>
              <w:left w:val="single" w:sz="6" w:space="0" w:color="000000"/>
            </w:tcBorders>
          </w:tcPr>
          <w:p>
            <w:pPr>
              <w:pStyle w:val="TableParagraph"/>
              <w:spacing w:line="253" w:lineRule="exact"/>
              <w:ind w:left="175" w:right="161"/>
              <w:jc w:val="center"/>
              <w:rPr>
                <w:sz w:val="24"/>
              </w:rPr>
            </w:pPr>
            <w:r>
              <w:rPr>
                <w:sz w:val="24"/>
              </w:rPr>
              <w:t>19,1</w:t>
            </w:r>
          </w:p>
        </w:tc>
        <w:tc>
          <w:tcPr>
            <w:tcW w:w="1119" w:type="dxa"/>
          </w:tcPr>
          <w:p>
            <w:pPr>
              <w:pStyle w:val="TableParagraph"/>
              <w:spacing w:line="253" w:lineRule="exact"/>
              <w:ind w:left="325" w:right="318"/>
              <w:jc w:val="center"/>
              <w:rPr>
                <w:sz w:val="24"/>
              </w:rPr>
            </w:pPr>
            <w:r>
              <w:rPr>
                <w:sz w:val="24"/>
              </w:rPr>
              <w:t>3,0</w:t>
            </w:r>
          </w:p>
        </w:tc>
        <w:tc>
          <w:tcPr>
            <w:tcW w:w="1215" w:type="dxa"/>
          </w:tcPr>
          <w:p>
            <w:pPr>
              <w:pStyle w:val="TableParagraph"/>
              <w:spacing w:line="253" w:lineRule="exact"/>
              <w:ind w:left="397"/>
              <w:rPr>
                <w:sz w:val="24"/>
              </w:rPr>
            </w:pPr>
            <w:r>
              <w:rPr>
                <w:sz w:val="24"/>
              </w:rPr>
              <w:t>18,3</w:t>
            </w:r>
          </w:p>
        </w:tc>
        <w:tc>
          <w:tcPr>
            <w:tcW w:w="1018" w:type="dxa"/>
          </w:tcPr>
          <w:p>
            <w:pPr>
              <w:pStyle w:val="TableParagraph"/>
              <w:spacing w:line="253" w:lineRule="exact"/>
              <w:ind w:left="358"/>
              <w:rPr>
                <w:sz w:val="24"/>
              </w:rPr>
            </w:pPr>
            <w:r>
              <w:rPr>
                <w:sz w:val="24"/>
              </w:rPr>
              <w:t>1,5</w:t>
            </w:r>
          </w:p>
        </w:tc>
        <w:tc>
          <w:tcPr>
            <w:tcW w:w="1004" w:type="dxa"/>
          </w:tcPr>
          <w:p>
            <w:pPr>
              <w:pStyle w:val="TableParagraph"/>
              <w:spacing w:line="253" w:lineRule="exact"/>
              <w:ind w:left="136" w:right="126"/>
              <w:jc w:val="center"/>
              <w:rPr>
                <w:sz w:val="24"/>
              </w:rPr>
            </w:pPr>
            <w:r>
              <w:rPr>
                <w:sz w:val="24"/>
              </w:rPr>
              <w:t>16,4</w:t>
            </w:r>
          </w:p>
        </w:tc>
        <w:tc>
          <w:tcPr>
            <w:tcW w:w="970" w:type="dxa"/>
          </w:tcPr>
          <w:p>
            <w:pPr>
              <w:pStyle w:val="TableParagraph"/>
              <w:spacing w:line="253" w:lineRule="exact"/>
              <w:ind w:left="329"/>
              <w:rPr>
                <w:sz w:val="24"/>
              </w:rPr>
            </w:pPr>
            <w:r>
              <w:rPr>
                <w:sz w:val="24"/>
              </w:rPr>
              <w:t>3,7</w:t>
            </w:r>
          </w:p>
        </w:tc>
        <w:tc>
          <w:tcPr>
            <w:tcW w:w="1128" w:type="dxa"/>
            <w:vMerge/>
            <w:tcBorders>
              <w:top w:val="nil"/>
              <w:right w:val="single" w:sz="6" w:space="0" w:color="000000"/>
            </w:tcBorders>
          </w:tcPr>
          <w:p>
            <w:pPr>
              <w:rPr>
                <w:sz w:val="2"/>
                <w:szCs w:val="2"/>
              </w:rPr>
            </w:pPr>
          </w:p>
        </w:tc>
      </w:tr>
      <w:tr>
        <w:trPr>
          <w:trHeight w:val="590" w:hRule="atLeast"/>
        </w:trPr>
        <w:tc>
          <w:tcPr>
            <w:tcW w:w="788" w:type="dxa"/>
            <w:vMerge/>
            <w:tcBorders>
              <w:top w:val="nil"/>
            </w:tcBorders>
            <w:textDirection w:val="btLr"/>
          </w:tcPr>
          <w:p>
            <w:pPr>
              <w:rPr>
                <w:sz w:val="2"/>
                <w:szCs w:val="2"/>
              </w:rPr>
            </w:pPr>
          </w:p>
        </w:tc>
        <w:tc>
          <w:tcPr>
            <w:tcW w:w="1220" w:type="dxa"/>
            <w:tcBorders>
              <w:right w:val="single" w:sz="6" w:space="0" w:color="000000"/>
            </w:tcBorders>
          </w:tcPr>
          <w:p>
            <w:pPr>
              <w:pStyle w:val="TableParagraph"/>
              <w:spacing w:before="150"/>
              <w:ind w:left="345" w:right="340"/>
              <w:jc w:val="center"/>
              <w:rPr>
                <w:sz w:val="24"/>
              </w:rPr>
            </w:pPr>
            <w:r>
              <w:rPr>
                <w:sz w:val="24"/>
              </w:rPr>
              <w:t>limit</w:t>
            </w:r>
          </w:p>
        </w:tc>
        <w:tc>
          <w:tcPr>
            <w:tcW w:w="1114" w:type="dxa"/>
            <w:tcBorders>
              <w:left w:val="single" w:sz="6" w:space="0" w:color="000000"/>
            </w:tcBorders>
          </w:tcPr>
          <w:p>
            <w:pPr>
              <w:pStyle w:val="TableParagraph"/>
              <w:spacing w:before="11"/>
              <w:ind w:left="318"/>
              <w:rPr>
                <w:sz w:val="24"/>
              </w:rPr>
            </w:pPr>
            <w:r>
              <w:rPr>
                <w:sz w:val="24"/>
              </w:rPr>
              <w:t>2516</w:t>
            </w:r>
          </w:p>
          <w:p>
            <w:pPr>
              <w:pStyle w:val="TableParagraph"/>
              <w:spacing w:before="2"/>
              <w:ind w:left="318"/>
              <w:rPr>
                <w:sz w:val="24"/>
              </w:rPr>
            </w:pPr>
            <w:r>
              <w:rPr>
                <w:sz w:val="24"/>
              </w:rPr>
              <w:t>5417</w:t>
            </w:r>
          </w:p>
        </w:tc>
        <w:tc>
          <w:tcPr>
            <w:tcW w:w="1119" w:type="dxa"/>
          </w:tcPr>
          <w:p>
            <w:pPr>
              <w:pStyle w:val="TableParagraph"/>
              <w:spacing w:before="11"/>
              <w:ind w:left="325" w:right="318"/>
              <w:jc w:val="center"/>
              <w:rPr>
                <w:sz w:val="24"/>
              </w:rPr>
            </w:pPr>
            <w:r>
              <w:rPr>
                <w:sz w:val="24"/>
              </w:rPr>
              <w:t>3,9</w:t>
            </w:r>
          </w:p>
          <w:p>
            <w:pPr>
              <w:pStyle w:val="TableParagraph"/>
              <w:spacing w:before="2"/>
              <w:ind w:left="325" w:right="318"/>
              <w:jc w:val="center"/>
              <w:rPr>
                <w:sz w:val="24"/>
              </w:rPr>
            </w:pPr>
            <w:r>
              <w:rPr>
                <w:sz w:val="24"/>
              </w:rPr>
              <w:t>4,4</w:t>
            </w:r>
          </w:p>
        </w:tc>
        <w:tc>
          <w:tcPr>
            <w:tcW w:w="1215" w:type="dxa"/>
          </w:tcPr>
          <w:p>
            <w:pPr>
              <w:pStyle w:val="TableParagraph"/>
              <w:spacing w:before="11"/>
              <w:ind w:left="401" w:right="399"/>
              <w:jc w:val="center"/>
              <w:rPr>
                <w:sz w:val="24"/>
              </w:rPr>
            </w:pPr>
            <w:r>
              <w:rPr>
                <w:sz w:val="24"/>
              </w:rPr>
              <w:t>97</w:t>
            </w:r>
          </w:p>
          <w:p>
            <w:pPr>
              <w:pStyle w:val="TableParagraph"/>
              <w:spacing w:before="2"/>
              <w:ind w:left="406" w:right="399"/>
              <w:jc w:val="center"/>
              <w:rPr>
                <w:sz w:val="24"/>
              </w:rPr>
            </w:pPr>
            <w:r>
              <w:rPr>
                <w:sz w:val="24"/>
              </w:rPr>
              <w:t>186</w:t>
            </w:r>
          </w:p>
        </w:tc>
        <w:tc>
          <w:tcPr>
            <w:tcW w:w="1018" w:type="dxa"/>
          </w:tcPr>
          <w:p>
            <w:pPr>
              <w:pStyle w:val="TableParagraph"/>
              <w:spacing w:before="11"/>
              <w:ind w:left="241" w:right="229"/>
              <w:jc w:val="center"/>
              <w:rPr>
                <w:sz w:val="24"/>
              </w:rPr>
            </w:pPr>
            <w:r>
              <w:rPr>
                <w:sz w:val="24"/>
              </w:rPr>
              <w:t>3,2</w:t>
            </w:r>
          </w:p>
          <w:p>
            <w:pPr>
              <w:pStyle w:val="TableParagraph"/>
              <w:spacing w:before="2"/>
              <w:ind w:left="241" w:right="229"/>
              <w:jc w:val="center"/>
              <w:rPr>
                <w:sz w:val="24"/>
              </w:rPr>
            </w:pPr>
            <w:r>
              <w:rPr>
                <w:sz w:val="24"/>
              </w:rPr>
              <w:t>3,3</w:t>
            </w:r>
          </w:p>
        </w:tc>
        <w:tc>
          <w:tcPr>
            <w:tcW w:w="1004" w:type="dxa"/>
          </w:tcPr>
          <w:p>
            <w:pPr>
              <w:pStyle w:val="TableParagraph"/>
              <w:spacing w:before="11"/>
              <w:ind w:left="127" w:right="126"/>
              <w:jc w:val="center"/>
              <w:rPr>
                <w:sz w:val="24"/>
              </w:rPr>
            </w:pPr>
            <w:r>
              <w:rPr>
                <w:sz w:val="24"/>
              </w:rPr>
              <w:t>80</w:t>
            </w:r>
          </w:p>
          <w:p>
            <w:pPr>
              <w:pStyle w:val="TableParagraph"/>
              <w:spacing w:before="2"/>
              <w:ind w:left="132" w:right="126"/>
              <w:jc w:val="center"/>
              <w:rPr>
                <w:sz w:val="24"/>
              </w:rPr>
            </w:pPr>
            <w:r>
              <w:rPr>
                <w:sz w:val="24"/>
              </w:rPr>
              <w:t>171</w:t>
            </w:r>
          </w:p>
        </w:tc>
        <w:tc>
          <w:tcPr>
            <w:tcW w:w="970" w:type="dxa"/>
          </w:tcPr>
          <w:p>
            <w:pPr>
              <w:pStyle w:val="TableParagraph"/>
              <w:spacing w:before="11"/>
              <w:ind w:left="300"/>
              <w:rPr>
                <w:sz w:val="24"/>
              </w:rPr>
            </w:pPr>
            <w:r>
              <w:rPr>
                <w:sz w:val="24"/>
              </w:rPr>
              <w:t>490</w:t>
            </w:r>
          </w:p>
          <w:p>
            <w:pPr>
              <w:pStyle w:val="TableParagraph"/>
              <w:spacing w:before="2"/>
              <w:ind w:left="300"/>
              <w:rPr>
                <w:sz w:val="24"/>
              </w:rPr>
            </w:pPr>
            <w:r>
              <w:rPr>
                <w:sz w:val="24"/>
              </w:rPr>
              <w:t>530</w:t>
            </w:r>
          </w:p>
        </w:tc>
        <w:tc>
          <w:tcPr>
            <w:tcW w:w="1128" w:type="dxa"/>
            <w:vMerge/>
            <w:tcBorders>
              <w:top w:val="nil"/>
              <w:right w:val="single" w:sz="6" w:space="0" w:color="000000"/>
            </w:tcBorders>
          </w:tcPr>
          <w:p>
            <w:pPr>
              <w:rPr>
                <w:sz w:val="2"/>
                <w:szCs w:val="2"/>
              </w:rPr>
            </w:pPr>
          </w:p>
        </w:tc>
      </w:tr>
      <w:tr>
        <w:trPr>
          <w:trHeight w:val="277" w:hRule="atLeast"/>
        </w:trPr>
        <w:tc>
          <w:tcPr>
            <w:tcW w:w="9576" w:type="dxa"/>
            <w:gridSpan w:val="9"/>
            <w:tcBorders>
              <w:right w:val="single" w:sz="6" w:space="0" w:color="000000"/>
            </w:tcBorders>
          </w:tcPr>
          <w:p>
            <w:pPr>
              <w:pStyle w:val="TableParagraph"/>
              <w:spacing w:line="258" w:lineRule="exact"/>
              <w:ind w:left="1933" w:right="1916"/>
              <w:jc w:val="center"/>
              <w:rPr>
                <w:sz w:val="24"/>
              </w:rPr>
            </w:pPr>
            <w:r>
              <w:rPr>
                <w:sz w:val="24"/>
              </w:rPr>
              <w:t>Стандарт породи</w:t>
            </w:r>
          </w:p>
        </w:tc>
      </w:tr>
      <w:tr>
        <w:trPr>
          <w:trHeight w:val="273" w:hRule="atLeast"/>
        </w:trPr>
        <w:tc>
          <w:tcPr>
            <w:tcW w:w="2008" w:type="dxa"/>
            <w:gridSpan w:val="2"/>
            <w:tcBorders>
              <w:right w:val="single" w:sz="6" w:space="0" w:color="000000"/>
            </w:tcBorders>
          </w:tcPr>
          <w:p>
            <w:pPr>
              <w:pStyle w:val="TableParagraph"/>
              <w:spacing w:line="253" w:lineRule="exact"/>
              <w:ind w:left="657"/>
              <w:rPr>
                <w:sz w:val="24"/>
              </w:rPr>
            </w:pPr>
            <w:r>
              <w:rPr>
                <w:sz w:val="24"/>
              </w:rPr>
              <w:t>Перша</w:t>
            </w:r>
          </w:p>
        </w:tc>
        <w:tc>
          <w:tcPr>
            <w:tcW w:w="1114" w:type="dxa"/>
            <w:tcBorders>
              <w:left w:val="single" w:sz="6" w:space="0" w:color="000000"/>
            </w:tcBorders>
          </w:tcPr>
          <w:p>
            <w:pPr>
              <w:pStyle w:val="TableParagraph"/>
              <w:spacing w:line="253" w:lineRule="exact"/>
              <w:ind w:left="175" w:right="161"/>
              <w:jc w:val="center"/>
              <w:rPr>
                <w:sz w:val="24"/>
              </w:rPr>
            </w:pPr>
            <w:r>
              <w:rPr>
                <w:sz w:val="24"/>
              </w:rPr>
              <w:t>3100</w:t>
            </w:r>
          </w:p>
        </w:tc>
        <w:tc>
          <w:tcPr>
            <w:tcW w:w="1119" w:type="dxa"/>
          </w:tcPr>
          <w:p>
            <w:pPr>
              <w:pStyle w:val="TableParagraph"/>
              <w:spacing w:line="253" w:lineRule="exact"/>
              <w:ind w:left="325" w:right="318"/>
              <w:jc w:val="center"/>
              <w:rPr>
                <w:sz w:val="24"/>
              </w:rPr>
            </w:pPr>
            <w:r>
              <w:rPr>
                <w:sz w:val="24"/>
              </w:rPr>
              <w:t>3,7</w:t>
            </w:r>
          </w:p>
        </w:tc>
        <w:tc>
          <w:tcPr>
            <w:tcW w:w="1215" w:type="dxa"/>
          </w:tcPr>
          <w:p>
            <w:pPr>
              <w:pStyle w:val="TableParagraph"/>
              <w:spacing w:line="253" w:lineRule="exact"/>
              <w:ind w:left="406" w:right="399"/>
              <w:jc w:val="center"/>
              <w:rPr>
                <w:sz w:val="24"/>
              </w:rPr>
            </w:pPr>
            <w:r>
              <w:rPr>
                <w:sz w:val="24"/>
              </w:rPr>
              <w:t>115</w:t>
            </w:r>
          </w:p>
        </w:tc>
        <w:tc>
          <w:tcPr>
            <w:tcW w:w="1018" w:type="dxa"/>
          </w:tcPr>
          <w:p>
            <w:pPr>
              <w:pStyle w:val="TableParagraph"/>
              <w:spacing w:line="253" w:lineRule="exact"/>
              <w:ind w:left="358"/>
              <w:rPr>
                <w:sz w:val="24"/>
              </w:rPr>
            </w:pPr>
            <w:r>
              <w:rPr>
                <w:sz w:val="24"/>
              </w:rPr>
              <w:t>3,3</w:t>
            </w:r>
          </w:p>
        </w:tc>
        <w:tc>
          <w:tcPr>
            <w:tcW w:w="1004" w:type="dxa"/>
          </w:tcPr>
          <w:p>
            <w:pPr>
              <w:pStyle w:val="TableParagraph"/>
              <w:spacing w:line="253" w:lineRule="exact"/>
              <w:ind w:left="132" w:right="126"/>
              <w:jc w:val="center"/>
              <w:rPr>
                <w:sz w:val="24"/>
              </w:rPr>
            </w:pPr>
            <w:r>
              <w:rPr>
                <w:sz w:val="24"/>
              </w:rPr>
              <w:t>102</w:t>
            </w:r>
          </w:p>
        </w:tc>
        <w:tc>
          <w:tcPr>
            <w:tcW w:w="970" w:type="dxa"/>
          </w:tcPr>
          <w:p>
            <w:pPr>
              <w:pStyle w:val="TableParagraph"/>
              <w:spacing w:line="253" w:lineRule="exact"/>
              <w:ind w:left="300"/>
              <w:rPr>
                <w:sz w:val="24"/>
              </w:rPr>
            </w:pPr>
            <w:r>
              <w:rPr>
                <w:sz w:val="24"/>
              </w:rPr>
              <w:t>470</w:t>
            </w:r>
          </w:p>
        </w:tc>
        <w:tc>
          <w:tcPr>
            <w:tcW w:w="1128" w:type="dxa"/>
            <w:tcBorders>
              <w:right w:val="single" w:sz="6" w:space="0" w:color="000000"/>
            </w:tcBorders>
          </w:tcPr>
          <w:p>
            <w:pPr>
              <w:pStyle w:val="TableParagraph"/>
              <w:rPr>
                <w:sz w:val="20"/>
              </w:rPr>
            </w:pPr>
          </w:p>
        </w:tc>
      </w:tr>
      <w:tr>
        <w:trPr>
          <w:trHeight w:val="551" w:hRule="atLeast"/>
        </w:trPr>
        <w:tc>
          <w:tcPr>
            <w:tcW w:w="2008" w:type="dxa"/>
            <w:gridSpan w:val="2"/>
            <w:tcBorders>
              <w:right w:val="single" w:sz="6" w:space="0" w:color="000000"/>
            </w:tcBorders>
          </w:tcPr>
          <w:p>
            <w:pPr>
              <w:pStyle w:val="TableParagraph"/>
              <w:spacing w:line="268" w:lineRule="exact"/>
              <w:ind w:left="154" w:right="145"/>
              <w:jc w:val="center"/>
              <w:rPr>
                <w:sz w:val="24"/>
              </w:rPr>
            </w:pPr>
            <w:r>
              <w:rPr>
                <w:sz w:val="24"/>
              </w:rPr>
              <w:t>±до стандарту І</w:t>
            </w:r>
          </w:p>
          <w:p>
            <w:pPr>
              <w:pStyle w:val="TableParagraph"/>
              <w:spacing w:line="261" w:lineRule="exact" w:before="2"/>
              <w:ind w:left="154" w:right="145"/>
              <w:jc w:val="center"/>
              <w:rPr>
                <w:sz w:val="24"/>
              </w:rPr>
            </w:pPr>
            <w:r>
              <w:rPr>
                <w:sz w:val="24"/>
              </w:rPr>
              <w:t>лактації</w:t>
            </w:r>
          </w:p>
        </w:tc>
        <w:tc>
          <w:tcPr>
            <w:tcW w:w="1114" w:type="dxa"/>
            <w:tcBorders>
              <w:left w:val="single" w:sz="6" w:space="0" w:color="000000"/>
            </w:tcBorders>
          </w:tcPr>
          <w:p>
            <w:pPr>
              <w:pStyle w:val="TableParagraph"/>
              <w:spacing w:before="131"/>
              <w:ind w:left="175" w:right="165"/>
              <w:jc w:val="center"/>
              <w:rPr>
                <w:sz w:val="24"/>
              </w:rPr>
            </w:pPr>
            <w:r>
              <w:rPr>
                <w:sz w:val="24"/>
              </w:rPr>
              <w:t>+821</w:t>
            </w:r>
          </w:p>
        </w:tc>
        <w:tc>
          <w:tcPr>
            <w:tcW w:w="1119" w:type="dxa"/>
          </w:tcPr>
          <w:p>
            <w:pPr>
              <w:pStyle w:val="TableParagraph"/>
              <w:spacing w:before="131"/>
              <w:ind w:left="277"/>
              <w:rPr>
                <w:sz w:val="24"/>
              </w:rPr>
            </w:pPr>
            <w:r>
              <w:rPr>
                <w:sz w:val="24"/>
              </w:rPr>
              <w:t>+0,31</w:t>
            </w:r>
          </w:p>
        </w:tc>
        <w:tc>
          <w:tcPr>
            <w:tcW w:w="1215" w:type="dxa"/>
          </w:tcPr>
          <w:p>
            <w:pPr>
              <w:pStyle w:val="TableParagraph"/>
              <w:spacing w:before="131"/>
              <w:ind w:right="320"/>
              <w:jc w:val="right"/>
              <w:rPr>
                <w:sz w:val="24"/>
              </w:rPr>
            </w:pPr>
            <w:r>
              <w:rPr>
                <w:sz w:val="24"/>
              </w:rPr>
              <w:t>+41,7</w:t>
            </w:r>
          </w:p>
        </w:tc>
        <w:tc>
          <w:tcPr>
            <w:tcW w:w="1018" w:type="dxa"/>
          </w:tcPr>
          <w:p>
            <w:pPr>
              <w:pStyle w:val="TableParagraph"/>
              <w:spacing w:before="131"/>
              <w:ind w:left="257"/>
              <w:rPr>
                <w:sz w:val="24"/>
              </w:rPr>
            </w:pPr>
            <w:r>
              <w:rPr>
                <w:sz w:val="24"/>
              </w:rPr>
              <w:t>-0,06</w:t>
            </w:r>
          </w:p>
        </w:tc>
        <w:tc>
          <w:tcPr>
            <w:tcW w:w="1004" w:type="dxa"/>
          </w:tcPr>
          <w:p>
            <w:pPr>
              <w:pStyle w:val="TableParagraph"/>
              <w:spacing w:before="131"/>
              <w:ind w:left="127" w:right="126"/>
              <w:jc w:val="center"/>
              <w:rPr>
                <w:sz w:val="24"/>
              </w:rPr>
            </w:pPr>
            <w:r>
              <w:rPr>
                <w:sz w:val="24"/>
              </w:rPr>
              <w:t>+27,6</w:t>
            </w:r>
          </w:p>
        </w:tc>
        <w:tc>
          <w:tcPr>
            <w:tcW w:w="970" w:type="dxa"/>
          </w:tcPr>
          <w:p>
            <w:pPr>
              <w:pStyle w:val="TableParagraph"/>
              <w:spacing w:before="131"/>
              <w:ind w:left="291"/>
              <w:rPr>
                <w:sz w:val="24"/>
              </w:rPr>
            </w:pPr>
            <w:r>
              <w:rPr>
                <w:sz w:val="24"/>
              </w:rPr>
              <w:t>+34</w:t>
            </w:r>
          </w:p>
        </w:tc>
        <w:tc>
          <w:tcPr>
            <w:tcW w:w="1128" w:type="dxa"/>
            <w:tcBorders>
              <w:right w:val="single" w:sz="6" w:space="0" w:color="000000"/>
            </w:tcBorders>
          </w:tcPr>
          <w:p>
            <w:pPr>
              <w:pStyle w:val="TableParagraph"/>
              <w:rPr>
                <w:sz w:val="26"/>
              </w:rPr>
            </w:pPr>
          </w:p>
        </w:tc>
      </w:tr>
      <w:tr>
        <w:trPr>
          <w:trHeight w:val="278" w:hRule="atLeast"/>
        </w:trPr>
        <w:tc>
          <w:tcPr>
            <w:tcW w:w="9576" w:type="dxa"/>
            <w:gridSpan w:val="9"/>
            <w:tcBorders>
              <w:right w:val="single" w:sz="6" w:space="0" w:color="000000"/>
            </w:tcBorders>
          </w:tcPr>
          <w:p>
            <w:pPr>
              <w:pStyle w:val="TableParagraph"/>
              <w:spacing w:line="258" w:lineRule="exact"/>
              <w:ind w:left="1929" w:right="1920"/>
              <w:jc w:val="center"/>
              <w:rPr>
                <w:sz w:val="24"/>
              </w:rPr>
            </w:pPr>
            <w:r>
              <w:rPr>
                <w:sz w:val="24"/>
              </w:rPr>
              <w:t>Лінія Хановера Ред, б. Надир Г87,5+ЧС6,3+ЧД6,2</w:t>
            </w:r>
          </w:p>
        </w:tc>
      </w:tr>
      <w:tr>
        <w:trPr>
          <w:trHeight w:val="551" w:hRule="atLeast"/>
        </w:trPr>
        <w:tc>
          <w:tcPr>
            <w:tcW w:w="2008" w:type="dxa"/>
            <w:gridSpan w:val="2"/>
            <w:tcBorders>
              <w:right w:val="single" w:sz="6" w:space="0" w:color="000000"/>
            </w:tcBorders>
          </w:tcPr>
          <w:p>
            <w:pPr>
              <w:pStyle w:val="TableParagraph"/>
              <w:spacing w:line="267" w:lineRule="exact"/>
              <w:ind w:left="155" w:right="145"/>
              <w:jc w:val="center"/>
              <w:rPr>
                <w:sz w:val="24"/>
              </w:rPr>
            </w:pPr>
            <w:r>
              <w:rPr>
                <w:sz w:val="24"/>
              </w:rPr>
              <w:t>Лактація Перша</w:t>
            </w:r>
          </w:p>
          <w:p>
            <w:pPr>
              <w:pStyle w:val="TableParagraph"/>
              <w:spacing w:line="265" w:lineRule="exact"/>
              <w:ind w:left="155" w:right="145"/>
              <w:jc w:val="center"/>
              <w:rPr>
                <w:sz w:val="24"/>
              </w:rPr>
            </w:pPr>
            <w:r>
              <w:rPr>
                <w:sz w:val="24"/>
              </w:rPr>
              <w:t>Х±Sх</w:t>
            </w:r>
          </w:p>
        </w:tc>
        <w:tc>
          <w:tcPr>
            <w:tcW w:w="1114" w:type="dxa"/>
            <w:tcBorders>
              <w:left w:val="single" w:sz="6" w:space="0" w:color="000000"/>
            </w:tcBorders>
          </w:tcPr>
          <w:p>
            <w:pPr>
              <w:pStyle w:val="TableParagraph"/>
              <w:spacing w:line="267" w:lineRule="exact"/>
              <w:ind w:left="289"/>
              <w:rPr>
                <w:sz w:val="24"/>
              </w:rPr>
            </w:pPr>
            <w:r>
              <w:rPr>
                <w:sz w:val="24"/>
              </w:rPr>
              <w:t>4205</w:t>
            </w:r>
          </w:p>
          <w:p>
            <w:pPr>
              <w:pStyle w:val="TableParagraph"/>
              <w:spacing w:line="265" w:lineRule="exact"/>
              <w:ind w:left="193"/>
              <w:rPr>
                <w:sz w:val="24"/>
              </w:rPr>
            </w:pPr>
            <w:r>
              <w:rPr>
                <w:sz w:val="24"/>
              </w:rPr>
              <w:t>±138,5</w:t>
            </w:r>
          </w:p>
        </w:tc>
        <w:tc>
          <w:tcPr>
            <w:tcW w:w="1119" w:type="dxa"/>
          </w:tcPr>
          <w:p>
            <w:pPr>
              <w:pStyle w:val="TableParagraph"/>
              <w:spacing w:line="268" w:lineRule="exact"/>
              <w:ind w:left="311"/>
              <w:rPr>
                <w:sz w:val="24"/>
              </w:rPr>
            </w:pPr>
            <w:r>
              <w:rPr>
                <w:sz w:val="24"/>
              </w:rPr>
              <w:t>3,59</w:t>
            </w:r>
          </w:p>
        </w:tc>
        <w:tc>
          <w:tcPr>
            <w:tcW w:w="1215" w:type="dxa"/>
          </w:tcPr>
          <w:p>
            <w:pPr>
              <w:pStyle w:val="TableParagraph"/>
              <w:spacing w:line="268" w:lineRule="exact"/>
              <w:ind w:right="273"/>
              <w:jc w:val="right"/>
              <w:rPr>
                <w:sz w:val="24"/>
              </w:rPr>
            </w:pPr>
            <w:r>
              <w:rPr>
                <w:sz w:val="24"/>
              </w:rPr>
              <w:t>150,96</w:t>
            </w:r>
          </w:p>
        </w:tc>
        <w:tc>
          <w:tcPr>
            <w:tcW w:w="1018" w:type="dxa"/>
          </w:tcPr>
          <w:p>
            <w:pPr>
              <w:pStyle w:val="TableParagraph"/>
              <w:spacing w:before="131"/>
              <w:ind w:left="320"/>
              <w:rPr>
                <w:sz w:val="24"/>
              </w:rPr>
            </w:pPr>
            <w:r>
              <w:rPr>
                <w:sz w:val="24"/>
              </w:rPr>
              <w:t>3,19</w:t>
            </w:r>
          </w:p>
        </w:tc>
        <w:tc>
          <w:tcPr>
            <w:tcW w:w="1004" w:type="dxa"/>
          </w:tcPr>
          <w:p>
            <w:pPr>
              <w:pStyle w:val="TableParagraph"/>
              <w:spacing w:before="131"/>
              <w:ind w:left="151" w:right="121"/>
              <w:jc w:val="center"/>
              <w:rPr>
                <w:sz w:val="24"/>
              </w:rPr>
            </w:pPr>
            <w:r>
              <w:rPr>
                <w:sz w:val="24"/>
              </w:rPr>
              <w:t>134,13</w:t>
            </w:r>
          </w:p>
        </w:tc>
        <w:tc>
          <w:tcPr>
            <w:tcW w:w="970" w:type="dxa"/>
          </w:tcPr>
          <w:p>
            <w:pPr>
              <w:pStyle w:val="TableParagraph"/>
              <w:spacing w:before="131"/>
              <w:ind w:left="300"/>
              <w:rPr>
                <w:sz w:val="24"/>
              </w:rPr>
            </w:pPr>
            <w:r>
              <w:rPr>
                <w:sz w:val="24"/>
              </w:rPr>
              <w:t>505</w:t>
            </w:r>
          </w:p>
        </w:tc>
        <w:tc>
          <w:tcPr>
            <w:tcW w:w="1128" w:type="dxa"/>
            <w:tcBorders>
              <w:right w:val="single" w:sz="6" w:space="0" w:color="000000"/>
            </w:tcBorders>
          </w:tcPr>
          <w:p>
            <w:pPr>
              <w:pStyle w:val="TableParagraph"/>
              <w:spacing w:before="131"/>
              <w:ind w:left="390" w:right="382"/>
              <w:jc w:val="center"/>
              <w:rPr>
                <w:sz w:val="24"/>
              </w:rPr>
            </w:pPr>
            <w:r>
              <w:rPr>
                <w:sz w:val="24"/>
              </w:rPr>
              <w:t>9,1</w:t>
            </w:r>
          </w:p>
        </w:tc>
      </w:tr>
      <w:tr>
        <w:trPr>
          <w:trHeight w:val="273" w:hRule="atLeast"/>
        </w:trPr>
        <w:tc>
          <w:tcPr>
            <w:tcW w:w="2008" w:type="dxa"/>
            <w:gridSpan w:val="2"/>
            <w:tcBorders>
              <w:right w:val="single" w:sz="6" w:space="0" w:color="000000"/>
            </w:tcBorders>
          </w:tcPr>
          <w:p>
            <w:pPr>
              <w:pStyle w:val="TableParagraph"/>
              <w:spacing w:line="253" w:lineRule="exact"/>
              <w:ind w:left="278"/>
              <w:rPr>
                <w:sz w:val="24"/>
              </w:rPr>
            </w:pPr>
            <w:r>
              <w:rPr>
                <w:sz w:val="24"/>
              </w:rPr>
              <w:t>±до стандарту</w:t>
            </w:r>
          </w:p>
        </w:tc>
        <w:tc>
          <w:tcPr>
            <w:tcW w:w="1114" w:type="dxa"/>
            <w:tcBorders>
              <w:left w:val="single" w:sz="6" w:space="0" w:color="000000"/>
            </w:tcBorders>
          </w:tcPr>
          <w:p>
            <w:pPr>
              <w:pStyle w:val="TableParagraph"/>
              <w:spacing w:line="253" w:lineRule="exact"/>
              <w:ind w:left="175" w:right="211"/>
              <w:jc w:val="center"/>
              <w:rPr>
                <w:sz w:val="24"/>
              </w:rPr>
            </w:pPr>
            <w:r>
              <w:rPr>
                <w:sz w:val="24"/>
              </w:rPr>
              <w:t>+ 1105</w:t>
            </w:r>
          </w:p>
        </w:tc>
        <w:tc>
          <w:tcPr>
            <w:tcW w:w="1119" w:type="dxa"/>
          </w:tcPr>
          <w:p>
            <w:pPr>
              <w:pStyle w:val="TableParagraph"/>
              <w:spacing w:line="253" w:lineRule="exact"/>
              <w:ind w:left="272"/>
              <w:rPr>
                <w:sz w:val="24"/>
              </w:rPr>
            </w:pPr>
            <w:r>
              <w:rPr>
                <w:sz w:val="24"/>
              </w:rPr>
              <w:t>-0,11</w:t>
            </w:r>
          </w:p>
        </w:tc>
        <w:tc>
          <w:tcPr>
            <w:tcW w:w="1215" w:type="dxa"/>
          </w:tcPr>
          <w:p>
            <w:pPr>
              <w:pStyle w:val="TableParagraph"/>
              <w:spacing w:line="253" w:lineRule="exact"/>
              <w:ind w:right="268"/>
              <w:jc w:val="right"/>
              <w:rPr>
                <w:sz w:val="24"/>
              </w:rPr>
            </w:pPr>
            <w:r>
              <w:rPr>
                <w:sz w:val="24"/>
              </w:rPr>
              <w:t>+35,96</w:t>
            </w:r>
          </w:p>
        </w:tc>
        <w:tc>
          <w:tcPr>
            <w:tcW w:w="1018" w:type="dxa"/>
          </w:tcPr>
          <w:p>
            <w:pPr>
              <w:pStyle w:val="TableParagraph"/>
              <w:spacing w:line="253" w:lineRule="exact"/>
              <w:ind w:left="276"/>
              <w:rPr>
                <w:sz w:val="24"/>
              </w:rPr>
            </w:pPr>
            <w:r>
              <w:rPr>
                <w:sz w:val="24"/>
              </w:rPr>
              <w:t>-0,11</w:t>
            </w:r>
          </w:p>
        </w:tc>
        <w:tc>
          <w:tcPr>
            <w:tcW w:w="1004" w:type="dxa"/>
          </w:tcPr>
          <w:p>
            <w:pPr>
              <w:pStyle w:val="TableParagraph"/>
              <w:spacing w:line="253" w:lineRule="exact"/>
              <w:ind w:left="151" w:right="126"/>
              <w:jc w:val="center"/>
              <w:rPr>
                <w:sz w:val="24"/>
              </w:rPr>
            </w:pPr>
            <w:r>
              <w:rPr>
                <w:sz w:val="24"/>
              </w:rPr>
              <w:t>+32,13</w:t>
            </w:r>
          </w:p>
        </w:tc>
        <w:tc>
          <w:tcPr>
            <w:tcW w:w="970" w:type="dxa"/>
          </w:tcPr>
          <w:p>
            <w:pPr>
              <w:pStyle w:val="TableParagraph"/>
              <w:spacing w:line="253" w:lineRule="exact"/>
              <w:ind w:left="291"/>
              <w:rPr>
                <w:sz w:val="24"/>
              </w:rPr>
            </w:pPr>
            <w:r>
              <w:rPr>
                <w:sz w:val="24"/>
              </w:rPr>
              <w:t>+35</w:t>
            </w:r>
          </w:p>
        </w:tc>
        <w:tc>
          <w:tcPr>
            <w:tcW w:w="1128" w:type="dxa"/>
            <w:tcBorders>
              <w:right w:val="single" w:sz="6" w:space="0" w:color="000000"/>
            </w:tcBorders>
          </w:tcPr>
          <w:p>
            <w:pPr>
              <w:pStyle w:val="TableParagraph"/>
              <w:rPr>
                <w:sz w:val="20"/>
              </w:rPr>
            </w:pPr>
          </w:p>
        </w:tc>
      </w:tr>
      <w:tr>
        <w:trPr>
          <w:trHeight w:val="556" w:hRule="atLeast"/>
        </w:trPr>
        <w:tc>
          <w:tcPr>
            <w:tcW w:w="2008" w:type="dxa"/>
            <w:gridSpan w:val="2"/>
            <w:tcBorders>
              <w:right w:val="single" w:sz="6" w:space="0" w:color="000000"/>
            </w:tcBorders>
          </w:tcPr>
          <w:p>
            <w:pPr>
              <w:pStyle w:val="TableParagraph"/>
              <w:spacing w:line="274" w:lineRule="exact" w:before="2"/>
              <w:ind w:left="724" w:right="218" w:hanging="471"/>
              <w:rPr>
                <w:sz w:val="24"/>
              </w:rPr>
            </w:pPr>
            <w:r>
              <w:rPr>
                <w:sz w:val="24"/>
              </w:rPr>
              <w:t>Третя і старше Х±Sх</w:t>
            </w:r>
          </w:p>
        </w:tc>
        <w:tc>
          <w:tcPr>
            <w:tcW w:w="1114" w:type="dxa"/>
            <w:tcBorders>
              <w:left w:val="single" w:sz="6" w:space="0" w:color="000000"/>
            </w:tcBorders>
          </w:tcPr>
          <w:p>
            <w:pPr>
              <w:pStyle w:val="TableParagraph"/>
              <w:spacing w:line="272" w:lineRule="exact"/>
              <w:ind w:left="318"/>
              <w:rPr>
                <w:sz w:val="24"/>
              </w:rPr>
            </w:pPr>
            <w:r>
              <w:rPr>
                <w:sz w:val="24"/>
              </w:rPr>
              <w:t>4457</w:t>
            </w:r>
          </w:p>
          <w:p>
            <w:pPr>
              <w:pStyle w:val="TableParagraph"/>
              <w:spacing w:line="265" w:lineRule="exact"/>
              <w:ind w:left="222"/>
              <w:rPr>
                <w:sz w:val="24"/>
              </w:rPr>
            </w:pPr>
            <w:r>
              <w:rPr>
                <w:sz w:val="24"/>
              </w:rPr>
              <w:t>±171,0</w:t>
            </w:r>
          </w:p>
        </w:tc>
        <w:tc>
          <w:tcPr>
            <w:tcW w:w="1119" w:type="dxa"/>
          </w:tcPr>
          <w:p>
            <w:pPr>
              <w:pStyle w:val="TableParagraph"/>
              <w:spacing w:line="272" w:lineRule="exact"/>
              <w:ind w:left="344"/>
              <w:rPr>
                <w:sz w:val="24"/>
              </w:rPr>
            </w:pPr>
            <w:r>
              <w:rPr>
                <w:sz w:val="24"/>
              </w:rPr>
              <w:t>4,06</w:t>
            </w:r>
          </w:p>
          <w:p>
            <w:pPr>
              <w:pStyle w:val="TableParagraph"/>
              <w:spacing w:line="265" w:lineRule="exact"/>
              <w:ind w:left="282"/>
              <w:rPr>
                <w:sz w:val="24"/>
              </w:rPr>
            </w:pPr>
            <w:r>
              <w:rPr>
                <w:sz w:val="24"/>
              </w:rPr>
              <w:t>±0,04</w:t>
            </w:r>
          </w:p>
        </w:tc>
        <w:tc>
          <w:tcPr>
            <w:tcW w:w="1215" w:type="dxa"/>
          </w:tcPr>
          <w:p>
            <w:pPr>
              <w:pStyle w:val="TableParagraph"/>
              <w:spacing w:line="272" w:lineRule="exact"/>
              <w:ind w:left="335"/>
              <w:rPr>
                <w:sz w:val="24"/>
              </w:rPr>
            </w:pPr>
            <w:r>
              <w:rPr>
                <w:sz w:val="24"/>
              </w:rPr>
              <w:t>180,6</w:t>
            </w:r>
          </w:p>
          <w:p>
            <w:pPr>
              <w:pStyle w:val="TableParagraph"/>
              <w:spacing w:line="265" w:lineRule="exact"/>
              <w:ind w:left="387"/>
              <w:rPr>
                <w:sz w:val="24"/>
              </w:rPr>
            </w:pPr>
            <w:r>
              <w:rPr>
                <w:sz w:val="24"/>
              </w:rPr>
              <w:t>±6,6</w:t>
            </w:r>
          </w:p>
        </w:tc>
        <w:tc>
          <w:tcPr>
            <w:tcW w:w="1018" w:type="dxa"/>
          </w:tcPr>
          <w:p>
            <w:pPr>
              <w:pStyle w:val="TableParagraph"/>
              <w:spacing w:line="272" w:lineRule="exact"/>
              <w:ind w:left="296"/>
              <w:rPr>
                <w:sz w:val="24"/>
              </w:rPr>
            </w:pPr>
            <w:r>
              <w:rPr>
                <w:sz w:val="24"/>
              </w:rPr>
              <w:t>3,28</w:t>
            </w:r>
          </w:p>
          <w:p>
            <w:pPr>
              <w:pStyle w:val="TableParagraph"/>
              <w:spacing w:line="265" w:lineRule="exact"/>
              <w:ind w:left="171"/>
              <w:rPr>
                <w:sz w:val="24"/>
              </w:rPr>
            </w:pPr>
            <w:r>
              <w:rPr>
                <w:sz w:val="24"/>
              </w:rPr>
              <w:t>±0,009</w:t>
            </w:r>
          </w:p>
        </w:tc>
        <w:tc>
          <w:tcPr>
            <w:tcW w:w="1004" w:type="dxa"/>
          </w:tcPr>
          <w:p>
            <w:pPr>
              <w:pStyle w:val="TableParagraph"/>
              <w:spacing w:line="272" w:lineRule="exact"/>
              <w:ind w:left="166"/>
              <w:rPr>
                <w:sz w:val="24"/>
              </w:rPr>
            </w:pPr>
            <w:r>
              <w:rPr>
                <w:sz w:val="24"/>
              </w:rPr>
              <w:t>146,18</w:t>
            </w:r>
          </w:p>
          <w:p>
            <w:pPr>
              <w:pStyle w:val="TableParagraph"/>
              <w:spacing w:line="265" w:lineRule="exact"/>
              <w:ind w:left="281"/>
              <w:rPr>
                <w:sz w:val="24"/>
              </w:rPr>
            </w:pPr>
            <w:r>
              <w:rPr>
                <w:sz w:val="24"/>
              </w:rPr>
              <w:t>±5,7</w:t>
            </w:r>
          </w:p>
        </w:tc>
        <w:tc>
          <w:tcPr>
            <w:tcW w:w="970" w:type="dxa"/>
          </w:tcPr>
          <w:p>
            <w:pPr>
              <w:pStyle w:val="TableParagraph"/>
              <w:spacing w:line="272" w:lineRule="exact"/>
              <w:ind w:left="300"/>
              <w:rPr>
                <w:sz w:val="24"/>
              </w:rPr>
            </w:pPr>
            <w:r>
              <w:rPr>
                <w:sz w:val="24"/>
              </w:rPr>
              <w:t>563</w:t>
            </w:r>
          </w:p>
          <w:p>
            <w:pPr>
              <w:pStyle w:val="TableParagraph"/>
              <w:spacing w:line="265" w:lineRule="exact"/>
              <w:ind w:left="262"/>
              <w:rPr>
                <w:sz w:val="24"/>
              </w:rPr>
            </w:pPr>
            <w:r>
              <w:rPr>
                <w:sz w:val="24"/>
              </w:rPr>
              <w:t>±7,9</w:t>
            </w:r>
          </w:p>
        </w:tc>
        <w:tc>
          <w:tcPr>
            <w:tcW w:w="1128" w:type="dxa"/>
            <w:tcBorders>
              <w:right w:val="single" w:sz="6" w:space="0" w:color="000000"/>
            </w:tcBorders>
          </w:tcPr>
          <w:p>
            <w:pPr>
              <w:pStyle w:val="TableParagraph"/>
              <w:spacing w:before="131"/>
              <w:ind w:left="391" w:right="380"/>
              <w:jc w:val="center"/>
              <w:rPr>
                <w:sz w:val="24"/>
              </w:rPr>
            </w:pPr>
            <w:r>
              <w:rPr>
                <w:sz w:val="24"/>
              </w:rPr>
              <w:t>9,4</w:t>
            </w:r>
          </w:p>
        </w:tc>
      </w:tr>
      <w:tr>
        <w:trPr>
          <w:trHeight w:val="273" w:hRule="atLeast"/>
        </w:trPr>
        <w:tc>
          <w:tcPr>
            <w:tcW w:w="788" w:type="dxa"/>
            <w:vMerge w:val="restart"/>
            <w:textDirection w:val="btLr"/>
          </w:tcPr>
          <w:p>
            <w:pPr>
              <w:pStyle w:val="TableParagraph"/>
              <w:spacing w:line="247" w:lineRule="auto" w:before="111"/>
              <w:ind w:left="57" w:right="31" w:hanging="5"/>
              <w:rPr>
                <w:sz w:val="24"/>
              </w:rPr>
            </w:pPr>
            <w:r>
              <w:rPr>
                <w:sz w:val="24"/>
              </w:rPr>
              <w:t>Показники мінливості</w:t>
            </w:r>
          </w:p>
        </w:tc>
        <w:tc>
          <w:tcPr>
            <w:tcW w:w="1220" w:type="dxa"/>
            <w:tcBorders>
              <w:right w:val="single" w:sz="6" w:space="0" w:color="000000"/>
            </w:tcBorders>
          </w:tcPr>
          <w:p>
            <w:pPr>
              <w:pStyle w:val="TableParagraph"/>
              <w:spacing w:line="253" w:lineRule="exact"/>
              <w:ind w:left="345" w:right="337"/>
              <w:jc w:val="center"/>
              <w:rPr>
                <w:sz w:val="24"/>
              </w:rPr>
            </w:pPr>
            <w:r>
              <w:rPr>
                <w:sz w:val="24"/>
              </w:rPr>
              <w:t>±õ</w:t>
            </w:r>
          </w:p>
        </w:tc>
        <w:tc>
          <w:tcPr>
            <w:tcW w:w="1114" w:type="dxa"/>
            <w:tcBorders>
              <w:left w:val="single" w:sz="6" w:space="0" w:color="000000"/>
            </w:tcBorders>
          </w:tcPr>
          <w:p>
            <w:pPr>
              <w:pStyle w:val="TableParagraph"/>
              <w:spacing w:line="253" w:lineRule="exact"/>
              <w:ind w:left="175" w:right="156"/>
              <w:jc w:val="center"/>
              <w:rPr>
                <w:sz w:val="24"/>
              </w:rPr>
            </w:pPr>
            <w:r>
              <w:rPr>
                <w:sz w:val="24"/>
              </w:rPr>
              <w:t>724,0</w:t>
            </w:r>
          </w:p>
        </w:tc>
        <w:tc>
          <w:tcPr>
            <w:tcW w:w="1119" w:type="dxa"/>
          </w:tcPr>
          <w:p>
            <w:pPr>
              <w:pStyle w:val="TableParagraph"/>
              <w:spacing w:line="253" w:lineRule="exact"/>
              <w:ind w:left="349"/>
              <w:rPr>
                <w:sz w:val="24"/>
              </w:rPr>
            </w:pPr>
            <w:r>
              <w:rPr>
                <w:sz w:val="24"/>
              </w:rPr>
              <w:t>0,15</w:t>
            </w:r>
          </w:p>
        </w:tc>
        <w:tc>
          <w:tcPr>
            <w:tcW w:w="1215" w:type="dxa"/>
          </w:tcPr>
          <w:p>
            <w:pPr>
              <w:pStyle w:val="TableParagraph"/>
              <w:spacing w:line="253" w:lineRule="exact"/>
              <w:ind w:left="397"/>
              <w:rPr>
                <w:sz w:val="24"/>
              </w:rPr>
            </w:pPr>
            <w:r>
              <w:rPr>
                <w:sz w:val="24"/>
              </w:rPr>
              <w:t>25,4</w:t>
            </w:r>
          </w:p>
        </w:tc>
        <w:tc>
          <w:tcPr>
            <w:tcW w:w="1018" w:type="dxa"/>
          </w:tcPr>
          <w:p>
            <w:pPr>
              <w:pStyle w:val="TableParagraph"/>
              <w:spacing w:line="253" w:lineRule="exact"/>
              <w:ind w:left="300"/>
              <w:rPr>
                <w:sz w:val="24"/>
              </w:rPr>
            </w:pPr>
            <w:r>
              <w:rPr>
                <w:sz w:val="24"/>
              </w:rPr>
              <w:t>0,04</w:t>
            </w:r>
          </w:p>
        </w:tc>
        <w:tc>
          <w:tcPr>
            <w:tcW w:w="1004" w:type="dxa"/>
          </w:tcPr>
          <w:p>
            <w:pPr>
              <w:pStyle w:val="TableParagraph"/>
              <w:spacing w:line="253" w:lineRule="exact"/>
              <w:ind w:left="136" w:right="126"/>
              <w:jc w:val="center"/>
              <w:rPr>
                <w:sz w:val="24"/>
              </w:rPr>
            </w:pPr>
            <w:r>
              <w:rPr>
                <w:sz w:val="24"/>
              </w:rPr>
              <w:t>24,4</w:t>
            </w:r>
          </w:p>
        </w:tc>
        <w:tc>
          <w:tcPr>
            <w:tcW w:w="970" w:type="dxa"/>
          </w:tcPr>
          <w:p>
            <w:pPr>
              <w:pStyle w:val="TableParagraph"/>
              <w:spacing w:line="253" w:lineRule="exact"/>
              <w:ind w:left="271"/>
              <w:rPr>
                <w:sz w:val="24"/>
              </w:rPr>
            </w:pPr>
            <w:r>
              <w:rPr>
                <w:sz w:val="24"/>
              </w:rPr>
              <w:t>33,8</w:t>
            </w:r>
          </w:p>
        </w:tc>
        <w:tc>
          <w:tcPr>
            <w:tcW w:w="1128" w:type="dxa"/>
            <w:vMerge w:val="restart"/>
            <w:tcBorders>
              <w:right w:val="single" w:sz="6" w:space="0" w:color="000000"/>
            </w:tcBorders>
          </w:tcPr>
          <w:p>
            <w:pPr>
              <w:pStyle w:val="TableParagraph"/>
              <w:rPr>
                <w:sz w:val="26"/>
              </w:rPr>
            </w:pPr>
          </w:p>
        </w:tc>
      </w:tr>
      <w:tr>
        <w:trPr>
          <w:trHeight w:val="277" w:hRule="atLeast"/>
        </w:trPr>
        <w:tc>
          <w:tcPr>
            <w:tcW w:w="788" w:type="dxa"/>
            <w:vMerge/>
            <w:tcBorders>
              <w:top w:val="nil"/>
            </w:tcBorders>
            <w:textDirection w:val="btLr"/>
          </w:tcPr>
          <w:p>
            <w:pPr>
              <w:rPr>
                <w:sz w:val="2"/>
                <w:szCs w:val="2"/>
              </w:rPr>
            </w:pPr>
          </w:p>
        </w:tc>
        <w:tc>
          <w:tcPr>
            <w:tcW w:w="1220" w:type="dxa"/>
            <w:tcBorders>
              <w:right w:val="single" w:sz="6" w:space="0" w:color="000000"/>
            </w:tcBorders>
          </w:tcPr>
          <w:p>
            <w:pPr>
              <w:pStyle w:val="TableParagraph"/>
              <w:spacing w:line="258" w:lineRule="exact"/>
              <w:ind w:left="345" w:right="341"/>
              <w:jc w:val="center"/>
              <w:rPr>
                <w:sz w:val="24"/>
              </w:rPr>
            </w:pPr>
            <w:r>
              <w:rPr>
                <w:sz w:val="24"/>
              </w:rPr>
              <w:t>Cv%</w:t>
            </w:r>
          </w:p>
        </w:tc>
        <w:tc>
          <w:tcPr>
            <w:tcW w:w="1114" w:type="dxa"/>
            <w:tcBorders>
              <w:left w:val="single" w:sz="6" w:space="0" w:color="000000"/>
            </w:tcBorders>
          </w:tcPr>
          <w:p>
            <w:pPr>
              <w:pStyle w:val="TableParagraph"/>
              <w:spacing w:line="258" w:lineRule="exact"/>
              <w:ind w:left="175" w:right="161"/>
              <w:jc w:val="center"/>
              <w:rPr>
                <w:sz w:val="24"/>
              </w:rPr>
            </w:pPr>
            <w:r>
              <w:rPr>
                <w:sz w:val="24"/>
              </w:rPr>
              <w:t>16,2</w:t>
            </w:r>
          </w:p>
        </w:tc>
        <w:tc>
          <w:tcPr>
            <w:tcW w:w="1119" w:type="dxa"/>
          </w:tcPr>
          <w:p>
            <w:pPr>
              <w:pStyle w:val="TableParagraph"/>
              <w:spacing w:line="258" w:lineRule="exact"/>
              <w:ind w:left="325" w:right="318"/>
              <w:jc w:val="center"/>
              <w:rPr>
                <w:sz w:val="24"/>
              </w:rPr>
            </w:pPr>
            <w:r>
              <w:rPr>
                <w:sz w:val="24"/>
              </w:rPr>
              <w:t>3,6</w:t>
            </w:r>
          </w:p>
        </w:tc>
        <w:tc>
          <w:tcPr>
            <w:tcW w:w="1215" w:type="dxa"/>
          </w:tcPr>
          <w:p>
            <w:pPr>
              <w:pStyle w:val="TableParagraph"/>
              <w:spacing w:line="258" w:lineRule="exact"/>
              <w:ind w:right="325"/>
              <w:jc w:val="right"/>
              <w:rPr>
                <w:sz w:val="24"/>
              </w:rPr>
            </w:pPr>
            <w:r>
              <w:rPr>
                <w:sz w:val="24"/>
              </w:rPr>
              <w:t>14,05</w:t>
            </w:r>
          </w:p>
        </w:tc>
        <w:tc>
          <w:tcPr>
            <w:tcW w:w="1018" w:type="dxa"/>
          </w:tcPr>
          <w:p>
            <w:pPr>
              <w:pStyle w:val="TableParagraph"/>
              <w:spacing w:line="258" w:lineRule="exact"/>
              <w:ind w:left="358"/>
              <w:rPr>
                <w:sz w:val="24"/>
              </w:rPr>
            </w:pPr>
            <w:r>
              <w:rPr>
                <w:sz w:val="24"/>
              </w:rPr>
              <w:t>1,2</w:t>
            </w:r>
          </w:p>
        </w:tc>
        <w:tc>
          <w:tcPr>
            <w:tcW w:w="1004" w:type="dxa"/>
          </w:tcPr>
          <w:p>
            <w:pPr>
              <w:pStyle w:val="TableParagraph"/>
              <w:spacing w:line="258" w:lineRule="exact"/>
              <w:ind w:left="136" w:right="126"/>
              <w:jc w:val="center"/>
              <w:rPr>
                <w:sz w:val="24"/>
              </w:rPr>
            </w:pPr>
            <w:r>
              <w:rPr>
                <w:sz w:val="24"/>
              </w:rPr>
              <w:t>16,7</w:t>
            </w:r>
          </w:p>
        </w:tc>
        <w:tc>
          <w:tcPr>
            <w:tcW w:w="970" w:type="dxa"/>
          </w:tcPr>
          <w:p>
            <w:pPr>
              <w:pStyle w:val="TableParagraph"/>
              <w:spacing w:line="258" w:lineRule="exact"/>
              <w:ind w:left="329"/>
              <w:rPr>
                <w:sz w:val="24"/>
              </w:rPr>
            </w:pPr>
            <w:r>
              <w:rPr>
                <w:sz w:val="24"/>
              </w:rPr>
              <w:t>6,0</w:t>
            </w:r>
          </w:p>
        </w:tc>
        <w:tc>
          <w:tcPr>
            <w:tcW w:w="1128" w:type="dxa"/>
            <w:vMerge/>
            <w:tcBorders>
              <w:top w:val="nil"/>
              <w:right w:val="single" w:sz="6" w:space="0" w:color="000000"/>
            </w:tcBorders>
          </w:tcPr>
          <w:p>
            <w:pPr>
              <w:rPr>
                <w:sz w:val="2"/>
                <w:szCs w:val="2"/>
              </w:rPr>
            </w:pPr>
          </w:p>
        </w:tc>
      </w:tr>
      <w:tr>
        <w:trPr>
          <w:trHeight w:val="647" w:hRule="atLeast"/>
        </w:trPr>
        <w:tc>
          <w:tcPr>
            <w:tcW w:w="788" w:type="dxa"/>
            <w:vMerge/>
            <w:tcBorders>
              <w:top w:val="nil"/>
            </w:tcBorders>
            <w:textDirection w:val="btLr"/>
          </w:tcPr>
          <w:p>
            <w:pPr>
              <w:rPr>
                <w:sz w:val="2"/>
                <w:szCs w:val="2"/>
              </w:rPr>
            </w:pPr>
          </w:p>
        </w:tc>
        <w:tc>
          <w:tcPr>
            <w:tcW w:w="1220" w:type="dxa"/>
            <w:tcBorders>
              <w:right w:val="single" w:sz="6" w:space="0" w:color="000000"/>
            </w:tcBorders>
          </w:tcPr>
          <w:p>
            <w:pPr>
              <w:pStyle w:val="TableParagraph"/>
              <w:spacing w:before="179"/>
              <w:ind w:left="345" w:right="340"/>
              <w:jc w:val="center"/>
              <w:rPr>
                <w:sz w:val="24"/>
              </w:rPr>
            </w:pPr>
            <w:r>
              <w:rPr>
                <w:sz w:val="24"/>
              </w:rPr>
              <w:t>limit</w:t>
            </w:r>
          </w:p>
        </w:tc>
        <w:tc>
          <w:tcPr>
            <w:tcW w:w="1114" w:type="dxa"/>
            <w:tcBorders>
              <w:left w:val="single" w:sz="6" w:space="0" w:color="000000"/>
            </w:tcBorders>
          </w:tcPr>
          <w:p>
            <w:pPr>
              <w:pStyle w:val="TableParagraph"/>
              <w:spacing w:before="39"/>
              <w:ind w:left="318"/>
              <w:rPr>
                <w:sz w:val="24"/>
              </w:rPr>
            </w:pPr>
            <w:r>
              <w:rPr>
                <w:sz w:val="24"/>
              </w:rPr>
              <w:t>3016</w:t>
            </w:r>
          </w:p>
          <w:p>
            <w:pPr>
              <w:pStyle w:val="TableParagraph"/>
              <w:spacing w:before="3"/>
              <w:ind w:left="318"/>
              <w:rPr>
                <w:sz w:val="24"/>
              </w:rPr>
            </w:pPr>
            <w:r>
              <w:rPr>
                <w:sz w:val="24"/>
              </w:rPr>
              <w:t>6018</w:t>
            </w:r>
          </w:p>
        </w:tc>
        <w:tc>
          <w:tcPr>
            <w:tcW w:w="1119" w:type="dxa"/>
          </w:tcPr>
          <w:p>
            <w:pPr>
              <w:pStyle w:val="TableParagraph"/>
              <w:spacing w:before="39"/>
              <w:ind w:left="330" w:right="318"/>
              <w:jc w:val="center"/>
              <w:rPr>
                <w:sz w:val="24"/>
              </w:rPr>
            </w:pPr>
            <w:r>
              <w:rPr>
                <w:sz w:val="24"/>
              </w:rPr>
              <w:t>3,84</w:t>
            </w:r>
          </w:p>
          <w:p>
            <w:pPr>
              <w:pStyle w:val="TableParagraph"/>
              <w:spacing w:before="3"/>
              <w:ind w:left="325" w:right="318"/>
              <w:jc w:val="center"/>
              <w:rPr>
                <w:sz w:val="24"/>
              </w:rPr>
            </w:pPr>
            <w:r>
              <w:rPr>
                <w:sz w:val="24"/>
              </w:rPr>
              <w:t>4,5</w:t>
            </w:r>
          </w:p>
        </w:tc>
        <w:tc>
          <w:tcPr>
            <w:tcW w:w="1215" w:type="dxa"/>
          </w:tcPr>
          <w:p>
            <w:pPr>
              <w:pStyle w:val="TableParagraph"/>
              <w:spacing w:before="39"/>
              <w:ind w:left="406" w:right="399"/>
              <w:jc w:val="center"/>
              <w:rPr>
                <w:sz w:val="24"/>
              </w:rPr>
            </w:pPr>
            <w:r>
              <w:rPr>
                <w:sz w:val="24"/>
              </w:rPr>
              <w:t>125</w:t>
            </w:r>
          </w:p>
          <w:p>
            <w:pPr>
              <w:pStyle w:val="TableParagraph"/>
              <w:spacing w:before="3"/>
              <w:ind w:left="406" w:right="399"/>
              <w:jc w:val="center"/>
              <w:rPr>
                <w:sz w:val="24"/>
              </w:rPr>
            </w:pPr>
            <w:r>
              <w:rPr>
                <w:sz w:val="24"/>
              </w:rPr>
              <w:t>237</w:t>
            </w:r>
          </w:p>
        </w:tc>
        <w:tc>
          <w:tcPr>
            <w:tcW w:w="1018" w:type="dxa"/>
          </w:tcPr>
          <w:p>
            <w:pPr>
              <w:pStyle w:val="TableParagraph"/>
              <w:spacing w:before="39"/>
              <w:ind w:left="300"/>
              <w:rPr>
                <w:sz w:val="24"/>
              </w:rPr>
            </w:pPr>
            <w:r>
              <w:rPr>
                <w:sz w:val="24"/>
              </w:rPr>
              <w:t>3,20</w:t>
            </w:r>
          </w:p>
          <w:p>
            <w:pPr>
              <w:pStyle w:val="TableParagraph"/>
              <w:spacing w:before="3"/>
              <w:ind w:left="300"/>
              <w:rPr>
                <w:sz w:val="24"/>
              </w:rPr>
            </w:pPr>
            <w:r>
              <w:rPr>
                <w:sz w:val="24"/>
              </w:rPr>
              <w:t>3,31</w:t>
            </w:r>
          </w:p>
        </w:tc>
        <w:tc>
          <w:tcPr>
            <w:tcW w:w="1004" w:type="dxa"/>
          </w:tcPr>
          <w:p>
            <w:pPr>
              <w:pStyle w:val="TableParagraph"/>
              <w:spacing w:before="39"/>
              <w:ind w:left="320"/>
              <w:rPr>
                <w:sz w:val="24"/>
              </w:rPr>
            </w:pPr>
            <w:r>
              <w:rPr>
                <w:sz w:val="24"/>
              </w:rPr>
              <w:t>103</w:t>
            </w:r>
          </w:p>
          <w:p>
            <w:pPr>
              <w:pStyle w:val="TableParagraph"/>
              <w:spacing w:before="3"/>
              <w:ind w:left="320"/>
              <w:rPr>
                <w:sz w:val="24"/>
              </w:rPr>
            </w:pPr>
            <w:r>
              <w:rPr>
                <w:sz w:val="24"/>
              </w:rPr>
              <w:t>198</w:t>
            </w:r>
          </w:p>
        </w:tc>
        <w:tc>
          <w:tcPr>
            <w:tcW w:w="970" w:type="dxa"/>
          </w:tcPr>
          <w:p>
            <w:pPr>
              <w:pStyle w:val="TableParagraph"/>
              <w:spacing w:before="39"/>
              <w:ind w:left="300"/>
              <w:rPr>
                <w:sz w:val="24"/>
              </w:rPr>
            </w:pPr>
            <w:r>
              <w:rPr>
                <w:sz w:val="24"/>
              </w:rPr>
              <w:t>490</w:t>
            </w:r>
          </w:p>
          <w:p>
            <w:pPr>
              <w:pStyle w:val="TableParagraph"/>
              <w:spacing w:before="3"/>
              <w:ind w:left="300"/>
              <w:rPr>
                <w:sz w:val="24"/>
              </w:rPr>
            </w:pPr>
            <w:r>
              <w:rPr>
                <w:sz w:val="24"/>
              </w:rPr>
              <w:t>600</w:t>
            </w:r>
          </w:p>
        </w:tc>
        <w:tc>
          <w:tcPr>
            <w:tcW w:w="1128" w:type="dxa"/>
            <w:vMerge/>
            <w:tcBorders>
              <w:top w:val="nil"/>
              <w:right w:val="single" w:sz="6" w:space="0" w:color="000000"/>
            </w:tcBorders>
          </w:tcPr>
          <w:p>
            <w:pPr>
              <w:rPr>
                <w:sz w:val="2"/>
                <w:szCs w:val="2"/>
              </w:rPr>
            </w:pPr>
          </w:p>
        </w:tc>
      </w:tr>
      <w:tr>
        <w:trPr>
          <w:trHeight w:val="278" w:hRule="atLeast"/>
        </w:trPr>
        <w:tc>
          <w:tcPr>
            <w:tcW w:w="9576" w:type="dxa"/>
            <w:gridSpan w:val="9"/>
            <w:tcBorders>
              <w:right w:val="single" w:sz="6" w:space="0" w:color="000000"/>
            </w:tcBorders>
          </w:tcPr>
          <w:p>
            <w:pPr>
              <w:pStyle w:val="TableParagraph"/>
              <w:spacing w:line="259" w:lineRule="exact"/>
              <w:ind w:left="1933" w:right="1916"/>
              <w:jc w:val="center"/>
              <w:rPr>
                <w:sz w:val="24"/>
              </w:rPr>
            </w:pPr>
            <w:r>
              <w:rPr>
                <w:sz w:val="24"/>
              </w:rPr>
              <w:t>Стандарт породи</w:t>
            </w:r>
          </w:p>
        </w:tc>
      </w:tr>
      <w:tr>
        <w:trPr>
          <w:trHeight w:val="551" w:hRule="atLeast"/>
        </w:trPr>
        <w:tc>
          <w:tcPr>
            <w:tcW w:w="2008" w:type="dxa"/>
            <w:gridSpan w:val="2"/>
            <w:tcBorders>
              <w:right w:val="single" w:sz="6" w:space="0" w:color="000000"/>
            </w:tcBorders>
          </w:tcPr>
          <w:p>
            <w:pPr>
              <w:pStyle w:val="TableParagraph"/>
              <w:spacing w:line="268" w:lineRule="exact"/>
              <w:ind w:left="155" w:right="138"/>
              <w:jc w:val="center"/>
              <w:rPr>
                <w:sz w:val="24"/>
              </w:rPr>
            </w:pPr>
            <w:r>
              <w:rPr>
                <w:sz w:val="24"/>
              </w:rPr>
              <w:t>Лактація ІІІ і</w:t>
            </w:r>
          </w:p>
          <w:p>
            <w:pPr>
              <w:pStyle w:val="TableParagraph"/>
              <w:spacing w:line="261" w:lineRule="exact" w:before="2"/>
              <w:ind w:left="155" w:right="144"/>
              <w:jc w:val="center"/>
              <w:rPr>
                <w:sz w:val="24"/>
              </w:rPr>
            </w:pPr>
            <w:r>
              <w:rPr>
                <w:sz w:val="24"/>
              </w:rPr>
              <w:t>старше</w:t>
            </w:r>
          </w:p>
        </w:tc>
        <w:tc>
          <w:tcPr>
            <w:tcW w:w="1114" w:type="dxa"/>
            <w:tcBorders>
              <w:left w:val="single" w:sz="6" w:space="0" w:color="000000"/>
            </w:tcBorders>
          </w:tcPr>
          <w:p>
            <w:pPr>
              <w:pStyle w:val="TableParagraph"/>
              <w:spacing w:before="131"/>
              <w:ind w:left="175" w:right="161"/>
              <w:jc w:val="center"/>
              <w:rPr>
                <w:sz w:val="24"/>
              </w:rPr>
            </w:pPr>
            <w:r>
              <w:rPr>
                <w:sz w:val="24"/>
              </w:rPr>
              <w:t>3900</w:t>
            </w:r>
          </w:p>
        </w:tc>
        <w:tc>
          <w:tcPr>
            <w:tcW w:w="1119" w:type="dxa"/>
          </w:tcPr>
          <w:p>
            <w:pPr>
              <w:pStyle w:val="TableParagraph"/>
              <w:spacing w:before="131"/>
              <w:ind w:left="325" w:right="318"/>
              <w:jc w:val="center"/>
              <w:rPr>
                <w:sz w:val="24"/>
              </w:rPr>
            </w:pPr>
            <w:r>
              <w:rPr>
                <w:sz w:val="24"/>
              </w:rPr>
              <w:t>3,7</w:t>
            </w:r>
          </w:p>
        </w:tc>
        <w:tc>
          <w:tcPr>
            <w:tcW w:w="1215" w:type="dxa"/>
          </w:tcPr>
          <w:p>
            <w:pPr>
              <w:pStyle w:val="TableParagraph"/>
              <w:spacing w:before="131"/>
              <w:ind w:left="406" w:right="399"/>
              <w:jc w:val="center"/>
              <w:rPr>
                <w:sz w:val="24"/>
              </w:rPr>
            </w:pPr>
            <w:r>
              <w:rPr>
                <w:sz w:val="24"/>
              </w:rPr>
              <w:t>144</w:t>
            </w:r>
          </w:p>
        </w:tc>
        <w:tc>
          <w:tcPr>
            <w:tcW w:w="1018" w:type="dxa"/>
          </w:tcPr>
          <w:p>
            <w:pPr>
              <w:pStyle w:val="TableParagraph"/>
              <w:spacing w:before="131"/>
              <w:ind w:left="358"/>
              <w:rPr>
                <w:sz w:val="24"/>
              </w:rPr>
            </w:pPr>
            <w:r>
              <w:rPr>
                <w:sz w:val="24"/>
              </w:rPr>
              <w:t>3,3</w:t>
            </w:r>
          </w:p>
        </w:tc>
        <w:tc>
          <w:tcPr>
            <w:tcW w:w="1004" w:type="dxa"/>
          </w:tcPr>
          <w:p>
            <w:pPr>
              <w:pStyle w:val="TableParagraph"/>
              <w:spacing w:before="131"/>
              <w:ind w:left="132" w:right="126"/>
              <w:jc w:val="center"/>
              <w:rPr>
                <w:sz w:val="24"/>
              </w:rPr>
            </w:pPr>
            <w:r>
              <w:rPr>
                <w:sz w:val="24"/>
              </w:rPr>
              <w:t>129</w:t>
            </w:r>
          </w:p>
        </w:tc>
        <w:tc>
          <w:tcPr>
            <w:tcW w:w="970" w:type="dxa"/>
          </w:tcPr>
          <w:p>
            <w:pPr>
              <w:pStyle w:val="TableParagraph"/>
              <w:spacing w:before="131"/>
              <w:ind w:left="300"/>
              <w:rPr>
                <w:sz w:val="24"/>
              </w:rPr>
            </w:pPr>
            <w:r>
              <w:rPr>
                <w:sz w:val="24"/>
              </w:rPr>
              <w:t>530</w:t>
            </w:r>
          </w:p>
        </w:tc>
        <w:tc>
          <w:tcPr>
            <w:tcW w:w="1128" w:type="dxa"/>
            <w:tcBorders>
              <w:right w:val="single" w:sz="6" w:space="0" w:color="000000"/>
            </w:tcBorders>
          </w:tcPr>
          <w:p>
            <w:pPr>
              <w:pStyle w:val="TableParagraph"/>
              <w:rPr>
                <w:sz w:val="26"/>
              </w:rPr>
            </w:pPr>
          </w:p>
        </w:tc>
      </w:tr>
      <w:tr>
        <w:trPr>
          <w:trHeight w:val="551" w:hRule="atLeast"/>
        </w:trPr>
        <w:tc>
          <w:tcPr>
            <w:tcW w:w="2008" w:type="dxa"/>
            <w:gridSpan w:val="2"/>
            <w:tcBorders>
              <w:right w:val="single" w:sz="6" w:space="0" w:color="000000"/>
            </w:tcBorders>
          </w:tcPr>
          <w:p>
            <w:pPr>
              <w:pStyle w:val="TableParagraph"/>
              <w:spacing w:line="268" w:lineRule="exact"/>
              <w:ind w:left="155" w:right="137"/>
              <w:jc w:val="center"/>
              <w:rPr>
                <w:sz w:val="24"/>
              </w:rPr>
            </w:pPr>
            <w:r>
              <w:rPr>
                <w:sz w:val="24"/>
              </w:rPr>
              <w:t>± до стандарту</w:t>
            </w:r>
          </w:p>
          <w:p>
            <w:pPr>
              <w:pStyle w:val="TableParagraph"/>
              <w:spacing w:line="261" w:lineRule="exact" w:before="2"/>
              <w:ind w:left="155" w:right="142"/>
              <w:jc w:val="center"/>
              <w:rPr>
                <w:sz w:val="24"/>
              </w:rPr>
            </w:pPr>
            <w:r>
              <w:rPr>
                <w:sz w:val="24"/>
              </w:rPr>
              <w:t>ІІІ лактації</w:t>
            </w:r>
          </w:p>
        </w:tc>
        <w:tc>
          <w:tcPr>
            <w:tcW w:w="1114" w:type="dxa"/>
            <w:tcBorders>
              <w:left w:val="single" w:sz="6" w:space="0" w:color="000000"/>
            </w:tcBorders>
          </w:tcPr>
          <w:p>
            <w:pPr>
              <w:pStyle w:val="TableParagraph"/>
              <w:spacing w:before="131"/>
              <w:ind w:left="175" w:right="165"/>
              <w:jc w:val="center"/>
              <w:rPr>
                <w:sz w:val="24"/>
              </w:rPr>
            </w:pPr>
            <w:r>
              <w:rPr>
                <w:sz w:val="24"/>
              </w:rPr>
              <w:t>+557</w:t>
            </w:r>
          </w:p>
        </w:tc>
        <w:tc>
          <w:tcPr>
            <w:tcW w:w="1119" w:type="dxa"/>
          </w:tcPr>
          <w:p>
            <w:pPr>
              <w:pStyle w:val="TableParagraph"/>
              <w:spacing w:before="131"/>
              <w:ind w:left="277"/>
              <w:rPr>
                <w:sz w:val="24"/>
              </w:rPr>
            </w:pPr>
            <w:r>
              <w:rPr>
                <w:sz w:val="24"/>
              </w:rPr>
              <w:t>+0,36</w:t>
            </w:r>
          </w:p>
        </w:tc>
        <w:tc>
          <w:tcPr>
            <w:tcW w:w="1215" w:type="dxa"/>
          </w:tcPr>
          <w:p>
            <w:pPr>
              <w:pStyle w:val="TableParagraph"/>
              <w:spacing w:before="131"/>
              <w:ind w:right="320"/>
              <w:jc w:val="right"/>
              <w:rPr>
                <w:sz w:val="24"/>
              </w:rPr>
            </w:pPr>
            <w:r>
              <w:rPr>
                <w:sz w:val="24"/>
              </w:rPr>
              <w:t>+36,6</w:t>
            </w:r>
          </w:p>
        </w:tc>
        <w:tc>
          <w:tcPr>
            <w:tcW w:w="1018" w:type="dxa"/>
          </w:tcPr>
          <w:p>
            <w:pPr>
              <w:pStyle w:val="TableParagraph"/>
              <w:spacing w:before="131"/>
              <w:ind w:left="257"/>
              <w:rPr>
                <w:sz w:val="24"/>
              </w:rPr>
            </w:pPr>
            <w:r>
              <w:rPr>
                <w:sz w:val="24"/>
              </w:rPr>
              <w:t>-0,02</w:t>
            </w:r>
          </w:p>
        </w:tc>
        <w:tc>
          <w:tcPr>
            <w:tcW w:w="1004" w:type="dxa"/>
          </w:tcPr>
          <w:p>
            <w:pPr>
              <w:pStyle w:val="TableParagraph"/>
              <w:spacing w:before="131"/>
              <w:ind w:left="127" w:right="126"/>
              <w:jc w:val="center"/>
              <w:rPr>
                <w:sz w:val="24"/>
              </w:rPr>
            </w:pPr>
            <w:r>
              <w:rPr>
                <w:sz w:val="24"/>
              </w:rPr>
              <w:t>+17,2</w:t>
            </w:r>
          </w:p>
        </w:tc>
        <w:tc>
          <w:tcPr>
            <w:tcW w:w="970" w:type="dxa"/>
          </w:tcPr>
          <w:p>
            <w:pPr>
              <w:pStyle w:val="TableParagraph"/>
              <w:spacing w:before="131"/>
              <w:ind w:left="291"/>
              <w:rPr>
                <w:sz w:val="24"/>
              </w:rPr>
            </w:pPr>
            <w:r>
              <w:rPr>
                <w:sz w:val="24"/>
              </w:rPr>
              <w:t>+33</w:t>
            </w:r>
          </w:p>
        </w:tc>
        <w:tc>
          <w:tcPr>
            <w:tcW w:w="1128" w:type="dxa"/>
            <w:tcBorders>
              <w:right w:val="single" w:sz="6" w:space="0" w:color="000000"/>
            </w:tcBorders>
          </w:tcPr>
          <w:p>
            <w:pPr>
              <w:pStyle w:val="TableParagraph"/>
              <w:rPr>
                <w:sz w:val="26"/>
              </w:rPr>
            </w:pPr>
          </w:p>
        </w:tc>
      </w:tr>
    </w:tbl>
    <w:p>
      <w:pPr>
        <w:pStyle w:val="BodyText"/>
        <w:spacing w:before="4"/>
        <w:ind w:left="0"/>
        <w:jc w:val="left"/>
        <w:rPr>
          <w:sz w:val="27"/>
        </w:rPr>
      </w:pPr>
    </w:p>
    <w:p>
      <w:pPr>
        <w:pStyle w:val="BodyText"/>
        <w:ind w:right="620" w:firstLine="561"/>
      </w:pPr>
      <w:r>
        <w:rPr/>
        <w:t>У таблиця 4. представлені показники продуктивність корів різного походження.</w:t>
      </w:r>
      <w:r>
        <w:rPr>
          <w:spacing w:val="-8"/>
        </w:rPr>
        <w:t> </w:t>
      </w:r>
      <w:r>
        <w:rPr/>
        <w:t>З</w:t>
      </w:r>
      <w:r>
        <w:rPr>
          <w:spacing w:val="-12"/>
        </w:rPr>
        <w:t> </w:t>
      </w:r>
      <w:r>
        <w:rPr/>
        <w:t>даної</w:t>
      </w:r>
      <w:r>
        <w:rPr>
          <w:spacing w:val="-17"/>
        </w:rPr>
        <w:t> </w:t>
      </w:r>
      <w:r>
        <w:rPr/>
        <w:t>таблиці</w:t>
      </w:r>
      <w:r>
        <w:rPr>
          <w:spacing w:val="-12"/>
        </w:rPr>
        <w:t> </w:t>
      </w:r>
      <w:r>
        <w:rPr/>
        <w:t>ми</w:t>
      </w:r>
      <w:r>
        <w:rPr>
          <w:spacing w:val="-12"/>
        </w:rPr>
        <w:t> </w:t>
      </w:r>
      <w:r>
        <w:rPr/>
        <w:t>бачимо,</w:t>
      </w:r>
      <w:r>
        <w:rPr>
          <w:spacing w:val="-5"/>
        </w:rPr>
        <w:t> </w:t>
      </w:r>
      <w:r>
        <w:rPr/>
        <w:t>що</w:t>
      </w:r>
      <w:r>
        <w:rPr>
          <w:spacing w:val="-12"/>
        </w:rPr>
        <w:t> </w:t>
      </w:r>
      <w:r>
        <w:rPr/>
        <w:t>за</w:t>
      </w:r>
      <w:r>
        <w:rPr>
          <w:spacing w:val="-11"/>
        </w:rPr>
        <w:t> </w:t>
      </w:r>
      <w:r>
        <w:rPr/>
        <w:t>ІІІ</w:t>
      </w:r>
      <w:r>
        <w:rPr>
          <w:spacing w:val="-9"/>
        </w:rPr>
        <w:t> </w:t>
      </w:r>
      <w:r>
        <w:rPr/>
        <w:t>лактацію</w:t>
      </w:r>
      <w:r>
        <w:rPr>
          <w:spacing w:val="-10"/>
        </w:rPr>
        <w:t> </w:t>
      </w:r>
      <w:r>
        <w:rPr/>
        <w:t>від</w:t>
      </w:r>
      <w:r>
        <w:rPr>
          <w:spacing w:val="-9"/>
        </w:rPr>
        <w:t> </w:t>
      </w:r>
      <w:r>
        <w:rPr/>
        <w:t>голштинізованого бугая</w:t>
      </w:r>
      <w:r>
        <w:rPr>
          <w:spacing w:val="-8"/>
        </w:rPr>
        <w:t> </w:t>
      </w:r>
      <w:r>
        <w:rPr/>
        <w:t>Надира</w:t>
      </w:r>
      <w:r>
        <w:rPr>
          <w:spacing w:val="-9"/>
        </w:rPr>
        <w:t> </w:t>
      </w:r>
      <w:r>
        <w:rPr/>
        <w:t>357</w:t>
      </w:r>
      <w:r>
        <w:rPr>
          <w:spacing w:val="-9"/>
        </w:rPr>
        <w:t> </w:t>
      </w:r>
      <w:r>
        <w:rPr/>
        <w:t>ми</w:t>
      </w:r>
      <w:r>
        <w:rPr>
          <w:spacing w:val="-8"/>
        </w:rPr>
        <w:t> </w:t>
      </w:r>
      <w:r>
        <w:rPr/>
        <w:t>одержали</w:t>
      </w:r>
      <w:r>
        <w:rPr>
          <w:spacing w:val="-9"/>
        </w:rPr>
        <w:t> </w:t>
      </w:r>
      <w:r>
        <w:rPr/>
        <w:t>кращі</w:t>
      </w:r>
      <w:r>
        <w:rPr>
          <w:spacing w:val="-14"/>
        </w:rPr>
        <w:t> </w:t>
      </w:r>
      <w:r>
        <w:rPr/>
        <w:t>показники</w:t>
      </w:r>
      <w:r>
        <w:rPr>
          <w:spacing w:val="-10"/>
        </w:rPr>
        <w:t> </w:t>
      </w:r>
      <w:r>
        <w:rPr/>
        <w:t>продуктивності.</w:t>
      </w:r>
      <w:r>
        <w:rPr>
          <w:spacing w:val="-7"/>
        </w:rPr>
        <w:t> </w:t>
      </w:r>
      <w:r>
        <w:rPr/>
        <w:t>Середній</w:t>
      </w:r>
      <w:r>
        <w:rPr>
          <w:spacing w:val="-9"/>
        </w:rPr>
        <w:t> </w:t>
      </w:r>
      <w:r>
        <w:rPr/>
        <w:t>надій його дочок становив 4457 кг, а від корів жирномолочного типу надоїли 4152 кг, або на 305 кг</w:t>
      </w:r>
      <w:r>
        <w:rPr>
          <w:spacing w:val="5"/>
        </w:rPr>
        <w:t> </w:t>
      </w:r>
      <w:r>
        <w:rPr/>
        <w:t>менше.</w:t>
      </w:r>
    </w:p>
    <w:p>
      <w:pPr>
        <w:pStyle w:val="BodyText"/>
        <w:spacing w:before="3"/>
        <w:ind w:right="615" w:firstLine="710"/>
      </w:pPr>
      <w:r>
        <w:rPr/>
        <w:t>Корови</w:t>
      </w:r>
      <w:r>
        <w:rPr>
          <w:spacing w:val="-14"/>
        </w:rPr>
        <w:t> </w:t>
      </w:r>
      <w:r>
        <w:rPr/>
        <w:t>від</w:t>
      </w:r>
      <w:r>
        <w:rPr>
          <w:spacing w:val="-11"/>
        </w:rPr>
        <w:t> </w:t>
      </w:r>
      <w:r>
        <w:rPr/>
        <w:t>бугая</w:t>
      </w:r>
      <w:r>
        <w:rPr>
          <w:spacing w:val="-13"/>
        </w:rPr>
        <w:t> </w:t>
      </w:r>
      <w:r>
        <w:rPr/>
        <w:t>Надира</w:t>
      </w:r>
      <w:r>
        <w:rPr>
          <w:spacing w:val="-12"/>
        </w:rPr>
        <w:t> </w:t>
      </w:r>
      <w:r>
        <w:rPr/>
        <w:t>мали</w:t>
      </w:r>
      <w:r>
        <w:rPr>
          <w:spacing w:val="-13"/>
        </w:rPr>
        <w:t> </w:t>
      </w:r>
      <w:r>
        <w:rPr/>
        <w:t>також</w:t>
      </w:r>
      <w:r>
        <w:rPr>
          <w:spacing w:val="-14"/>
        </w:rPr>
        <w:t> </w:t>
      </w:r>
      <w:r>
        <w:rPr/>
        <w:t>кращі</w:t>
      </w:r>
      <w:r>
        <w:rPr>
          <w:spacing w:val="-17"/>
        </w:rPr>
        <w:t> </w:t>
      </w:r>
      <w:r>
        <w:rPr/>
        <w:t>показники</w:t>
      </w:r>
      <w:r>
        <w:rPr>
          <w:spacing w:val="-14"/>
        </w:rPr>
        <w:t> </w:t>
      </w:r>
      <w:r>
        <w:rPr/>
        <w:t>кількості</w:t>
      </w:r>
      <w:r>
        <w:rPr>
          <w:spacing w:val="-18"/>
        </w:rPr>
        <w:t> </w:t>
      </w:r>
      <w:r>
        <w:rPr/>
        <w:t>молочного жиру</w:t>
      </w:r>
      <w:r>
        <w:rPr>
          <w:spacing w:val="-21"/>
        </w:rPr>
        <w:t> </w:t>
      </w:r>
      <w:r>
        <w:rPr/>
        <w:t>(+12,1</w:t>
      </w:r>
      <w:r>
        <w:rPr>
          <w:spacing w:val="-16"/>
        </w:rPr>
        <w:t> </w:t>
      </w:r>
      <w:r>
        <w:rPr/>
        <w:t>кг)</w:t>
      </w:r>
      <w:r>
        <w:rPr>
          <w:spacing w:val="-17"/>
        </w:rPr>
        <w:t> </w:t>
      </w:r>
      <w:r>
        <w:rPr/>
        <w:t>і</w:t>
      </w:r>
      <w:r>
        <w:rPr>
          <w:spacing w:val="-21"/>
        </w:rPr>
        <w:t> </w:t>
      </w:r>
      <w:r>
        <w:rPr/>
        <w:t>білку</w:t>
      </w:r>
      <w:r>
        <w:rPr>
          <w:spacing w:val="-20"/>
        </w:rPr>
        <w:t> </w:t>
      </w:r>
      <w:r>
        <w:rPr/>
        <w:t>(+10,8</w:t>
      </w:r>
      <w:r>
        <w:rPr>
          <w:spacing w:val="-16"/>
        </w:rPr>
        <w:t> </w:t>
      </w:r>
      <w:r>
        <w:rPr/>
        <w:t>кг)</w:t>
      </w:r>
      <w:r>
        <w:rPr>
          <w:spacing w:val="-17"/>
        </w:rPr>
        <w:t> </w:t>
      </w:r>
      <w:r>
        <w:rPr/>
        <w:t>та</w:t>
      </w:r>
      <w:r>
        <w:rPr>
          <w:spacing w:val="-15"/>
        </w:rPr>
        <w:t> </w:t>
      </w:r>
      <w:r>
        <w:rPr/>
        <w:t>живої</w:t>
      </w:r>
      <w:r>
        <w:rPr>
          <w:spacing w:val="-16"/>
        </w:rPr>
        <w:t> </w:t>
      </w:r>
      <w:r>
        <w:rPr/>
        <w:t>маси</w:t>
      </w:r>
      <w:r>
        <w:rPr>
          <w:spacing w:val="-16"/>
        </w:rPr>
        <w:t> </w:t>
      </w:r>
      <w:r>
        <w:rPr/>
        <w:t>(+10</w:t>
      </w:r>
      <w:r>
        <w:rPr>
          <w:spacing w:val="-16"/>
        </w:rPr>
        <w:t> </w:t>
      </w:r>
      <w:r>
        <w:rPr/>
        <w:t>кг).</w:t>
      </w:r>
      <w:r>
        <w:rPr>
          <w:spacing w:val="-18"/>
        </w:rPr>
        <w:t> </w:t>
      </w:r>
      <w:r>
        <w:rPr/>
        <w:t>Приріст</w:t>
      </w:r>
      <w:r>
        <w:rPr>
          <w:spacing w:val="-17"/>
        </w:rPr>
        <w:t> </w:t>
      </w:r>
      <w:r>
        <w:rPr/>
        <w:t>живої</w:t>
      </w:r>
      <w:r>
        <w:rPr>
          <w:spacing w:val="-21"/>
        </w:rPr>
        <w:t> </w:t>
      </w:r>
      <w:r>
        <w:rPr/>
        <w:t>маси</w:t>
      </w:r>
      <w:r>
        <w:rPr>
          <w:spacing w:val="-16"/>
        </w:rPr>
        <w:t> </w:t>
      </w:r>
      <w:r>
        <w:rPr/>
        <w:t>корів жирномолочного</w:t>
      </w:r>
      <w:r>
        <w:rPr>
          <w:spacing w:val="32"/>
        </w:rPr>
        <w:t> </w:t>
      </w:r>
      <w:r>
        <w:rPr/>
        <w:t>типу</w:t>
      </w:r>
      <w:r>
        <w:rPr>
          <w:spacing w:val="27"/>
        </w:rPr>
        <w:t> </w:t>
      </w:r>
      <w:r>
        <w:rPr/>
        <w:t>від</w:t>
      </w:r>
      <w:r>
        <w:rPr>
          <w:spacing w:val="34"/>
        </w:rPr>
        <w:t> </w:t>
      </w:r>
      <w:r>
        <w:rPr/>
        <w:t>першої</w:t>
      </w:r>
      <w:r>
        <w:rPr>
          <w:spacing w:val="27"/>
        </w:rPr>
        <w:t> </w:t>
      </w:r>
      <w:r>
        <w:rPr/>
        <w:t>до</w:t>
      </w:r>
      <w:r>
        <w:rPr>
          <w:spacing w:val="32"/>
        </w:rPr>
        <w:t> </w:t>
      </w:r>
      <w:r>
        <w:rPr/>
        <w:t>третьої</w:t>
      </w:r>
      <w:r>
        <w:rPr>
          <w:spacing w:val="27"/>
        </w:rPr>
        <w:t> </w:t>
      </w:r>
      <w:r>
        <w:rPr/>
        <w:t>лактації</w:t>
      </w:r>
      <w:r>
        <w:rPr>
          <w:spacing w:val="27"/>
        </w:rPr>
        <w:t> </w:t>
      </w:r>
      <w:r>
        <w:rPr/>
        <w:t>складає</w:t>
      </w:r>
      <w:r>
        <w:rPr>
          <w:spacing w:val="32"/>
        </w:rPr>
        <w:t> </w:t>
      </w:r>
      <w:r>
        <w:rPr/>
        <w:t>57</w:t>
      </w:r>
      <w:r>
        <w:rPr>
          <w:spacing w:val="32"/>
        </w:rPr>
        <w:t> </w:t>
      </w:r>
      <w:r>
        <w:rPr/>
        <w:t>кг,</w:t>
      </w:r>
      <w:r>
        <w:rPr>
          <w:spacing w:val="34"/>
        </w:rPr>
        <w:t> </w:t>
      </w:r>
      <w:r>
        <w:rPr/>
        <w:t>від</w:t>
      </w:r>
      <w:r>
        <w:rPr>
          <w:spacing w:val="34"/>
        </w:rPr>
        <w:t> </w:t>
      </w:r>
      <w:r>
        <w:rPr>
          <w:spacing w:val="2"/>
        </w:rPr>
        <w:t>корів-</w:t>
      </w:r>
    </w:p>
    <w:p>
      <w:pPr>
        <w:spacing w:after="0"/>
        <w:sectPr>
          <w:pgSz w:w="11910" w:h="16840"/>
          <w:pgMar w:header="713" w:footer="778" w:top="1140" w:bottom="960" w:left="940" w:right="520"/>
        </w:sectPr>
      </w:pPr>
    </w:p>
    <w:p>
      <w:pPr>
        <w:pStyle w:val="BodyText"/>
        <w:spacing w:line="322" w:lineRule="exact" w:before="92"/>
      </w:pPr>
      <w:r>
        <w:rPr/>
        <w:t>дочок Надира на 58 кг.</w:t>
      </w:r>
    </w:p>
    <w:p>
      <w:pPr>
        <w:pStyle w:val="BodyText"/>
        <w:spacing w:after="6"/>
        <w:ind w:left="903"/>
      </w:pPr>
      <w:r>
        <w:rPr/>
        <w:t>Таблиця 4. Продуктивність корів різного походження</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6"/>
        <w:gridCol w:w="1143"/>
        <w:gridCol w:w="974"/>
        <w:gridCol w:w="998"/>
        <w:gridCol w:w="974"/>
        <w:gridCol w:w="993"/>
        <w:gridCol w:w="848"/>
        <w:gridCol w:w="1420"/>
      </w:tblGrid>
      <w:tr>
        <w:trPr>
          <w:trHeight w:val="277" w:hRule="atLeast"/>
        </w:trPr>
        <w:tc>
          <w:tcPr>
            <w:tcW w:w="2276" w:type="dxa"/>
            <w:vMerge w:val="restart"/>
          </w:tcPr>
          <w:p>
            <w:pPr>
              <w:pStyle w:val="TableParagraph"/>
              <w:spacing w:line="268" w:lineRule="exact"/>
              <w:ind w:left="671"/>
              <w:rPr>
                <w:sz w:val="24"/>
              </w:rPr>
            </w:pPr>
            <w:r>
              <w:rPr>
                <w:sz w:val="24"/>
              </w:rPr>
              <w:t>Група корів</w:t>
            </w:r>
          </w:p>
        </w:tc>
        <w:tc>
          <w:tcPr>
            <w:tcW w:w="1143" w:type="dxa"/>
            <w:vMerge w:val="restart"/>
          </w:tcPr>
          <w:p>
            <w:pPr>
              <w:pStyle w:val="TableParagraph"/>
              <w:ind w:left="110" w:right="208"/>
              <w:rPr>
                <w:sz w:val="24"/>
              </w:rPr>
            </w:pPr>
            <w:r>
              <w:rPr>
                <w:sz w:val="24"/>
              </w:rPr>
              <w:t>Надій молока, кг</w:t>
            </w:r>
          </w:p>
        </w:tc>
        <w:tc>
          <w:tcPr>
            <w:tcW w:w="3939" w:type="dxa"/>
            <w:gridSpan w:val="4"/>
          </w:tcPr>
          <w:p>
            <w:pPr>
              <w:pStyle w:val="TableParagraph"/>
              <w:spacing w:line="258" w:lineRule="exact"/>
              <w:ind w:left="1334"/>
              <w:rPr>
                <w:sz w:val="24"/>
              </w:rPr>
            </w:pPr>
            <w:r>
              <w:rPr>
                <w:sz w:val="24"/>
              </w:rPr>
              <w:t>Вміст та кількість</w:t>
            </w:r>
          </w:p>
        </w:tc>
        <w:tc>
          <w:tcPr>
            <w:tcW w:w="848" w:type="dxa"/>
            <w:vMerge w:val="restart"/>
          </w:tcPr>
          <w:p>
            <w:pPr>
              <w:pStyle w:val="TableParagraph"/>
              <w:ind w:left="108" w:right="160"/>
              <w:jc w:val="both"/>
              <w:rPr>
                <w:sz w:val="24"/>
              </w:rPr>
            </w:pPr>
            <w:r>
              <w:rPr>
                <w:sz w:val="24"/>
              </w:rPr>
              <w:t>Жива маса, кг</w:t>
            </w:r>
          </w:p>
        </w:tc>
        <w:tc>
          <w:tcPr>
            <w:tcW w:w="1420" w:type="dxa"/>
            <w:vMerge w:val="restart"/>
          </w:tcPr>
          <w:p>
            <w:pPr>
              <w:pStyle w:val="TableParagraph"/>
              <w:ind w:left="115" w:right="137"/>
              <w:rPr>
                <w:sz w:val="24"/>
              </w:rPr>
            </w:pPr>
            <w:r>
              <w:rPr>
                <w:sz w:val="24"/>
              </w:rPr>
              <w:t>Оцінка тілобудови бал</w:t>
            </w:r>
          </w:p>
        </w:tc>
      </w:tr>
      <w:tr>
        <w:trPr>
          <w:trHeight w:val="273" w:hRule="atLeast"/>
        </w:trPr>
        <w:tc>
          <w:tcPr>
            <w:tcW w:w="2276" w:type="dxa"/>
            <w:vMerge/>
            <w:tcBorders>
              <w:top w:val="nil"/>
            </w:tcBorders>
          </w:tcPr>
          <w:p>
            <w:pPr>
              <w:rPr>
                <w:sz w:val="2"/>
                <w:szCs w:val="2"/>
              </w:rPr>
            </w:pPr>
          </w:p>
        </w:tc>
        <w:tc>
          <w:tcPr>
            <w:tcW w:w="1143" w:type="dxa"/>
            <w:vMerge/>
            <w:tcBorders>
              <w:top w:val="nil"/>
            </w:tcBorders>
          </w:tcPr>
          <w:p>
            <w:pPr>
              <w:rPr>
                <w:sz w:val="2"/>
                <w:szCs w:val="2"/>
              </w:rPr>
            </w:pPr>
          </w:p>
        </w:tc>
        <w:tc>
          <w:tcPr>
            <w:tcW w:w="3939" w:type="dxa"/>
            <w:gridSpan w:val="4"/>
          </w:tcPr>
          <w:p>
            <w:pPr>
              <w:pStyle w:val="TableParagraph"/>
              <w:spacing w:line="253" w:lineRule="exact"/>
              <w:ind w:left="1670"/>
              <w:rPr>
                <w:sz w:val="24"/>
              </w:rPr>
            </w:pPr>
            <w:r>
              <w:rPr>
                <w:sz w:val="24"/>
              </w:rPr>
              <w:t>Молочного</w:t>
            </w:r>
          </w:p>
        </w:tc>
        <w:tc>
          <w:tcPr>
            <w:tcW w:w="848" w:type="dxa"/>
            <w:vMerge/>
            <w:tcBorders>
              <w:top w:val="nil"/>
            </w:tcBorders>
          </w:tcPr>
          <w:p>
            <w:pPr>
              <w:rPr>
                <w:sz w:val="2"/>
                <w:szCs w:val="2"/>
              </w:rPr>
            </w:pPr>
          </w:p>
        </w:tc>
        <w:tc>
          <w:tcPr>
            <w:tcW w:w="1420" w:type="dxa"/>
            <w:vMerge/>
            <w:tcBorders>
              <w:top w:val="nil"/>
            </w:tcBorders>
          </w:tcPr>
          <w:p>
            <w:pPr>
              <w:rPr>
                <w:sz w:val="2"/>
                <w:szCs w:val="2"/>
              </w:rPr>
            </w:pPr>
          </w:p>
        </w:tc>
      </w:tr>
      <w:tr>
        <w:trPr>
          <w:trHeight w:val="278" w:hRule="atLeast"/>
        </w:trPr>
        <w:tc>
          <w:tcPr>
            <w:tcW w:w="2276" w:type="dxa"/>
            <w:vMerge/>
            <w:tcBorders>
              <w:top w:val="nil"/>
            </w:tcBorders>
          </w:tcPr>
          <w:p>
            <w:pPr>
              <w:rPr>
                <w:sz w:val="2"/>
                <w:szCs w:val="2"/>
              </w:rPr>
            </w:pPr>
          </w:p>
        </w:tc>
        <w:tc>
          <w:tcPr>
            <w:tcW w:w="1143" w:type="dxa"/>
            <w:vMerge/>
            <w:tcBorders>
              <w:top w:val="nil"/>
            </w:tcBorders>
          </w:tcPr>
          <w:p>
            <w:pPr>
              <w:rPr>
                <w:sz w:val="2"/>
                <w:szCs w:val="2"/>
              </w:rPr>
            </w:pPr>
          </w:p>
        </w:tc>
        <w:tc>
          <w:tcPr>
            <w:tcW w:w="1972" w:type="dxa"/>
            <w:gridSpan w:val="2"/>
          </w:tcPr>
          <w:p>
            <w:pPr>
              <w:pStyle w:val="TableParagraph"/>
              <w:spacing w:line="259" w:lineRule="exact"/>
              <w:ind w:left="979"/>
              <w:rPr>
                <w:sz w:val="24"/>
              </w:rPr>
            </w:pPr>
            <w:r>
              <w:rPr>
                <w:sz w:val="24"/>
              </w:rPr>
              <w:t>Жиру</w:t>
            </w:r>
          </w:p>
        </w:tc>
        <w:tc>
          <w:tcPr>
            <w:tcW w:w="1967" w:type="dxa"/>
            <w:gridSpan w:val="2"/>
          </w:tcPr>
          <w:p>
            <w:pPr>
              <w:pStyle w:val="TableParagraph"/>
              <w:spacing w:line="259" w:lineRule="exact"/>
              <w:ind w:left="985"/>
              <w:rPr>
                <w:sz w:val="24"/>
              </w:rPr>
            </w:pPr>
            <w:r>
              <w:rPr>
                <w:sz w:val="24"/>
              </w:rPr>
              <w:t>Білку</w:t>
            </w:r>
          </w:p>
        </w:tc>
        <w:tc>
          <w:tcPr>
            <w:tcW w:w="848" w:type="dxa"/>
            <w:vMerge/>
            <w:tcBorders>
              <w:top w:val="nil"/>
            </w:tcBorders>
          </w:tcPr>
          <w:p>
            <w:pPr>
              <w:rPr>
                <w:sz w:val="2"/>
                <w:szCs w:val="2"/>
              </w:rPr>
            </w:pPr>
          </w:p>
        </w:tc>
        <w:tc>
          <w:tcPr>
            <w:tcW w:w="1420" w:type="dxa"/>
            <w:vMerge/>
            <w:tcBorders>
              <w:top w:val="nil"/>
            </w:tcBorders>
          </w:tcPr>
          <w:p>
            <w:pPr>
              <w:rPr>
                <w:sz w:val="2"/>
                <w:szCs w:val="2"/>
              </w:rPr>
            </w:pPr>
          </w:p>
        </w:tc>
      </w:tr>
      <w:tr>
        <w:trPr>
          <w:trHeight w:val="277" w:hRule="atLeast"/>
        </w:trPr>
        <w:tc>
          <w:tcPr>
            <w:tcW w:w="2276" w:type="dxa"/>
            <w:vMerge/>
            <w:tcBorders>
              <w:top w:val="nil"/>
            </w:tcBorders>
          </w:tcPr>
          <w:p>
            <w:pPr>
              <w:rPr>
                <w:sz w:val="2"/>
                <w:szCs w:val="2"/>
              </w:rPr>
            </w:pPr>
          </w:p>
        </w:tc>
        <w:tc>
          <w:tcPr>
            <w:tcW w:w="1143" w:type="dxa"/>
            <w:vMerge/>
            <w:tcBorders>
              <w:top w:val="nil"/>
            </w:tcBorders>
          </w:tcPr>
          <w:p>
            <w:pPr>
              <w:rPr>
                <w:sz w:val="2"/>
                <w:szCs w:val="2"/>
              </w:rPr>
            </w:pPr>
          </w:p>
        </w:tc>
        <w:tc>
          <w:tcPr>
            <w:tcW w:w="974" w:type="dxa"/>
          </w:tcPr>
          <w:p>
            <w:pPr>
              <w:pStyle w:val="TableParagraph"/>
              <w:spacing w:line="258" w:lineRule="exact"/>
              <w:ind w:right="90"/>
              <w:jc w:val="right"/>
              <w:rPr>
                <w:sz w:val="24"/>
              </w:rPr>
            </w:pPr>
            <w:r>
              <w:rPr>
                <w:w w:val="99"/>
                <w:sz w:val="24"/>
              </w:rPr>
              <w:t>%</w:t>
            </w:r>
          </w:p>
        </w:tc>
        <w:tc>
          <w:tcPr>
            <w:tcW w:w="998" w:type="dxa"/>
          </w:tcPr>
          <w:p>
            <w:pPr>
              <w:pStyle w:val="TableParagraph"/>
              <w:spacing w:line="258" w:lineRule="exact"/>
              <w:ind w:right="101"/>
              <w:jc w:val="right"/>
              <w:rPr>
                <w:sz w:val="24"/>
              </w:rPr>
            </w:pPr>
            <w:r>
              <w:rPr>
                <w:sz w:val="24"/>
              </w:rPr>
              <w:t>кг</w:t>
            </w:r>
          </w:p>
        </w:tc>
        <w:tc>
          <w:tcPr>
            <w:tcW w:w="974" w:type="dxa"/>
          </w:tcPr>
          <w:p>
            <w:pPr>
              <w:pStyle w:val="TableParagraph"/>
              <w:spacing w:line="258" w:lineRule="exact"/>
              <w:ind w:right="93"/>
              <w:jc w:val="right"/>
              <w:rPr>
                <w:sz w:val="24"/>
              </w:rPr>
            </w:pPr>
            <w:r>
              <w:rPr>
                <w:w w:val="99"/>
                <w:sz w:val="24"/>
              </w:rPr>
              <w:t>%</w:t>
            </w:r>
          </w:p>
        </w:tc>
        <w:tc>
          <w:tcPr>
            <w:tcW w:w="993" w:type="dxa"/>
          </w:tcPr>
          <w:p>
            <w:pPr>
              <w:pStyle w:val="TableParagraph"/>
              <w:spacing w:line="258" w:lineRule="exact"/>
              <w:ind w:right="94"/>
              <w:jc w:val="right"/>
              <w:rPr>
                <w:sz w:val="24"/>
              </w:rPr>
            </w:pPr>
            <w:r>
              <w:rPr>
                <w:sz w:val="24"/>
              </w:rPr>
              <w:t>кг</w:t>
            </w:r>
          </w:p>
        </w:tc>
        <w:tc>
          <w:tcPr>
            <w:tcW w:w="848" w:type="dxa"/>
            <w:vMerge/>
            <w:tcBorders>
              <w:top w:val="nil"/>
            </w:tcBorders>
          </w:tcPr>
          <w:p>
            <w:pPr>
              <w:rPr>
                <w:sz w:val="2"/>
                <w:szCs w:val="2"/>
              </w:rPr>
            </w:pPr>
          </w:p>
        </w:tc>
        <w:tc>
          <w:tcPr>
            <w:tcW w:w="1420" w:type="dxa"/>
            <w:vMerge/>
            <w:tcBorders>
              <w:top w:val="nil"/>
            </w:tcBorders>
          </w:tcPr>
          <w:p>
            <w:pPr>
              <w:rPr>
                <w:sz w:val="2"/>
                <w:szCs w:val="2"/>
              </w:rPr>
            </w:pPr>
          </w:p>
        </w:tc>
      </w:tr>
      <w:tr>
        <w:trPr>
          <w:trHeight w:val="273" w:hRule="atLeast"/>
        </w:trPr>
        <w:tc>
          <w:tcPr>
            <w:tcW w:w="9626" w:type="dxa"/>
            <w:gridSpan w:val="8"/>
          </w:tcPr>
          <w:p>
            <w:pPr>
              <w:pStyle w:val="TableParagraph"/>
              <w:spacing w:line="253" w:lineRule="exact"/>
              <w:ind w:left="4270" w:right="3694"/>
              <w:jc w:val="center"/>
              <w:rPr>
                <w:sz w:val="24"/>
              </w:rPr>
            </w:pPr>
            <w:r>
              <w:rPr>
                <w:sz w:val="24"/>
              </w:rPr>
              <w:t>Перша лактація</w:t>
            </w:r>
          </w:p>
        </w:tc>
      </w:tr>
      <w:tr>
        <w:trPr>
          <w:trHeight w:val="830" w:hRule="atLeast"/>
        </w:trPr>
        <w:tc>
          <w:tcPr>
            <w:tcW w:w="2276" w:type="dxa"/>
          </w:tcPr>
          <w:p>
            <w:pPr>
              <w:pStyle w:val="TableParagraph"/>
              <w:spacing w:line="268" w:lineRule="exact"/>
              <w:ind w:left="110"/>
              <w:rPr>
                <w:sz w:val="24"/>
              </w:rPr>
            </w:pPr>
            <w:r>
              <w:rPr>
                <w:sz w:val="24"/>
              </w:rPr>
              <w:t>Корови</w:t>
            </w:r>
          </w:p>
          <w:p>
            <w:pPr>
              <w:pStyle w:val="TableParagraph"/>
              <w:spacing w:line="274" w:lineRule="exact" w:before="7"/>
              <w:ind w:left="110"/>
              <w:rPr>
                <w:sz w:val="24"/>
              </w:rPr>
            </w:pPr>
            <w:r>
              <w:rPr>
                <w:sz w:val="24"/>
              </w:rPr>
              <w:t>жирномолочного типу б. Дельфін 659</w:t>
            </w:r>
          </w:p>
        </w:tc>
        <w:tc>
          <w:tcPr>
            <w:tcW w:w="1143" w:type="dxa"/>
          </w:tcPr>
          <w:p>
            <w:pPr>
              <w:pStyle w:val="TableParagraph"/>
              <w:spacing w:line="268" w:lineRule="exact"/>
              <w:ind w:left="110"/>
              <w:rPr>
                <w:sz w:val="24"/>
              </w:rPr>
            </w:pPr>
            <w:r>
              <w:rPr>
                <w:sz w:val="24"/>
              </w:rPr>
              <w:t>3880</w:t>
            </w:r>
          </w:p>
        </w:tc>
        <w:tc>
          <w:tcPr>
            <w:tcW w:w="974" w:type="dxa"/>
          </w:tcPr>
          <w:p>
            <w:pPr>
              <w:pStyle w:val="TableParagraph"/>
              <w:spacing w:line="268" w:lineRule="exact"/>
              <w:ind w:left="110"/>
              <w:rPr>
                <w:sz w:val="24"/>
              </w:rPr>
            </w:pPr>
            <w:r>
              <w:rPr>
                <w:sz w:val="24"/>
              </w:rPr>
              <w:t>3,98</w:t>
            </w:r>
          </w:p>
        </w:tc>
        <w:tc>
          <w:tcPr>
            <w:tcW w:w="998" w:type="dxa"/>
          </w:tcPr>
          <w:p>
            <w:pPr>
              <w:pStyle w:val="TableParagraph"/>
              <w:spacing w:line="268" w:lineRule="exact"/>
              <w:ind w:left="110"/>
              <w:rPr>
                <w:sz w:val="24"/>
              </w:rPr>
            </w:pPr>
            <w:r>
              <w:rPr>
                <w:sz w:val="24"/>
              </w:rPr>
              <w:t>154,4</w:t>
            </w:r>
          </w:p>
        </w:tc>
        <w:tc>
          <w:tcPr>
            <w:tcW w:w="974" w:type="dxa"/>
          </w:tcPr>
          <w:p>
            <w:pPr>
              <w:pStyle w:val="TableParagraph"/>
              <w:spacing w:line="268" w:lineRule="exact"/>
              <w:ind w:left="106"/>
              <w:rPr>
                <w:sz w:val="24"/>
              </w:rPr>
            </w:pPr>
            <w:r>
              <w:rPr>
                <w:sz w:val="24"/>
              </w:rPr>
              <w:t>3,24</w:t>
            </w:r>
          </w:p>
        </w:tc>
        <w:tc>
          <w:tcPr>
            <w:tcW w:w="993" w:type="dxa"/>
          </w:tcPr>
          <w:p>
            <w:pPr>
              <w:pStyle w:val="TableParagraph"/>
              <w:spacing w:line="268" w:lineRule="exact"/>
              <w:ind w:left="112"/>
              <w:rPr>
                <w:sz w:val="24"/>
              </w:rPr>
            </w:pPr>
            <w:r>
              <w:rPr>
                <w:sz w:val="24"/>
              </w:rPr>
              <w:t>125,5</w:t>
            </w:r>
          </w:p>
        </w:tc>
        <w:tc>
          <w:tcPr>
            <w:tcW w:w="848" w:type="dxa"/>
          </w:tcPr>
          <w:p>
            <w:pPr>
              <w:pStyle w:val="TableParagraph"/>
              <w:spacing w:line="268" w:lineRule="exact"/>
              <w:ind w:left="108"/>
              <w:rPr>
                <w:sz w:val="24"/>
              </w:rPr>
            </w:pPr>
            <w:r>
              <w:rPr>
                <w:sz w:val="24"/>
              </w:rPr>
              <w:t>492</w:t>
            </w:r>
          </w:p>
        </w:tc>
        <w:tc>
          <w:tcPr>
            <w:tcW w:w="1420" w:type="dxa"/>
          </w:tcPr>
          <w:p>
            <w:pPr>
              <w:pStyle w:val="TableParagraph"/>
              <w:spacing w:line="268" w:lineRule="exact"/>
              <w:ind w:left="115"/>
              <w:rPr>
                <w:sz w:val="24"/>
              </w:rPr>
            </w:pPr>
            <w:r>
              <w:rPr>
                <w:sz w:val="24"/>
              </w:rPr>
              <w:t>9,0</w:t>
            </w:r>
          </w:p>
        </w:tc>
      </w:tr>
      <w:tr>
        <w:trPr>
          <w:trHeight w:val="825" w:hRule="atLeast"/>
        </w:trPr>
        <w:tc>
          <w:tcPr>
            <w:tcW w:w="2276" w:type="dxa"/>
          </w:tcPr>
          <w:p>
            <w:pPr>
              <w:pStyle w:val="TableParagraph"/>
              <w:tabs>
                <w:tab w:pos="1991" w:val="left" w:leader="none"/>
              </w:tabs>
              <w:spacing w:line="237" w:lineRule="auto"/>
              <w:ind w:left="110" w:right="92"/>
              <w:rPr>
                <w:sz w:val="24"/>
              </w:rPr>
            </w:pPr>
            <w:r>
              <w:rPr>
                <w:sz w:val="24"/>
              </w:rPr>
              <w:t>Корови-дочки</w:t>
              <w:tab/>
            </w:r>
            <w:r>
              <w:rPr>
                <w:spacing w:val="-11"/>
                <w:sz w:val="24"/>
              </w:rPr>
              <w:t>б. </w:t>
            </w:r>
            <w:r>
              <w:rPr>
                <w:sz w:val="24"/>
              </w:rPr>
              <w:t>Надира 375,</w:t>
            </w:r>
            <w:r>
              <w:rPr>
                <w:spacing w:val="54"/>
                <w:sz w:val="24"/>
              </w:rPr>
              <w:t> </w:t>
            </w:r>
            <w:r>
              <w:rPr>
                <w:sz w:val="24"/>
              </w:rPr>
              <w:t>голш.</w:t>
            </w:r>
          </w:p>
          <w:p>
            <w:pPr>
              <w:pStyle w:val="TableParagraph"/>
              <w:spacing w:line="261" w:lineRule="exact"/>
              <w:ind w:left="110"/>
              <w:rPr>
                <w:sz w:val="24"/>
              </w:rPr>
            </w:pPr>
            <w:r>
              <w:rPr>
                <w:sz w:val="24"/>
              </w:rPr>
              <w:t>тип</w:t>
            </w:r>
          </w:p>
        </w:tc>
        <w:tc>
          <w:tcPr>
            <w:tcW w:w="1143" w:type="dxa"/>
          </w:tcPr>
          <w:p>
            <w:pPr>
              <w:pStyle w:val="TableParagraph"/>
              <w:spacing w:line="268" w:lineRule="exact"/>
              <w:ind w:left="110"/>
              <w:rPr>
                <w:sz w:val="24"/>
              </w:rPr>
            </w:pPr>
            <w:r>
              <w:rPr>
                <w:sz w:val="24"/>
              </w:rPr>
              <w:t>4205</w:t>
            </w:r>
          </w:p>
        </w:tc>
        <w:tc>
          <w:tcPr>
            <w:tcW w:w="974" w:type="dxa"/>
          </w:tcPr>
          <w:p>
            <w:pPr>
              <w:pStyle w:val="TableParagraph"/>
              <w:spacing w:line="268" w:lineRule="exact"/>
              <w:ind w:left="110"/>
              <w:rPr>
                <w:sz w:val="24"/>
              </w:rPr>
            </w:pPr>
            <w:r>
              <w:rPr>
                <w:sz w:val="24"/>
              </w:rPr>
              <w:t>3,59</w:t>
            </w:r>
          </w:p>
        </w:tc>
        <w:tc>
          <w:tcPr>
            <w:tcW w:w="998" w:type="dxa"/>
          </w:tcPr>
          <w:p>
            <w:pPr>
              <w:pStyle w:val="TableParagraph"/>
              <w:spacing w:line="268" w:lineRule="exact"/>
              <w:ind w:left="110"/>
              <w:rPr>
                <w:sz w:val="24"/>
              </w:rPr>
            </w:pPr>
            <w:r>
              <w:rPr>
                <w:sz w:val="24"/>
              </w:rPr>
              <w:t>150,96</w:t>
            </w:r>
          </w:p>
        </w:tc>
        <w:tc>
          <w:tcPr>
            <w:tcW w:w="974" w:type="dxa"/>
          </w:tcPr>
          <w:p>
            <w:pPr>
              <w:pStyle w:val="TableParagraph"/>
              <w:spacing w:line="268" w:lineRule="exact"/>
              <w:ind w:left="106"/>
              <w:rPr>
                <w:sz w:val="24"/>
              </w:rPr>
            </w:pPr>
            <w:r>
              <w:rPr>
                <w:sz w:val="24"/>
              </w:rPr>
              <w:t>3,19</w:t>
            </w:r>
          </w:p>
        </w:tc>
        <w:tc>
          <w:tcPr>
            <w:tcW w:w="993" w:type="dxa"/>
          </w:tcPr>
          <w:p>
            <w:pPr>
              <w:pStyle w:val="TableParagraph"/>
              <w:spacing w:line="268" w:lineRule="exact"/>
              <w:ind w:left="112"/>
              <w:rPr>
                <w:sz w:val="24"/>
              </w:rPr>
            </w:pPr>
            <w:r>
              <w:rPr>
                <w:sz w:val="24"/>
              </w:rPr>
              <w:t>134,13</w:t>
            </w:r>
          </w:p>
        </w:tc>
        <w:tc>
          <w:tcPr>
            <w:tcW w:w="848" w:type="dxa"/>
          </w:tcPr>
          <w:p>
            <w:pPr>
              <w:pStyle w:val="TableParagraph"/>
              <w:spacing w:line="268" w:lineRule="exact"/>
              <w:ind w:left="108"/>
              <w:rPr>
                <w:sz w:val="24"/>
              </w:rPr>
            </w:pPr>
            <w:r>
              <w:rPr>
                <w:sz w:val="24"/>
              </w:rPr>
              <w:t>505</w:t>
            </w:r>
          </w:p>
        </w:tc>
        <w:tc>
          <w:tcPr>
            <w:tcW w:w="1420" w:type="dxa"/>
          </w:tcPr>
          <w:p>
            <w:pPr>
              <w:pStyle w:val="TableParagraph"/>
              <w:spacing w:line="268" w:lineRule="exact"/>
              <w:ind w:left="115"/>
              <w:rPr>
                <w:sz w:val="24"/>
              </w:rPr>
            </w:pPr>
            <w:r>
              <w:rPr>
                <w:sz w:val="24"/>
              </w:rPr>
              <w:t>9,1</w:t>
            </w:r>
          </w:p>
        </w:tc>
      </w:tr>
      <w:tr>
        <w:trPr>
          <w:trHeight w:val="551" w:hRule="atLeast"/>
        </w:trPr>
        <w:tc>
          <w:tcPr>
            <w:tcW w:w="2276" w:type="dxa"/>
          </w:tcPr>
          <w:p>
            <w:pPr>
              <w:pStyle w:val="TableParagraph"/>
              <w:spacing w:line="268" w:lineRule="exact"/>
              <w:ind w:left="110"/>
              <w:rPr>
                <w:sz w:val="24"/>
              </w:rPr>
            </w:pPr>
            <w:r>
              <w:rPr>
                <w:sz w:val="24"/>
              </w:rPr>
              <w:t>Різниця</w:t>
            </w:r>
          </w:p>
          <w:p>
            <w:pPr>
              <w:pStyle w:val="TableParagraph"/>
              <w:spacing w:line="261" w:lineRule="exact" w:before="2"/>
              <w:ind w:left="110"/>
              <w:rPr>
                <w:sz w:val="24"/>
              </w:rPr>
            </w:pPr>
            <w:r>
              <w:rPr>
                <w:sz w:val="24"/>
              </w:rPr>
              <w:t>± до Надира</w:t>
            </w:r>
          </w:p>
        </w:tc>
        <w:tc>
          <w:tcPr>
            <w:tcW w:w="1143" w:type="dxa"/>
          </w:tcPr>
          <w:p>
            <w:pPr>
              <w:pStyle w:val="TableParagraph"/>
              <w:spacing w:line="268" w:lineRule="exact"/>
              <w:ind w:left="110"/>
              <w:rPr>
                <w:sz w:val="24"/>
              </w:rPr>
            </w:pPr>
            <w:r>
              <w:rPr>
                <w:sz w:val="24"/>
              </w:rPr>
              <w:t>+ 325</w:t>
            </w:r>
          </w:p>
        </w:tc>
        <w:tc>
          <w:tcPr>
            <w:tcW w:w="974" w:type="dxa"/>
          </w:tcPr>
          <w:p>
            <w:pPr>
              <w:pStyle w:val="TableParagraph"/>
              <w:spacing w:line="268" w:lineRule="exact"/>
              <w:ind w:left="110"/>
              <w:rPr>
                <w:sz w:val="24"/>
              </w:rPr>
            </w:pPr>
            <w:r>
              <w:rPr>
                <w:sz w:val="24"/>
              </w:rPr>
              <w:t>-0,39</w:t>
            </w:r>
          </w:p>
        </w:tc>
        <w:tc>
          <w:tcPr>
            <w:tcW w:w="998" w:type="dxa"/>
          </w:tcPr>
          <w:p>
            <w:pPr>
              <w:pStyle w:val="TableParagraph"/>
              <w:spacing w:line="268" w:lineRule="exact"/>
              <w:ind w:left="110"/>
              <w:rPr>
                <w:sz w:val="24"/>
              </w:rPr>
            </w:pPr>
            <w:r>
              <w:rPr>
                <w:sz w:val="24"/>
              </w:rPr>
              <w:t>-3,44</w:t>
            </w:r>
          </w:p>
        </w:tc>
        <w:tc>
          <w:tcPr>
            <w:tcW w:w="974" w:type="dxa"/>
          </w:tcPr>
          <w:p>
            <w:pPr>
              <w:pStyle w:val="TableParagraph"/>
              <w:spacing w:line="268" w:lineRule="exact"/>
              <w:ind w:left="106"/>
              <w:rPr>
                <w:sz w:val="24"/>
              </w:rPr>
            </w:pPr>
            <w:r>
              <w:rPr>
                <w:sz w:val="24"/>
              </w:rPr>
              <w:t>-0,05</w:t>
            </w:r>
          </w:p>
        </w:tc>
        <w:tc>
          <w:tcPr>
            <w:tcW w:w="993" w:type="dxa"/>
          </w:tcPr>
          <w:p>
            <w:pPr>
              <w:pStyle w:val="TableParagraph"/>
              <w:spacing w:line="268" w:lineRule="exact"/>
              <w:ind w:left="112"/>
              <w:rPr>
                <w:sz w:val="24"/>
              </w:rPr>
            </w:pPr>
            <w:r>
              <w:rPr>
                <w:sz w:val="24"/>
              </w:rPr>
              <w:t>+8,63</w:t>
            </w:r>
          </w:p>
        </w:tc>
        <w:tc>
          <w:tcPr>
            <w:tcW w:w="848" w:type="dxa"/>
          </w:tcPr>
          <w:p>
            <w:pPr>
              <w:pStyle w:val="TableParagraph"/>
              <w:spacing w:line="268" w:lineRule="exact"/>
              <w:ind w:left="108"/>
              <w:rPr>
                <w:sz w:val="24"/>
              </w:rPr>
            </w:pPr>
            <w:r>
              <w:rPr>
                <w:sz w:val="24"/>
              </w:rPr>
              <w:t>+13</w:t>
            </w:r>
          </w:p>
        </w:tc>
        <w:tc>
          <w:tcPr>
            <w:tcW w:w="1420" w:type="dxa"/>
          </w:tcPr>
          <w:p>
            <w:pPr>
              <w:pStyle w:val="TableParagraph"/>
              <w:spacing w:line="268" w:lineRule="exact"/>
              <w:ind w:left="115"/>
              <w:rPr>
                <w:sz w:val="24"/>
              </w:rPr>
            </w:pPr>
            <w:r>
              <w:rPr>
                <w:sz w:val="24"/>
              </w:rPr>
              <w:t>+0,1</w:t>
            </w:r>
          </w:p>
        </w:tc>
      </w:tr>
      <w:tr>
        <w:trPr>
          <w:trHeight w:val="278" w:hRule="atLeast"/>
        </w:trPr>
        <w:tc>
          <w:tcPr>
            <w:tcW w:w="9626" w:type="dxa"/>
            <w:gridSpan w:val="8"/>
          </w:tcPr>
          <w:p>
            <w:pPr>
              <w:pStyle w:val="TableParagraph"/>
              <w:spacing w:line="258" w:lineRule="exact"/>
              <w:ind w:left="671"/>
              <w:rPr>
                <w:sz w:val="24"/>
              </w:rPr>
            </w:pPr>
            <w:r>
              <w:rPr>
                <w:sz w:val="24"/>
              </w:rPr>
              <w:t>Третя лактація</w:t>
            </w:r>
          </w:p>
        </w:tc>
      </w:tr>
      <w:tr>
        <w:trPr>
          <w:trHeight w:val="830" w:hRule="atLeast"/>
        </w:trPr>
        <w:tc>
          <w:tcPr>
            <w:tcW w:w="2276" w:type="dxa"/>
          </w:tcPr>
          <w:p>
            <w:pPr>
              <w:pStyle w:val="TableParagraph"/>
              <w:spacing w:line="268" w:lineRule="exact"/>
              <w:ind w:left="110"/>
              <w:rPr>
                <w:sz w:val="24"/>
              </w:rPr>
            </w:pPr>
            <w:r>
              <w:rPr>
                <w:sz w:val="24"/>
              </w:rPr>
              <w:t>Корови</w:t>
            </w:r>
          </w:p>
          <w:p>
            <w:pPr>
              <w:pStyle w:val="TableParagraph"/>
              <w:spacing w:line="274" w:lineRule="exact" w:before="8"/>
              <w:ind w:left="110"/>
              <w:rPr>
                <w:sz w:val="24"/>
              </w:rPr>
            </w:pPr>
            <w:r>
              <w:rPr>
                <w:sz w:val="24"/>
              </w:rPr>
              <w:t>жирномолочного типу б. Дельфін 659</w:t>
            </w:r>
          </w:p>
        </w:tc>
        <w:tc>
          <w:tcPr>
            <w:tcW w:w="1143" w:type="dxa"/>
          </w:tcPr>
          <w:p>
            <w:pPr>
              <w:pStyle w:val="TableParagraph"/>
              <w:spacing w:line="268" w:lineRule="exact"/>
              <w:ind w:left="110"/>
              <w:rPr>
                <w:sz w:val="24"/>
              </w:rPr>
            </w:pPr>
            <w:r>
              <w:rPr>
                <w:sz w:val="24"/>
              </w:rPr>
              <w:t>4152</w:t>
            </w:r>
          </w:p>
        </w:tc>
        <w:tc>
          <w:tcPr>
            <w:tcW w:w="974" w:type="dxa"/>
          </w:tcPr>
          <w:p>
            <w:pPr>
              <w:pStyle w:val="TableParagraph"/>
              <w:spacing w:line="268" w:lineRule="exact"/>
              <w:ind w:left="110"/>
              <w:rPr>
                <w:sz w:val="24"/>
              </w:rPr>
            </w:pPr>
            <w:r>
              <w:rPr>
                <w:sz w:val="24"/>
              </w:rPr>
              <w:t>4,07</w:t>
            </w:r>
          </w:p>
        </w:tc>
        <w:tc>
          <w:tcPr>
            <w:tcW w:w="998" w:type="dxa"/>
          </w:tcPr>
          <w:p>
            <w:pPr>
              <w:pStyle w:val="TableParagraph"/>
              <w:spacing w:line="268" w:lineRule="exact"/>
              <w:ind w:left="110"/>
              <w:rPr>
                <w:sz w:val="24"/>
              </w:rPr>
            </w:pPr>
            <w:r>
              <w:rPr>
                <w:sz w:val="24"/>
              </w:rPr>
              <w:t>168,8</w:t>
            </w:r>
          </w:p>
        </w:tc>
        <w:tc>
          <w:tcPr>
            <w:tcW w:w="974" w:type="dxa"/>
          </w:tcPr>
          <w:p>
            <w:pPr>
              <w:pStyle w:val="TableParagraph"/>
              <w:spacing w:line="268" w:lineRule="exact"/>
              <w:ind w:left="106"/>
              <w:rPr>
                <w:sz w:val="24"/>
              </w:rPr>
            </w:pPr>
            <w:r>
              <w:rPr>
                <w:sz w:val="24"/>
              </w:rPr>
              <w:t>3,26</w:t>
            </w:r>
          </w:p>
        </w:tc>
        <w:tc>
          <w:tcPr>
            <w:tcW w:w="993" w:type="dxa"/>
          </w:tcPr>
          <w:p>
            <w:pPr>
              <w:pStyle w:val="TableParagraph"/>
              <w:spacing w:line="268" w:lineRule="exact"/>
              <w:ind w:left="112"/>
              <w:rPr>
                <w:sz w:val="24"/>
              </w:rPr>
            </w:pPr>
            <w:r>
              <w:rPr>
                <w:sz w:val="24"/>
              </w:rPr>
              <w:t>135,2</w:t>
            </w:r>
          </w:p>
        </w:tc>
        <w:tc>
          <w:tcPr>
            <w:tcW w:w="848" w:type="dxa"/>
          </w:tcPr>
          <w:p>
            <w:pPr>
              <w:pStyle w:val="TableParagraph"/>
              <w:spacing w:line="268" w:lineRule="exact"/>
              <w:ind w:left="108"/>
              <w:rPr>
                <w:sz w:val="24"/>
              </w:rPr>
            </w:pPr>
            <w:r>
              <w:rPr>
                <w:sz w:val="24"/>
              </w:rPr>
              <w:t>549</w:t>
            </w:r>
          </w:p>
        </w:tc>
        <w:tc>
          <w:tcPr>
            <w:tcW w:w="1420" w:type="dxa"/>
          </w:tcPr>
          <w:p>
            <w:pPr>
              <w:pStyle w:val="TableParagraph"/>
              <w:spacing w:line="268" w:lineRule="exact"/>
              <w:ind w:left="115"/>
              <w:rPr>
                <w:sz w:val="24"/>
              </w:rPr>
            </w:pPr>
            <w:r>
              <w:rPr>
                <w:sz w:val="24"/>
              </w:rPr>
              <w:t>9,2</w:t>
            </w:r>
          </w:p>
        </w:tc>
      </w:tr>
      <w:tr>
        <w:trPr>
          <w:trHeight w:val="825" w:hRule="atLeast"/>
        </w:trPr>
        <w:tc>
          <w:tcPr>
            <w:tcW w:w="2276" w:type="dxa"/>
          </w:tcPr>
          <w:p>
            <w:pPr>
              <w:pStyle w:val="TableParagraph"/>
              <w:spacing w:line="267" w:lineRule="exact"/>
              <w:ind w:left="110"/>
              <w:rPr>
                <w:sz w:val="24"/>
              </w:rPr>
            </w:pPr>
            <w:r>
              <w:rPr>
                <w:sz w:val="24"/>
              </w:rPr>
              <w:t>Корови-дочки</w:t>
            </w:r>
          </w:p>
          <w:p>
            <w:pPr>
              <w:pStyle w:val="TableParagraph"/>
              <w:tabs>
                <w:tab w:pos="647" w:val="left" w:leader="none"/>
                <w:tab w:pos="1755" w:val="left" w:leader="none"/>
              </w:tabs>
              <w:spacing w:line="278" w:lineRule="exact"/>
              <w:ind w:left="110" w:right="93"/>
              <w:rPr>
                <w:sz w:val="24"/>
              </w:rPr>
            </w:pPr>
            <w:r>
              <w:rPr>
                <w:sz w:val="24"/>
              </w:rPr>
              <w:t>б.</w:t>
              <w:tab/>
              <w:t>Надира</w:t>
              <w:tab/>
            </w:r>
            <w:r>
              <w:rPr>
                <w:spacing w:val="-7"/>
                <w:sz w:val="24"/>
              </w:rPr>
              <w:t>375, </w:t>
            </w:r>
            <w:r>
              <w:rPr>
                <w:sz w:val="24"/>
              </w:rPr>
              <w:t>голш.</w:t>
            </w:r>
            <w:r>
              <w:rPr>
                <w:spacing w:val="3"/>
                <w:sz w:val="24"/>
              </w:rPr>
              <w:t> </w:t>
            </w:r>
            <w:r>
              <w:rPr>
                <w:sz w:val="24"/>
              </w:rPr>
              <w:t>тип</w:t>
            </w:r>
          </w:p>
        </w:tc>
        <w:tc>
          <w:tcPr>
            <w:tcW w:w="1143" w:type="dxa"/>
          </w:tcPr>
          <w:p>
            <w:pPr>
              <w:pStyle w:val="TableParagraph"/>
              <w:spacing w:line="268" w:lineRule="exact"/>
              <w:ind w:left="110"/>
              <w:rPr>
                <w:sz w:val="24"/>
              </w:rPr>
            </w:pPr>
            <w:r>
              <w:rPr>
                <w:sz w:val="24"/>
              </w:rPr>
              <w:t>4457</w:t>
            </w:r>
          </w:p>
        </w:tc>
        <w:tc>
          <w:tcPr>
            <w:tcW w:w="974" w:type="dxa"/>
          </w:tcPr>
          <w:p>
            <w:pPr>
              <w:pStyle w:val="TableParagraph"/>
              <w:spacing w:line="268" w:lineRule="exact"/>
              <w:ind w:left="110"/>
              <w:rPr>
                <w:sz w:val="24"/>
              </w:rPr>
            </w:pPr>
            <w:r>
              <w:rPr>
                <w:sz w:val="24"/>
              </w:rPr>
              <w:t>4,06</w:t>
            </w:r>
          </w:p>
        </w:tc>
        <w:tc>
          <w:tcPr>
            <w:tcW w:w="998" w:type="dxa"/>
          </w:tcPr>
          <w:p>
            <w:pPr>
              <w:pStyle w:val="TableParagraph"/>
              <w:spacing w:line="268" w:lineRule="exact"/>
              <w:ind w:left="110"/>
              <w:rPr>
                <w:sz w:val="24"/>
              </w:rPr>
            </w:pPr>
            <w:r>
              <w:rPr>
                <w:sz w:val="24"/>
              </w:rPr>
              <w:t>180,9</w:t>
            </w:r>
          </w:p>
        </w:tc>
        <w:tc>
          <w:tcPr>
            <w:tcW w:w="974" w:type="dxa"/>
          </w:tcPr>
          <w:p>
            <w:pPr>
              <w:pStyle w:val="TableParagraph"/>
              <w:spacing w:line="268" w:lineRule="exact"/>
              <w:ind w:left="106"/>
              <w:rPr>
                <w:sz w:val="24"/>
              </w:rPr>
            </w:pPr>
            <w:r>
              <w:rPr>
                <w:sz w:val="24"/>
              </w:rPr>
              <w:t>3,28</w:t>
            </w:r>
          </w:p>
        </w:tc>
        <w:tc>
          <w:tcPr>
            <w:tcW w:w="993" w:type="dxa"/>
          </w:tcPr>
          <w:p>
            <w:pPr>
              <w:pStyle w:val="TableParagraph"/>
              <w:spacing w:line="268" w:lineRule="exact"/>
              <w:ind w:left="112"/>
              <w:rPr>
                <w:sz w:val="24"/>
              </w:rPr>
            </w:pPr>
            <w:r>
              <w:rPr>
                <w:sz w:val="24"/>
              </w:rPr>
              <w:t>146</w:t>
            </w:r>
          </w:p>
        </w:tc>
        <w:tc>
          <w:tcPr>
            <w:tcW w:w="848" w:type="dxa"/>
          </w:tcPr>
          <w:p>
            <w:pPr>
              <w:pStyle w:val="TableParagraph"/>
              <w:spacing w:line="268" w:lineRule="exact"/>
              <w:ind w:left="108"/>
              <w:rPr>
                <w:sz w:val="24"/>
              </w:rPr>
            </w:pPr>
            <w:r>
              <w:rPr>
                <w:sz w:val="24"/>
              </w:rPr>
              <w:t>563</w:t>
            </w:r>
          </w:p>
        </w:tc>
        <w:tc>
          <w:tcPr>
            <w:tcW w:w="1420" w:type="dxa"/>
          </w:tcPr>
          <w:p>
            <w:pPr>
              <w:pStyle w:val="TableParagraph"/>
              <w:spacing w:line="268" w:lineRule="exact"/>
              <w:ind w:left="115"/>
              <w:rPr>
                <w:sz w:val="24"/>
              </w:rPr>
            </w:pPr>
            <w:r>
              <w:rPr>
                <w:sz w:val="24"/>
              </w:rPr>
              <w:t>9,4</w:t>
            </w:r>
          </w:p>
        </w:tc>
      </w:tr>
      <w:tr>
        <w:trPr>
          <w:trHeight w:val="277" w:hRule="atLeast"/>
        </w:trPr>
        <w:tc>
          <w:tcPr>
            <w:tcW w:w="2276" w:type="dxa"/>
          </w:tcPr>
          <w:p>
            <w:pPr>
              <w:pStyle w:val="TableParagraph"/>
              <w:spacing w:line="258" w:lineRule="exact"/>
              <w:ind w:left="110"/>
              <w:rPr>
                <w:sz w:val="24"/>
              </w:rPr>
            </w:pPr>
            <w:r>
              <w:rPr>
                <w:sz w:val="24"/>
              </w:rPr>
              <w:t>Різниця ± до Надира</w:t>
            </w:r>
          </w:p>
        </w:tc>
        <w:tc>
          <w:tcPr>
            <w:tcW w:w="1143" w:type="dxa"/>
          </w:tcPr>
          <w:p>
            <w:pPr>
              <w:pStyle w:val="TableParagraph"/>
              <w:spacing w:line="258" w:lineRule="exact"/>
              <w:ind w:left="110"/>
              <w:rPr>
                <w:sz w:val="24"/>
              </w:rPr>
            </w:pPr>
            <w:r>
              <w:rPr>
                <w:sz w:val="24"/>
              </w:rPr>
              <w:t>+305</w:t>
            </w:r>
          </w:p>
        </w:tc>
        <w:tc>
          <w:tcPr>
            <w:tcW w:w="974" w:type="dxa"/>
          </w:tcPr>
          <w:p>
            <w:pPr>
              <w:pStyle w:val="TableParagraph"/>
              <w:spacing w:line="258" w:lineRule="exact"/>
              <w:ind w:left="110"/>
              <w:rPr>
                <w:sz w:val="24"/>
              </w:rPr>
            </w:pPr>
            <w:r>
              <w:rPr>
                <w:sz w:val="24"/>
              </w:rPr>
              <w:t>-0,01</w:t>
            </w:r>
          </w:p>
        </w:tc>
        <w:tc>
          <w:tcPr>
            <w:tcW w:w="998" w:type="dxa"/>
          </w:tcPr>
          <w:p>
            <w:pPr>
              <w:pStyle w:val="TableParagraph"/>
              <w:spacing w:line="258" w:lineRule="exact"/>
              <w:ind w:left="110"/>
              <w:rPr>
                <w:sz w:val="24"/>
              </w:rPr>
            </w:pPr>
            <w:r>
              <w:rPr>
                <w:sz w:val="24"/>
              </w:rPr>
              <w:t>+12,1</w:t>
            </w:r>
          </w:p>
        </w:tc>
        <w:tc>
          <w:tcPr>
            <w:tcW w:w="974" w:type="dxa"/>
          </w:tcPr>
          <w:p>
            <w:pPr>
              <w:pStyle w:val="TableParagraph"/>
              <w:spacing w:line="258" w:lineRule="exact"/>
              <w:ind w:left="106"/>
              <w:rPr>
                <w:sz w:val="24"/>
              </w:rPr>
            </w:pPr>
            <w:r>
              <w:rPr>
                <w:sz w:val="24"/>
              </w:rPr>
              <w:t>+0,02</w:t>
            </w:r>
          </w:p>
        </w:tc>
        <w:tc>
          <w:tcPr>
            <w:tcW w:w="993" w:type="dxa"/>
          </w:tcPr>
          <w:p>
            <w:pPr>
              <w:pStyle w:val="TableParagraph"/>
              <w:spacing w:line="258" w:lineRule="exact"/>
              <w:ind w:left="112"/>
              <w:rPr>
                <w:sz w:val="24"/>
              </w:rPr>
            </w:pPr>
            <w:r>
              <w:rPr>
                <w:sz w:val="24"/>
              </w:rPr>
              <w:t>+10,8</w:t>
            </w:r>
          </w:p>
        </w:tc>
        <w:tc>
          <w:tcPr>
            <w:tcW w:w="848" w:type="dxa"/>
          </w:tcPr>
          <w:p>
            <w:pPr>
              <w:pStyle w:val="TableParagraph"/>
              <w:spacing w:line="258" w:lineRule="exact"/>
              <w:ind w:left="108"/>
              <w:rPr>
                <w:sz w:val="24"/>
              </w:rPr>
            </w:pPr>
            <w:r>
              <w:rPr>
                <w:sz w:val="24"/>
              </w:rPr>
              <w:t>+10</w:t>
            </w:r>
          </w:p>
        </w:tc>
        <w:tc>
          <w:tcPr>
            <w:tcW w:w="1420" w:type="dxa"/>
          </w:tcPr>
          <w:p>
            <w:pPr>
              <w:pStyle w:val="TableParagraph"/>
              <w:spacing w:line="258" w:lineRule="exact"/>
              <w:ind w:left="115"/>
              <w:rPr>
                <w:sz w:val="24"/>
              </w:rPr>
            </w:pPr>
            <w:r>
              <w:rPr>
                <w:sz w:val="24"/>
              </w:rPr>
              <w:t>+0,2</w:t>
            </w:r>
          </w:p>
        </w:tc>
      </w:tr>
    </w:tbl>
    <w:p>
      <w:pPr>
        <w:pStyle w:val="BodyText"/>
        <w:spacing w:before="4"/>
        <w:ind w:left="0"/>
        <w:jc w:val="left"/>
        <w:rPr>
          <w:sz w:val="27"/>
        </w:rPr>
      </w:pPr>
    </w:p>
    <w:p>
      <w:pPr>
        <w:pStyle w:val="BodyText"/>
        <w:ind w:right="610" w:firstLine="710"/>
      </w:pPr>
      <w:r>
        <w:rPr/>
        <w:t>На рівень молочної продуктивності корів позитивно впливає генофонд, як жирномолочного так голштинізованого типу. Корів дочок від бугаїв голштинізованого типу (Лімур 640, Надир 357) – 8 голів, жирномолочного типу (Дельфін 659) – голів. Це поголів’я корів є носіями кращого, генофонду популяції господарства[8].</w:t>
      </w:r>
    </w:p>
    <w:p>
      <w:pPr>
        <w:pStyle w:val="BodyText"/>
        <w:ind w:right="617" w:firstLine="710"/>
      </w:pPr>
      <w:r>
        <w:rPr/>
        <w:t>Показники мінливості ±õ; Cv; limit та її розмах забезпечують подальшу селекцію</w:t>
      </w:r>
      <w:r>
        <w:rPr>
          <w:spacing w:val="-11"/>
        </w:rPr>
        <w:t> </w:t>
      </w:r>
      <w:r>
        <w:rPr/>
        <w:t>популяції</w:t>
      </w:r>
      <w:r>
        <w:rPr>
          <w:spacing w:val="-14"/>
        </w:rPr>
        <w:t> </w:t>
      </w:r>
      <w:r>
        <w:rPr/>
        <w:t>корів,</w:t>
      </w:r>
      <w:r>
        <w:rPr>
          <w:spacing w:val="-6"/>
        </w:rPr>
        <w:t> </w:t>
      </w:r>
      <w:r>
        <w:rPr/>
        <w:t>коефіцієнт</w:t>
      </w:r>
      <w:r>
        <w:rPr>
          <w:spacing w:val="-11"/>
        </w:rPr>
        <w:t> </w:t>
      </w:r>
      <w:r>
        <w:rPr/>
        <w:t>кореляції</w:t>
      </w:r>
      <w:r>
        <w:rPr>
          <w:spacing w:val="-14"/>
        </w:rPr>
        <w:t> </w:t>
      </w:r>
      <w:r>
        <w:rPr/>
        <w:t>між</w:t>
      </w:r>
      <w:r>
        <w:rPr>
          <w:spacing w:val="-10"/>
        </w:rPr>
        <w:t> </w:t>
      </w:r>
      <w:r>
        <w:rPr/>
        <w:t>надоєм</w:t>
      </w:r>
      <w:r>
        <w:rPr>
          <w:spacing w:val="-7"/>
        </w:rPr>
        <w:t> </w:t>
      </w:r>
      <w:r>
        <w:rPr/>
        <w:t>молока</w:t>
      </w:r>
      <w:r>
        <w:rPr>
          <w:spacing w:val="-9"/>
        </w:rPr>
        <w:t> </w:t>
      </w:r>
      <w:r>
        <w:rPr/>
        <w:t>вмістом</w:t>
      </w:r>
      <w:r>
        <w:rPr>
          <w:spacing w:val="-7"/>
        </w:rPr>
        <w:t> </w:t>
      </w:r>
      <w:r>
        <w:rPr/>
        <w:t>жиру в молоці від’ємний але не високий. Коефіцієнт кореляції між надоєм молока і вмістом білку в молоці не високі. Коефіцієнт кореляції між надоєм та молочним білком та жиром високий статистично достовірний на рівні ІІІ</w:t>
      </w:r>
      <w:r>
        <w:rPr>
          <w:spacing w:val="-11"/>
        </w:rPr>
        <w:t> </w:t>
      </w:r>
      <w:r>
        <w:rPr/>
        <w:t>порогу.</w:t>
      </w:r>
    </w:p>
    <w:p>
      <w:pPr>
        <w:pStyle w:val="BodyText"/>
        <w:spacing w:before="2"/>
        <w:ind w:right="610" w:firstLine="710"/>
      </w:pPr>
      <w:r>
        <w:rPr/>
        <w:t>Встановлена невисока позитивна кореляція між надоєм молока та живою масою.</w:t>
      </w:r>
      <w:r>
        <w:rPr>
          <w:spacing w:val="-14"/>
        </w:rPr>
        <w:t> </w:t>
      </w:r>
      <w:r>
        <w:rPr/>
        <w:t>За</w:t>
      </w:r>
      <w:r>
        <w:rPr>
          <w:spacing w:val="-14"/>
        </w:rPr>
        <w:t> </w:t>
      </w:r>
      <w:r>
        <w:rPr/>
        <w:t>рік</w:t>
      </w:r>
      <w:r>
        <w:rPr>
          <w:spacing w:val="-15"/>
        </w:rPr>
        <w:t> </w:t>
      </w:r>
      <w:r>
        <w:rPr/>
        <w:t>на</w:t>
      </w:r>
      <w:r>
        <w:rPr>
          <w:spacing w:val="-14"/>
        </w:rPr>
        <w:t> </w:t>
      </w:r>
      <w:r>
        <w:rPr/>
        <w:t>корову</w:t>
      </w:r>
      <w:r>
        <w:rPr>
          <w:spacing w:val="-15"/>
        </w:rPr>
        <w:t> </w:t>
      </w:r>
      <w:r>
        <w:rPr/>
        <w:t>було</w:t>
      </w:r>
      <w:r>
        <w:rPr>
          <w:spacing w:val="-15"/>
        </w:rPr>
        <w:t> </w:t>
      </w:r>
      <w:r>
        <w:rPr/>
        <w:t>витрачено</w:t>
      </w:r>
      <w:r>
        <w:rPr>
          <w:spacing w:val="-15"/>
        </w:rPr>
        <w:t> </w:t>
      </w:r>
      <w:r>
        <w:rPr/>
        <w:t>40,2</w:t>
      </w:r>
      <w:r>
        <w:rPr>
          <w:spacing w:val="-15"/>
        </w:rPr>
        <w:t> </w:t>
      </w:r>
      <w:r>
        <w:rPr/>
        <w:t>ц</w:t>
      </w:r>
      <w:r>
        <w:rPr>
          <w:spacing w:val="-15"/>
        </w:rPr>
        <w:t> </w:t>
      </w:r>
      <w:r>
        <w:rPr/>
        <w:t>кормових</w:t>
      </w:r>
      <w:r>
        <w:rPr>
          <w:spacing w:val="-20"/>
        </w:rPr>
        <w:t> </w:t>
      </w:r>
      <w:r>
        <w:rPr/>
        <w:t>одиниць.</w:t>
      </w:r>
      <w:r>
        <w:rPr>
          <w:spacing w:val="-8"/>
        </w:rPr>
        <w:t> </w:t>
      </w:r>
      <w:r>
        <w:rPr/>
        <w:t>В</w:t>
      </w:r>
      <w:r>
        <w:rPr>
          <w:spacing w:val="-18"/>
        </w:rPr>
        <w:t> </w:t>
      </w:r>
      <w:r>
        <w:rPr/>
        <w:t>господарстві за</w:t>
      </w:r>
      <w:r>
        <w:rPr>
          <w:spacing w:val="-10"/>
        </w:rPr>
        <w:t> </w:t>
      </w:r>
      <w:r>
        <w:rPr/>
        <w:t>минулий</w:t>
      </w:r>
      <w:r>
        <w:rPr>
          <w:spacing w:val="-11"/>
        </w:rPr>
        <w:t> </w:t>
      </w:r>
      <w:r>
        <w:rPr/>
        <w:t>рік</w:t>
      </w:r>
      <w:r>
        <w:rPr>
          <w:spacing w:val="-7"/>
        </w:rPr>
        <w:t> </w:t>
      </w:r>
      <w:r>
        <w:rPr/>
        <w:t>вирощено</w:t>
      </w:r>
      <w:r>
        <w:rPr>
          <w:spacing w:val="-10"/>
        </w:rPr>
        <w:t> </w:t>
      </w:r>
      <w:r>
        <w:rPr/>
        <w:t>30</w:t>
      </w:r>
      <w:r>
        <w:rPr>
          <w:spacing w:val="-11"/>
        </w:rPr>
        <w:t> </w:t>
      </w:r>
      <w:r>
        <w:rPr/>
        <w:t>голів</w:t>
      </w:r>
      <w:r>
        <w:rPr>
          <w:spacing w:val="-14"/>
        </w:rPr>
        <w:t> </w:t>
      </w:r>
      <w:r>
        <w:rPr/>
        <w:t>телиць:</w:t>
      </w:r>
      <w:r>
        <w:rPr>
          <w:spacing w:val="-15"/>
        </w:rPr>
        <w:t> </w:t>
      </w:r>
      <w:r>
        <w:rPr/>
        <w:t>13</w:t>
      </w:r>
      <w:r>
        <w:rPr>
          <w:spacing w:val="-11"/>
        </w:rPr>
        <w:t> </w:t>
      </w:r>
      <w:r>
        <w:rPr/>
        <w:t>класу</w:t>
      </w:r>
      <w:r>
        <w:rPr>
          <w:spacing w:val="-15"/>
        </w:rPr>
        <w:t> </w:t>
      </w:r>
      <w:r>
        <w:rPr/>
        <w:t>еліта-рекорд</w:t>
      </w:r>
      <w:r>
        <w:rPr>
          <w:spacing w:val="-9"/>
        </w:rPr>
        <w:t> </w:t>
      </w:r>
      <w:r>
        <w:rPr/>
        <w:t>та</w:t>
      </w:r>
      <w:r>
        <w:rPr>
          <w:spacing w:val="-10"/>
        </w:rPr>
        <w:t> </w:t>
      </w:r>
      <w:r>
        <w:rPr/>
        <w:t>17</w:t>
      </w:r>
      <w:r>
        <w:rPr>
          <w:spacing w:val="-10"/>
        </w:rPr>
        <w:t> </w:t>
      </w:r>
      <w:r>
        <w:rPr/>
        <w:t>класу</w:t>
      </w:r>
      <w:r>
        <w:rPr>
          <w:spacing w:val="-16"/>
        </w:rPr>
        <w:t> </w:t>
      </w:r>
      <w:r>
        <w:rPr/>
        <w:t>еліта [8,9,10].</w:t>
      </w:r>
    </w:p>
    <w:p>
      <w:pPr>
        <w:pStyle w:val="BodyText"/>
        <w:spacing w:line="320" w:lineRule="exact"/>
        <w:ind w:left="903"/>
      </w:pPr>
      <w:r>
        <w:rPr/>
        <w:t>За минулий рік галузь молочного скотарства прибуткова. Прибуток</w:t>
      </w:r>
      <w:r>
        <w:rPr>
          <w:spacing w:val="65"/>
        </w:rPr>
        <w:t> </w:t>
      </w:r>
      <w:r>
        <w:rPr/>
        <w:t>склав</w:t>
      </w:r>
    </w:p>
    <w:p>
      <w:pPr>
        <w:pStyle w:val="BodyText"/>
        <w:ind w:right="612"/>
      </w:pPr>
      <w:r>
        <w:rPr/>
        <w:t>+</w:t>
      </w:r>
      <w:r>
        <w:rPr>
          <w:spacing w:val="-19"/>
        </w:rPr>
        <w:t> </w:t>
      </w:r>
      <w:r>
        <w:rPr/>
        <w:t>279,4</w:t>
      </w:r>
      <w:r>
        <w:rPr>
          <w:spacing w:val="-21"/>
        </w:rPr>
        <w:t> </w:t>
      </w:r>
      <w:r>
        <w:rPr/>
        <w:t>тис.</w:t>
      </w:r>
      <w:r>
        <w:rPr>
          <w:spacing w:val="-18"/>
        </w:rPr>
        <w:t> </w:t>
      </w:r>
      <w:r>
        <w:rPr/>
        <w:t>гривен,</w:t>
      </w:r>
      <w:r>
        <w:rPr>
          <w:spacing w:val="-19"/>
        </w:rPr>
        <w:t> </w:t>
      </w:r>
      <w:r>
        <w:rPr/>
        <w:t>в</w:t>
      </w:r>
      <w:r>
        <w:rPr>
          <w:spacing w:val="-18"/>
        </w:rPr>
        <w:t> </w:t>
      </w:r>
      <w:r>
        <w:rPr/>
        <w:t>тому</w:t>
      </w:r>
      <w:r>
        <w:rPr>
          <w:spacing w:val="-20"/>
        </w:rPr>
        <w:t> </w:t>
      </w:r>
      <w:r>
        <w:rPr/>
        <w:t>числі</w:t>
      </w:r>
      <w:r>
        <w:rPr>
          <w:spacing w:val="-21"/>
        </w:rPr>
        <w:t> </w:t>
      </w:r>
      <w:r>
        <w:rPr/>
        <w:t>від</w:t>
      </w:r>
      <w:r>
        <w:rPr>
          <w:spacing w:val="-19"/>
        </w:rPr>
        <w:t> </w:t>
      </w:r>
      <w:r>
        <w:rPr/>
        <w:t>реалізації</w:t>
      </w:r>
      <w:r>
        <w:rPr>
          <w:spacing w:val="-21"/>
        </w:rPr>
        <w:t> </w:t>
      </w:r>
      <w:r>
        <w:rPr/>
        <w:t>племінного</w:t>
      </w:r>
      <w:r>
        <w:rPr>
          <w:spacing w:val="-21"/>
        </w:rPr>
        <w:t> </w:t>
      </w:r>
      <w:r>
        <w:rPr/>
        <w:t>молодняку</w:t>
      </w:r>
      <w:r>
        <w:rPr>
          <w:spacing w:val="-25"/>
        </w:rPr>
        <w:t> </w:t>
      </w:r>
      <w:r>
        <w:rPr/>
        <w:t>+</w:t>
      </w:r>
      <w:r>
        <w:rPr>
          <w:spacing w:val="-18"/>
        </w:rPr>
        <w:t> </w:t>
      </w:r>
      <w:r>
        <w:rPr/>
        <w:t>92,7</w:t>
      </w:r>
      <w:r>
        <w:rPr>
          <w:spacing w:val="-16"/>
        </w:rPr>
        <w:t> </w:t>
      </w:r>
      <w:r>
        <w:rPr/>
        <w:t>тисяч гривен. Рівень рентабельності молочного скотарства +</w:t>
      </w:r>
      <w:r>
        <w:rPr>
          <w:spacing w:val="-4"/>
        </w:rPr>
        <w:t> </w:t>
      </w:r>
      <w:r>
        <w:rPr/>
        <w:t>11,6%.</w:t>
      </w:r>
    </w:p>
    <w:p>
      <w:pPr>
        <w:pStyle w:val="BodyText"/>
        <w:ind w:right="611" w:firstLine="710"/>
      </w:pPr>
      <w:r>
        <w:rPr>
          <w:b/>
        </w:rPr>
        <w:t>Висновки. </w:t>
      </w:r>
      <w:r>
        <w:rPr/>
        <w:t>В господарстві СТОВ "Агрофірма Петродолинське" Овідіопольського</w:t>
      </w:r>
      <w:r>
        <w:rPr>
          <w:spacing w:val="-12"/>
        </w:rPr>
        <w:t> </w:t>
      </w:r>
      <w:r>
        <w:rPr/>
        <w:t>району</w:t>
      </w:r>
      <w:r>
        <w:rPr>
          <w:spacing w:val="-16"/>
        </w:rPr>
        <w:t> </w:t>
      </w:r>
      <w:r>
        <w:rPr/>
        <w:t>Одеської</w:t>
      </w:r>
      <w:r>
        <w:rPr>
          <w:spacing w:val="-12"/>
        </w:rPr>
        <w:t> </w:t>
      </w:r>
      <w:r>
        <w:rPr/>
        <w:t>області</w:t>
      </w:r>
      <w:r>
        <w:rPr>
          <w:spacing w:val="-15"/>
        </w:rPr>
        <w:t> </w:t>
      </w:r>
      <w:r>
        <w:rPr/>
        <w:t>Загальне</w:t>
      </w:r>
      <w:r>
        <w:rPr>
          <w:spacing w:val="-11"/>
        </w:rPr>
        <w:t> </w:t>
      </w:r>
      <w:r>
        <w:rPr/>
        <w:t>поголів’я</w:t>
      </w:r>
      <w:r>
        <w:rPr>
          <w:spacing w:val="-10"/>
        </w:rPr>
        <w:t> </w:t>
      </w:r>
      <w:r>
        <w:rPr/>
        <w:t>на</w:t>
      </w:r>
      <w:r>
        <w:rPr>
          <w:spacing w:val="-10"/>
        </w:rPr>
        <w:t> </w:t>
      </w:r>
      <w:r>
        <w:rPr/>
        <w:t>1.01.20</w:t>
      </w:r>
      <w:r>
        <w:rPr>
          <w:spacing w:val="-11"/>
        </w:rPr>
        <w:t> </w:t>
      </w:r>
      <w:r>
        <w:rPr/>
        <w:t>р –</w:t>
      </w:r>
      <w:r>
        <w:rPr>
          <w:spacing w:val="-11"/>
        </w:rPr>
        <w:t> </w:t>
      </w:r>
      <w:r>
        <w:rPr/>
        <w:t>1553 голів. Встановлено, що середній надій молока корів від бугая голштинізованого типу складав: за першу лактацію 4205 кг., третю 4457 кг. А </w:t>
      </w:r>
      <w:r>
        <w:rPr>
          <w:spacing w:val="-3"/>
        </w:rPr>
        <w:t>від </w:t>
      </w:r>
      <w:r>
        <w:rPr/>
        <w:t>корів жирномолочного типу відповідно 3880 кг та 4152 кг. Кількість молочного жиру у</w:t>
      </w:r>
      <w:r>
        <w:rPr>
          <w:spacing w:val="35"/>
        </w:rPr>
        <w:t> </w:t>
      </w:r>
      <w:r>
        <w:rPr/>
        <w:t>дочок</w:t>
      </w:r>
      <w:r>
        <w:rPr>
          <w:spacing w:val="40"/>
        </w:rPr>
        <w:t> </w:t>
      </w:r>
      <w:r>
        <w:rPr/>
        <w:t>голштинізованого</w:t>
      </w:r>
      <w:r>
        <w:rPr>
          <w:spacing w:val="40"/>
        </w:rPr>
        <w:t> </w:t>
      </w:r>
      <w:r>
        <w:rPr/>
        <w:t>типу</w:t>
      </w:r>
      <w:r>
        <w:rPr>
          <w:spacing w:val="35"/>
        </w:rPr>
        <w:t> </w:t>
      </w:r>
      <w:r>
        <w:rPr/>
        <w:t>складала</w:t>
      </w:r>
      <w:r>
        <w:rPr>
          <w:spacing w:val="42"/>
        </w:rPr>
        <w:t> </w:t>
      </w:r>
      <w:r>
        <w:rPr/>
        <w:t>за</w:t>
      </w:r>
      <w:r>
        <w:rPr>
          <w:spacing w:val="42"/>
        </w:rPr>
        <w:t> </w:t>
      </w:r>
      <w:r>
        <w:rPr/>
        <w:t>ІІІ</w:t>
      </w:r>
      <w:r>
        <w:rPr>
          <w:spacing w:val="38"/>
        </w:rPr>
        <w:t> </w:t>
      </w:r>
      <w:r>
        <w:rPr/>
        <w:t>лактацію</w:t>
      </w:r>
      <w:r>
        <w:rPr>
          <w:spacing w:val="38"/>
        </w:rPr>
        <w:t> </w:t>
      </w:r>
      <w:r>
        <w:rPr/>
        <w:t>180.9</w:t>
      </w:r>
      <w:r>
        <w:rPr>
          <w:spacing w:val="40"/>
        </w:rPr>
        <w:t> </w:t>
      </w:r>
      <w:r>
        <w:rPr/>
        <w:t>кг.,</w:t>
      </w:r>
      <w:r>
        <w:rPr>
          <w:spacing w:val="37"/>
        </w:rPr>
        <w:t> </w:t>
      </w:r>
      <w:r>
        <w:rPr/>
        <w:t>молочного</w:t>
      </w:r>
    </w:p>
    <w:p>
      <w:pPr>
        <w:spacing w:after="0"/>
        <w:sectPr>
          <w:pgSz w:w="11910" w:h="16840"/>
          <w:pgMar w:header="713" w:footer="778" w:top="1140" w:bottom="960" w:left="940" w:right="520"/>
        </w:sectPr>
      </w:pPr>
    </w:p>
    <w:p>
      <w:pPr>
        <w:pStyle w:val="BodyText"/>
        <w:spacing w:before="92"/>
        <w:ind w:right="613"/>
      </w:pPr>
      <w:r>
        <w:rPr/>
        <w:t>білку 146.0 кг., а у корів жирномолочного типу відповідно 168.8 кг і 135.2 кг. Розмах мінливості індивідуальної племінної цінності у первісток жирномолочного типу за надоєм молока склав 2224 кг. Кількість молочного жиру – 78 кг., молочного білку – 79 кг., живої маси – 60 кг. А у первісток від бугая Лімура 640/1380 голштинізованого типу відповідно 2901 кг., 89 кг., 91 кг., 40 кг. Взаємозв’язок між надоєм молока за лактацію, кількістю молочного жиру і білку в молоці позитивний та статично вірогідний (р&gt;0,999). Кореляції між надоєм молока за лактацію та живою масою не висока, статистично достовірна (р&gt;0,95), кореляція між надоєм молока за лактацію і вмістом жиру в молоці і білку від’ємна, але не суттєва.</w:t>
      </w:r>
    </w:p>
    <w:p>
      <w:pPr>
        <w:pStyle w:val="BodyText"/>
        <w:spacing w:before="6"/>
        <w:ind w:left="0"/>
        <w:jc w:val="left"/>
      </w:pPr>
    </w:p>
    <w:p>
      <w:pPr>
        <w:pStyle w:val="Heading1"/>
        <w:spacing w:line="319" w:lineRule="exact"/>
        <w:ind w:left="894"/>
      </w:pPr>
      <w:r>
        <w:rPr/>
        <w:t>ЛІТЕРАТУРА</w:t>
      </w:r>
    </w:p>
    <w:p>
      <w:pPr>
        <w:pStyle w:val="ListParagraph"/>
        <w:numPr>
          <w:ilvl w:val="0"/>
          <w:numId w:val="20"/>
        </w:numPr>
        <w:tabs>
          <w:tab w:pos="1115" w:val="left" w:leader="none"/>
        </w:tabs>
        <w:spacing w:line="240" w:lineRule="auto" w:before="0" w:after="0"/>
        <w:ind w:left="193" w:right="610" w:firstLine="710"/>
        <w:jc w:val="both"/>
        <w:rPr>
          <w:sz w:val="28"/>
        </w:rPr>
      </w:pPr>
      <w:r>
        <w:rPr>
          <w:sz w:val="28"/>
        </w:rPr>
        <w:t>Басовський М. З./ Практикум з розведення сільськогосподарських тварин/ М.З. Басовський, А.М. Дубін, В.Ю. Афанасенко, А.І. Коваль та ін./ - Луганськ, 2006. – 320</w:t>
      </w:r>
      <w:r>
        <w:rPr>
          <w:spacing w:val="12"/>
          <w:sz w:val="28"/>
        </w:rPr>
        <w:t> </w:t>
      </w:r>
      <w:r>
        <w:rPr>
          <w:sz w:val="28"/>
        </w:rPr>
        <w:t>с.</w:t>
      </w:r>
    </w:p>
    <w:p>
      <w:pPr>
        <w:pStyle w:val="ListParagraph"/>
        <w:numPr>
          <w:ilvl w:val="0"/>
          <w:numId w:val="20"/>
        </w:numPr>
        <w:tabs>
          <w:tab w:pos="1115" w:val="left" w:leader="none"/>
        </w:tabs>
        <w:spacing w:line="240" w:lineRule="auto" w:before="0" w:after="0"/>
        <w:ind w:left="193" w:right="615" w:firstLine="710"/>
        <w:jc w:val="both"/>
        <w:rPr>
          <w:sz w:val="28"/>
        </w:rPr>
      </w:pPr>
      <w:r>
        <w:rPr>
          <w:sz w:val="28"/>
        </w:rPr>
        <w:t>Зубець М.В./Основні концептуальні засади новітньої вітчизняної теорії породоутворення // М.В. Зубець, В.П., В.П. Буркат // Розведення і генетика тварин. – 2002. – Вип. 36. – С.</w:t>
      </w:r>
      <w:r>
        <w:rPr>
          <w:spacing w:val="22"/>
          <w:sz w:val="28"/>
        </w:rPr>
        <w:t> </w:t>
      </w:r>
      <w:r>
        <w:rPr>
          <w:sz w:val="28"/>
        </w:rPr>
        <w:t>3-10.</w:t>
      </w:r>
    </w:p>
    <w:p>
      <w:pPr>
        <w:pStyle w:val="ListParagraph"/>
        <w:numPr>
          <w:ilvl w:val="0"/>
          <w:numId w:val="20"/>
        </w:numPr>
        <w:tabs>
          <w:tab w:pos="1115" w:val="left" w:leader="none"/>
        </w:tabs>
        <w:spacing w:line="240" w:lineRule="auto" w:before="1" w:after="0"/>
        <w:ind w:left="193" w:right="622" w:firstLine="710"/>
        <w:jc w:val="both"/>
        <w:rPr>
          <w:sz w:val="28"/>
        </w:rPr>
      </w:pPr>
      <w:r>
        <w:rPr>
          <w:sz w:val="28"/>
        </w:rPr>
        <w:t>Коваль Т. Молочна продуктивність і відтворна здатність взаємозалежні</w:t>
      </w:r>
      <w:r>
        <w:rPr>
          <w:spacing w:val="-52"/>
          <w:sz w:val="28"/>
        </w:rPr>
        <w:t> </w:t>
      </w:r>
      <w:r>
        <w:rPr>
          <w:sz w:val="28"/>
        </w:rPr>
        <w:t>/ Т. Коваль / Тваринництво України. - 2006. - .№11. - С.</w:t>
      </w:r>
      <w:r>
        <w:rPr>
          <w:spacing w:val="10"/>
          <w:sz w:val="28"/>
        </w:rPr>
        <w:t> </w:t>
      </w:r>
      <w:r>
        <w:rPr>
          <w:sz w:val="28"/>
        </w:rPr>
        <w:t>18-20.</w:t>
      </w:r>
    </w:p>
    <w:p>
      <w:pPr>
        <w:pStyle w:val="ListParagraph"/>
        <w:numPr>
          <w:ilvl w:val="0"/>
          <w:numId w:val="20"/>
        </w:numPr>
        <w:tabs>
          <w:tab w:pos="1115" w:val="left" w:leader="none"/>
        </w:tabs>
        <w:spacing w:line="240" w:lineRule="auto" w:before="0" w:after="0"/>
        <w:ind w:left="193" w:right="605" w:firstLine="710"/>
        <w:jc w:val="both"/>
        <w:rPr>
          <w:sz w:val="28"/>
        </w:rPr>
      </w:pPr>
      <w:r>
        <w:rPr>
          <w:sz w:val="28"/>
        </w:rPr>
        <w:t>Микитюк Д.М. / Програма селекції української червоної молочної породи великої рогатої худоби на 2003-2012 роки / Д.М. Микитюк, А.М. Литовченко, В.П. Буркат та ін.; Заг. ред.. Ю.П. Полупан і В.П. Бурката. / - К., 2004. – 216</w:t>
      </w:r>
      <w:r>
        <w:rPr>
          <w:spacing w:val="6"/>
          <w:sz w:val="28"/>
        </w:rPr>
        <w:t> </w:t>
      </w:r>
      <w:r>
        <w:rPr>
          <w:sz w:val="28"/>
        </w:rPr>
        <w:t>с.</w:t>
      </w:r>
    </w:p>
    <w:p>
      <w:pPr>
        <w:pStyle w:val="ListParagraph"/>
        <w:numPr>
          <w:ilvl w:val="0"/>
          <w:numId w:val="20"/>
        </w:numPr>
        <w:tabs>
          <w:tab w:pos="1115" w:val="left" w:leader="none"/>
        </w:tabs>
        <w:spacing w:line="240" w:lineRule="auto" w:before="0" w:after="0"/>
        <w:ind w:left="193" w:right="619" w:firstLine="710"/>
        <w:jc w:val="both"/>
        <w:rPr>
          <w:sz w:val="28"/>
        </w:rPr>
      </w:pPr>
      <w:r>
        <w:rPr>
          <w:sz w:val="28"/>
        </w:rPr>
        <w:t>Плохинський </w:t>
      </w:r>
      <w:r>
        <w:rPr>
          <w:spacing w:val="-3"/>
          <w:sz w:val="28"/>
        </w:rPr>
        <w:t>Н. А. </w:t>
      </w:r>
      <w:r>
        <w:rPr>
          <w:sz w:val="28"/>
        </w:rPr>
        <w:t>Руководство по биометрии для зоотехников: учебн. пособие. Москва: Колос, 1969.</w:t>
      </w:r>
      <w:r>
        <w:rPr>
          <w:spacing w:val="6"/>
          <w:sz w:val="28"/>
        </w:rPr>
        <w:t> </w:t>
      </w:r>
      <w:r>
        <w:rPr>
          <w:sz w:val="28"/>
        </w:rPr>
        <w:t>256с.</w:t>
      </w:r>
    </w:p>
    <w:p>
      <w:pPr>
        <w:pStyle w:val="ListParagraph"/>
        <w:numPr>
          <w:ilvl w:val="0"/>
          <w:numId w:val="20"/>
        </w:numPr>
        <w:tabs>
          <w:tab w:pos="1115" w:val="left" w:leader="none"/>
        </w:tabs>
        <w:spacing w:line="240" w:lineRule="auto" w:before="0" w:after="0"/>
        <w:ind w:left="193" w:right="609" w:firstLine="710"/>
        <w:jc w:val="both"/>
        <w:rPr>
          <w:sz w:val="28"/>
        </w:rPr>
      </w:pPr>
      <w:r>
        <w:rPr>
          <w:sz w:val="28"/>
        </w:rPr>
        <w:t>Полупан Ю. </w:t>
      </w:r>
      <w:r>
        <w:rPr>
          <w:spacing w:val="-3"/>
          <w:sz w:val="28"/>
        </w:rPr>
        <w:t>П. </w:t>
      </w:r>
      <w:r>
        <w:rPr>
          <w:sz w:val="28"/>
        </w:rPr>
        <w:t>Генеалогія структуризація новоствореної української червоної молочної породи за лініями// Ю. </w:t>
      </w:r>
      <w:r>
        <w:rPr>
          <w:spacing w:val="-3"/>
          <w:sz w:val="28"/>
        </w:rPr>
        <w:t>П. </w:t>
      </w:r>
      <w:r>
        <w:rPr>
          <w:sz w:val="28"/>
        </w:rPr>
        <w:t>Полупан / Там само. – 2005. – Вип. 38. – С.</w:t>
      </w:r>
      <w:r>
        <w:rPr>
          <w:spacing w:val="4"/>
          <w:sz w:val="28"/>
        </w:rPr>
        <w:t> </w:t>
      </w:r>
      <w:r>
        <w:rPr>
          <w:sz w:val="28"/>
        </w:rPr>
        <w:t>97-107.</w:t>
      </w:r>
    </w:p>
    <w:p>
      <w:pPr>
        <w:pStyle w:val="ListParagraph"/>
        <w:numPr>
          <w:ilvl w:val="0"/>
          <w:numId w:val="20"/>
        </w:numPr>
        <w:tabs>
          <w:tab w:pos="1115" w:val="left" w:leader="none"/>
        </w:tabs>
        <w:spacing w:line="242" w:lineRule="auto" w:before="0" w:after="0"/>
        <w:ind w:left="193" w:right="605" w:firstLine="710"/>
        <w:jc w:val="both"/>
        <w:rPr>
          <w:sz w:val="28"/>
        </w:rPr>
      </w:pPr>
      <w:r>
        <w:rPr>
          <w:sz w:val="28"/>
        </w:rPr>
        <w:t>Полупан Ю. Поєднуваність ліній і споріднених груп червоної молочної худоби / Ю. Полупан, Т. Коваль. та </w:t>
      </w:r>
      <w:r>
        <w:rPr>
          <w:spacing w:val="-3"/>
          <w:sz w:val="28"/>
        </w:rPr>
        <w:t>ін. </w:t>
      </w:r>
      <w:r>
        <w:rPr>
          <w:sz w:val="28"/>
        </w:rPr>
        <w:t>/ Тваринництво України. - 2003. - №11. - С.</w:t>
      </w:r>
      <w:r>
        <w:rPr>
          <w:spacing w:val="3"/>
          <w:sz w:val="28"/>
        </w:rPr>
        <w:t> </w:t>
      </w:r>
      <w:r>
        <w:rPr>
          <w:sz w:val="28"/>
        </w:rPr>
        <w:t>11-14.</w:t>
      </w:r>
    </w:p>
    <w:p>
      <w:pPr>
        <w:pStyle w:val="ListParagraph"/>
        <w:numPr>
          <w:ilvl w:val="0"/>
          <w:numId w:val="20"/>
        </w:numPr>
        <w:tabs>
          <w:tab w:pos="1115" w:val="left" w:leader="none"/>
        </w:tabs>
        <w:spacing w:line="240" w:lineRule="auto" w:before="0" w:after="0"/>
        <w:ind w:left="193" w:right="622" w:firstLine="710"/>
        <w:jc w:val="both"/>
        <w:rPr>
          <w:sz w:val="28"/>
        </w:rPr>
      </w:pPr>
      <w:r>
        <w:rPr>
          <w:sz w:val="28"/>
        </w:rPr>
        <w:t>Салій І. Генеалогічна структура і сучасний генофонд жирномолочного типу червоної молочної породи / І. Салій, О. Мокеєв, Т. Підпала, </w:t>
      </w:r>
      <w:r>
        <w:rPr>
          <w:spacing w:val="-3"/>
          <w:sz w:val="28"/>
        </w:rPr>
        <w:t>Н. </w:t>
      </w:r>
      <w:r>
        <w:rPr>
          <w:sz w:val="28"/>
        </w:rPr>
        <w:t>Кононенко</w:t>
      </w:r>
      <w:r>
        <w:rPr>
          <w:spacing w:val="-47"/>
          <w:sz w:val="28"/>
        </w:rPr>
        <w:t> </w:t>
      </w:r>
      <w:r>
        <w:rPr>
          <w:sz w:val="28"/>
        </w:rPr>
        <w:t>/ Тваринництво України. - 2000. - №05-06. - С.</w:t>
      </w:r>
      <w:r>
        <w:rPr>
          <w:spacing w:val="9"/>
          <w:sz w:val="28"/>
        </w:rPr>
        <w:t> </w:t>
      </w:r>
      <w:r>
        <w:rPr>
          <w:sz w:val="28"/>
        </w:rPr>
        <w:t>lЗ-15.</w:t>
      </w:r>
    </w:p>
    <w:p>
      <w:pPr>
        <w:pStyle w:val="ListParagraph"/>
        <w:numPr>
          <w:ilvl w:val="0"/>
          <w:numId w:val="20"/>
        </w:numPr>
        <w:tabs>
          <w:tab w:pos="1115" w:val="left" w:leader="none"/>
        </w:tabs>
        <w:spacing w:line="240" w:lineRule="auto" w:before="0" w:after="0"/>
        <w:ind w:left="193" w:right="609" w:firstLine="710"/>
        <w:jc w:val="both"/>
        <w:rPr>
          <w:sz w:val="28"/>
        </w:rPr>
      </w:pPr>
      <w:r>
        <w:rPr>
          <w:sz w:val="28"/>
        </w:rPr>
        <w:t>Салій І. Скоростиглість і відтворна здатність худоби жирномолочної породи</w:t>
      </w:r>
      <w:r>
        <w:rPr>
          <w:spacing w:val="-12"/>
          <w:sz w:val="28"/>
        </w:rPr>
        <w:t> </w:t>
      </w:r>
      <w:r>
        <w:rPr>
          <w:sz w:val="28"/>
        </w:rPr>
        <w:t>/</w:t>
      </w:r>
      <w:r>
        <w:rPr>
          <w:spacing w:val="-13"/>
          <w:sz w:val="28"/>
        </w:rPr>
        <w:t> </w:t>
      </w:r>
      <w:r>
        <w:rPr>
          <w:sz w:val="28"/>
        </w:rPr>
        <w:t>І.</w:t>
      </w:r>
      <w:r>
        <w:rPr>
          <w:spacing w:val="-10"/>
          <w:sz w:val="28"/>
        </w:rPr>
        <w:t> </w:t>
      </w:r>
      <w:r>
        <w:rPr>
          <w:sz w:val="28"/>
        </w:rPr>
        <w:t>Салій,</w:t>
      </w:r>
      <w:r>
        <w:rPr>
          <w:spacing w:val="-10"/>
          <w:sz w:val="28"/>
        </w:rPr>
        <w:t> </w:t>
      </w:r>
      <w:r>
        <w:rPr>
          <w:sz w:val="28"/>
        </w:rPr>
        <w:t>Г.</w:t>
      </w:r>
      <w:r>
        <w:rPr>
          <w:spacing w:val="-10"/>
          <w:sz w:val="28"/>
        </w:rPr>
        <w:t> </w:t>
      </w:r>
      <w:r>
        <w:rPr>
          <w:sz w:val="28"/>
        </w:rPr>
        <w:t>Буюклу,</w:t>
      </w:r>
      <w:r>
        <w:rPr>
          <w:spacing w:val="-10"/>
          <w:sz w:val="28"/>
        </w:rPr>
        <w:t> </w:t>
      </w:r>
      <w:r>
        <w:rPr>
          <w:sz w:val="28"/>
        </w:rPr>
        <w:t>М.</w:t>
      </w:r>
      <w:r>
        <w:rPr>
          <w:spacing w:val="-10"/>
          <w:sz w:val="28"/>
        </w:rPr>
        <w:t> </w:t>
      </w:r>
      <w:r>
        <w:rPr>
          <w:sz w:val="28"/>
        </w:rPr>
        <w:t>Буюклу</w:t>
      </w:r>
      <w:r>
        <w:rPr>
          <w:spacing w:val="-12"/>
          <w:sz w:val="28"/>
        </w:rPr>
        <w:t> </w:t>
      </w:r>
      <w:r>
        <w:rPr>
          <w:sz w:val="28"/>
        </w:rPr>
        <w:t>Тваринництво</w:t>
      </w:r>
      <w:r>
        <w:rPr>
          <w:spacing w:val="-8"/>
          <w:sz w:val="28"/>
        </w:rPr>
        <w:t> </w:t>
      </w:r>
      <w:r>
        <w:rPr>
          <w:sz w:val="28"/>
        </w:rPr>
        <w:t>України.</w:t>
      </w:r>
      <w:r>
        <w:rPr>
          <w:spacing w:val="-2"/>
          <w:sz w:val="28"/>
        </w:rPr>
        <w:t> </w:t>
      </w:r>
      <w:r>
        <w:rPr>
          <w:sz w:val="28"/>
        </w:rPr>
        <w:t>-</w:t>
      </w:r>
      <w:r>
        <w:rPr>
          <w:spacing w:val="-14"/>
          <w:sz w:val="28"/>
        </w:rPr>
        <w:t> </w:t>
      </w:r>
      <w:r>
        <w:rPr>
          <w:sz w:val="28"/>
        </w:rPr>
        <w:t>2001.</w:t>
      </w:r>
      <w:r>
        <w:rPr>
          <w:spacing w:val="-10"/>
          <w:sz w:val="28"/>
        </w:rPr>
        <w:t> </w:t>
      </w:r>
      <w:r>
        <w:rPr>
          <w:sz w:val="28"/>
        </w:rPr>
        <w:t>№07.</w:t>
      </w:r>
      <w:r>
        <w:rPr>
          <w:spacing w:val="-9"/>
          <w:sz w:val="28"/>
        </w:rPr>
        <w:t> </w:t>
      </w:r>
      <w:r>
        <w:rPr>
          <w:sz w:val="28"/>
        </w:rPr>
        <w:t>-</w:t>
      </w:r>
      <w:r>
        <w:rPr>
          <w:spacing w:val="-14"/>
          <w:sz w:val="28"/>
        </w:rPr>
        <w:t> </w:t>
      </w:r>
      <w:r>
        <w:rPr>
          <w:sz w:val="28"/>
        </w:rPr>
        <w:t>С. 19-21.</w:t>
      </w:r>
    </w:p>
    <w:p>
      <w:pPr>
        <w:pStyle w:val="ListParagraph"/>
        <w:numPr>
          <w:ilvl w:val="0"/>
          <w:numId w:val="20"/>
        </w:numPr>
        <w:tabs>
          <w:tab w:pos="1254" w:val="left" w:leader="none"/>
        </w:tabs>
        <w:spacing w:line="240" w:lineRule="auto" w:before="0" w:after="0"/>
        <w:ind w:left="193" w:right="610" w:firstLine="710"/>
        <w:jc w:val="both"/>
        <w:rPr>
          <w:sz w:val="28"/>
        </w:rPr>
      </w:pPr>
      <w:r>
        <w:rPr>
          <w:sz w:val="28"/>
        </w:rPr>
        <w:t>Інструкція з бонітування великої рогатої худоби молочних і </w:t>
      </w:r>
      <w:r>
        <w:rPr>
          <w:spacing w:val="2"/>
          <w:sz w:val="28"/>
        </w:rPr>
        <w:t>молочно- </w:t>
      </w:r>
      <w:r>
        <w:rPr>
          <w:sz w:val="28"/>
        </w:rPr>
        <w:t>м'ясних порід; Інструкція з ведення племінного обліку в молочному і молочно- м'ясному скотарстві. - К.: "ППВН", 2004.</w:t>
      </w:r>
      <w:r>
        <w:rPr>
          <w:spacing w:val="13"/>
          <w:sz w:val="28"/>
        </w:rPr>
        <w:t> </w:t>
      </w:r>
      <w:r>
        <w:rPr>
          <w:sz w:val="28"/>
        </w:rPr>
        <w:t>-76с.</w:t>
      </w:r>
    </w:p>
    <w:p>
      <w:pPr>
        <w:spacing w:after="0" w:line="240" w:lineRule="auto"/>
        <w:jc w:val="both"/>
        <w:rPr>
          <w:sz w:val="28"/>
        </w:rPr>
        <w:sectPr>
          <w:pgSz w:w="11910" w:h="16840"/>
          <w:pgMar w:header="713" w:footer="778" w:top="1140" w:bottom="960" w:left="940" w:right="520"/>
        </w:sectPr>
      </w:pPr>
    </w:p>
    <w:p>
      <w:pPr>
        <w:pStyle w:val="Heading1"/>
        <w:spacing w:before="96"/>
        <w:ind w:left="1004" w:right="1129" w:firstLine="427"/>
        <w:jc w:val="left"/>
      </w:pPr>
      <w:r>
        <w:rPr/>
        <w:t>СРАВНИТЕЛЬНАЯ ХАРАКТЕРИСТИКА СЕЛЕКЦИОННО- ХОЗЯЙСТВЕННЫХ ПРИЗНАКОВ КОРОВ РАЗНЫХ ЛИНИЙ</w:t>
      </w:r>
    </w:p>
    <w:p>
      <w:pPr>
        <w:spacing w:before="0"/>
        <w:ind w:left="3040" w:right="799" w:hanging="1407"/>
        <w:jc w:val="left"/>
        <w:rPr>
          <w:b/>
          <w:sz w:val="28"/>
        </w:rPr>
      </w:pPr>
      <w:r>
        <w:rPr>
          <w:b/>
          <w:sz w:val="28"/>
        </w:rPr>
        <w:t>УКРАИНСКОЙ КРАСНОЙ МОЛОЧНОЙ ПОРОДЫ ЖИРНОМОЛОЧНОГО ТИПА</w:t>
      </w:r>
    </w:p>
    <w:p>
      <w:pPr>
        <w:pStyle w:val="BodyText"/>
        <w:spacing w:line="317" w:lineRule="exact"/>
        <w:ind w:left="4437"/>
      </w:pPr>
      <w:r>
        <w:rPr/>
        <w:t>Безалтычная О.</w:t>
      </w:r>
    </w:p>
    <w:p>
      <w:pPr>
        <w:spacing w:before="4"/>
        <w:ind w:left="193" w:right="605" w:firstLine="710"/>
        <w:jc w:val="both"/>
        <w:rPr>
          <w:i/>
          <w:sz w:val="28"/>
        </w:rPr>
      </w:pPr>
      <w:r>
        <w:rPr>
          <w:i/>
          <w:sz w:val="28"/>
        </w:rPr>
        <w:t>Основным направлением молочного скотоводства в Украине в новых </w:t>
      </w:r>
      <w:r>
        <w:rPr>
          <w:i/>
          <w:sz w:val="28"/>
        </w:rPr>
        <w:t>экономических условиях хозяйствования, должно быть рентабельное производство молока, на основе реализации генетического потенциала созданных в Украине породных ресурсов, с использованием интенсивных</w:t>
      </w:r>
      <w:r>
        <w:rPr>
          <w:i/>
          <w:spacing w:val="-38"/>
          <w:sz w:val="28"/>
        </w:rPr>
        <w:t> </w:t>
      </w:r>
      <w:r>
        <w:rPr>
          <w:i/>
          <w:sz w:val="28"/>
        </w:rPr>
        <w:t>энерго- и</w:t>
      </w:r>
      <w:r>
        <w:rPr>
          <w:i/>
          <w:spacing w:val="-22"/>
          <w:sz w:val="28"/>
        </w:rPr>
        <w:t> </w:t>
      </w:r>
      <w:r>
        <w:rPr>
          <w:i/>
          <w:sz w:val="28"/>
        </w:rPr>
        <w:t>ресурсосберегающих</w:t>
      </w:r>
      <w:r>
        <w:rPr>
          <w:i/>
          <w:spacing w:val="-21"/>
          <w:sz w:val="28"/>
        </w:rPr>
        <w:t> </w:t>
      </w:r>
      <w:r>
        <w:rPr>
          <w:i/>
          <w:sz w:val="28"/>
        </w:rPr>
        <w:t>технологий.</w:t>
      </w:r>
      <w:r>
        <w:rPr>
          <w:i/>
          <w:spacing w:val="-18"/>
          <w:sz w:val="28"/>
        </w:rPr>
        <w:t> </w:t>
      </w:r>
      <w:r>
        <w:rPr>
          <w:i/>
          <w:sz w:val="28"/>
        </w:rPr>
        <w:t>Селекционно-племенная</w:t>
      </w:r>
      <w:r>
        <w:rPr>
          <w:i/>
          <w:spacing w:val="-21"/>
          <w:sz w:val="28"/>
        </w:rPr>
        <w:t> </w:t>
      </w:r>
      <w:r>
        <w:rPr>
          <w:i/>
          <w:sz w:val="28"/>
        </w:rPr>
        <w:t>работа</w:t>
      </w:r>
      <w:r>
        <w:rPr>
          <w:i/>
          <w:spacing w:val="-21"/>
          <w:sz w:val="28"/>
        </w:rPr>
        <w:t> </w:t>
      </w:r>
      <w:r>
        <w:rPr>
          <w:i/>
          <w:sz w:val="28"/>
        </w:rPr>
        <w:t>с</w:t>
      </w:r>
      <w:r>
        <w:rPr>
          <w:i/>
          <w:spacing w:val="-20"/>
          <w:sz w:val="28"/>
        </w:rPr>
        <w:t> </w:t>
      </w:r>
      <w:r>
        <w:rPr>
          <w:i/>
          <w:sz w:val="28"/>
        </w:rPr>
        <w:t>украинской красной молочной породой для поддержания ее конкурентоспособности в это время и в перспективе, требует разработки новых методов совершенствования, использования новых селекционных приемов, направленных на консолидацию и развитие продуктивных</w:t>
      </w:r>
      <w:r>
        <w:rPr>
          <w:i/>
          <w:spacing w:val="4"/>
          <w:sz w:val="28"/>
        </w:rPr>
        <w:t> </w:t>
      </w:r>
      <w:r>
        <w:rPr>
          <w:i/>
          <w:sz w:val="28"/>
        </w:rPr>
        <w:t>признаков.</w:t>
      </w:r>
    </w:p>
    <w:p>
      <w:pPr>
        <w:spacing w:line="240" w:lineRule="auto" w:before="0"/>
        <w:ind w:left="193" w:right="610" w:firstLine="710"/>
        <w:jc w:val="both"/>
        <w:rPr>
          <w:i/>
          <w:sz w:val="28"/>
        </w:rPr>
      </w:pPr>
      <w:r>
        <w:rPr>
          <w:b/>
          <w:i/>
          <w:sz w:val="28"/>
        </w:rPr>
        <w:t>Ключевые слова: </w:t>
      </w:r>
      <w:r>
        <w:rPr>
          <w:i/>
          <w:sz w:val="28"/>
        </w:rPr>
        <w:t>корова, украинская красно молочная порода, </w:t>
      </w:r>
      <w:r>
        <w:rPr>
          <w:i/>
          <w:sz w:val="28"/>
        </w:rPr>
        <w:t>жирномолочного тип, популяционно-генетические параметры, селекционно- племенная работа.</w:t>
      </w:r>
    </w:p>
    <w:p>
      <w:pPr>
        <w:pStyle w:val="BodyText"/>
        <w:spacing w:before="6"/>
        <w:ind w:left="0"/>
        <w:jc w:val="left"/>
        <w:rPr>
          <w:i/>
        </w:rPr>
      </w:pPr>
    </w:p>
    <w:p>
      <w:pPr>
        <w:pStyle w:val="Heading1"/>
        <w:ind w:left="279" w:right="684" w:firstLine="1162"/>
        <w:jc w:val="left"/>
      </w:pPr>
      <w:r>
        <w:rPr/>
        <w:t>COMPARATIVE CHARACTERISTICS OF THE SELECTION- ECONOMIC MARKINGS OF THE BIRDS OF DIFFERENT LINES OF THE</w:t>
      </w:r>
    </w:p>
    <w:p>
      <w:pPr>
        <w:spacing w:line="319" w:lineRule="exact" w:before="0"/>
        <w:ind w:left="2915" w:right="0" w:firstLine="0"/>
        <w:jc w:val="left"/>
        <w:rPr>
          <w:b/>
          <w:sz w:val="28"/>
        </w:rPr>
      </w:pPr>
      <w:r>
        <w:rPr>
          <w:b/>
          <w:sz w:val="28"/>
        </w:rPr>
        <w:t>UKRAINIAN RED MILK BREED</w:t>
      </w:r>
    </w:p>
    <w:p>
      <w:pPr>
        <w:pStyle w:val="BodyText"/>
        <w:spacing w:line="319" w:lineRule="exact"/>
        <w:ind w:left="4534"/>
      </w:pPr>
      <w:r>
        <w:rPr/>
        <w:t>Bezaltichna O.</w:t>
      </w:r>
    </w:p>
    <w:p>
      <w:pPr>
        <w:spacing w:before="0"/>
        <w:ind w:left="193" w:right="610" w:firstLine="710"/>
        <w:jc w:val="both"/>
        <w:rPr>
          <w:i/>
          <w:sz w:val="28"/>
        </w:rPr>
      </w:pPr>
      <w:r>
        <w:rPr>
          <w:i/>
          <w:sz w:val="28"/>
        </w:rPr>
        <w:t>The main direction of dairy cattle breeding in Ukraine under new economic </w:t>
      </w:r>
      <w:r>
        <w:rPr>
          <w:i/>
          <w:sz w:val="28"/>
        </w:rPr>
        <w:t>conditions</w:t>
      </w:r>
      <w:r>
        <w:rPr>
          <w:i/>
          <w:spacing w:val="-17"/>
          <w:sz w:val="28"/>
        </w:rPr>
        <w:t> </w:t>
      </w:r>
      <w:r>
        <w:rPr>
          <w:i/>
          <w:sz w:val="28"/>
        </w:rPr>
        <w:t>of</w:t>
      </w:r>
      <w:r>
        <w:rPr>
          <w:i/>
          <w:spacing w:val="-17"/>
          <w:sz w:val="28"/>
        </w:rPr>
        <w:t> </w:t>
      </w:r>
      <w:r>
        <w:rPr>
          <w:i/>
          <w:sz w:val="28"/>
        </w:rPr>
        <w:t>economy</w:t>
      </w:r>
      <w:r>
        <w:rPr>
          <w:i/>
          <w:spacing w:val="-15"/>
          <w:sz w:val="28"/>
        </w:rPr>
        <w:t> </w:t>
      </w:r>
      <w:r>
        <w:rPr>
          <w:i/>
          <w:sz w:val="28"/>
        </w:rPr>
        <w:t>should</w:t>
      </w:r>
      <w:r>
        <w:rPr>
          <w:i/>
          <w:spacing w:val="-18"/>
          <w:sz w:val="28"/>
        </w:rPr>
        <w:t> </w:t>
      </w:r>
      <w:r>
        <w:rPr>
          <w:i/>
          <w:sz w:val="28"/>
        </w:rPr>
        <w:t>be</w:t>
      </w:r>
      <w:r>
        <w:rPr>
          <w:i/>
          <w:spacing w:val="-16"/>
          <w:sz w:val="28"/>
        </w:rPr>
        <w:t> </w:t>
      </w:r>
      <w:r>
        <w:rPr>
          <w:i/>
          <w:sz w:val="28"/>
        </w:rPr>
        <w:t>profitable</w:t>
      </w:r>
      <w:r>
        <w:rPr>
          <w:i/>
          <w:spacing w:val="-16"/>
          <w:sz w:val="28"/>
        </w:rPr>
        <w:t> </w:t>
      </w:r>
      <w:r>
        <w:rPr>
          <w:i/>
          <w:sz w:val="28"/>
        </w:rPr>
        <w:t>production</w:t>
      </w:r>
      <w:r>
        <w:rPr>
          <w:i/>
          <w:spacing w:val="-18"/>
          <w:sz w:val="28"/>
        </w:rPr>
        <w:t> </w:t>
      </w:r>
      <w:r>
        <w:rPr>
          <w:i/>
          <w:sz w:val="28"/>
        </w:rPr>
        <w:t>of</w:t>
      </w:r>
      <w:r>
        <w:rPr>
          <w:i/>
          <w:spacing w:val="-17"/>
          <w:sz w:val="28"/>
        </w:rPr>
        <w:t> </w:t>
      </w:r>
      <w:r>
        <w:rPr>
          <w:i/>
          <w:sz w:val="28"/>
        </w:rPr>
        <w:t>milk,</w:t>
      </w:r>
      <w:r>
        <w:rPr>
          <w:i/>
          <w:spacing w:val="-14"/>
          <w:sz w:val="28"/>
        </w:rPr>
        <w:t> </w:t>
      </w:r>
      <w:r>
        <w:rPr>
          <w:i/>
          <w:sz w:val="28"/>
        </w:rPr>
        <w:t>based</w:t>
      </w:r>
      <w:r>
        <w:rPr>
          <w:i/>
          <w:spacing w:val="-18"/>
          <w:sz w:val="28"/>
        </w:rPr>
        <w:t> </w:t>
      </w:r>
      <w:r>
        <w:rPr>
          <w:i/>
          <w:sz w:val="28"/>
        </w:rPr>
        <w:t>on</w:t>
      </w:r>
      <w:r>
        <w:rPr>
          <w:i/>
          <w:spacing w:val="-17"/>
          <w:sz w:val="28"/>
        </w:rPr>
        <w:t> </w:t>
      </w:r>
      <w:r>
        <w:rPr>
          <w:i/>
          <w:sz w:val="28"/>
        </w:rPr>
        <w:t>the</w:t>
      </w:r>
      <w:r>
        <w:rPr>
          <w:i/>
          <w:spacing w:val="-21"/>
          <w:sz w:val="28"/>
        </w:rPr>
        <w:t> </w:t>
      </w:r>
      <w:r>
        <w:rPr>
          <w:i/>
          <w:sz w:val="28"/>
        </w:rPr>
        <w:t>realization of the genetic potential of breed resources created in Ukraine, using intensive energy and resource-saving technologies. Breeding with the Ukrainian red dairy breed to maintain its competitiveness at this time and in the future requires the development of new methods of improvement, the use of new breeding techniques aimed at consolidation and development of productive</w:t>
      </w:r>
      <w:r>
        <w:rPr>
          <w:i/>
          <w:spacing w:val="3"/>
          <w:sz w:val="28"/>
        </w:rPr>
        <w:t> </w:t>
      </w:r>
      <w:r>
        <w:rPr>
          <w:i/>
          <w:sz w:val="28"/>
        </w:rPr>
        <w:t>traits.</w:t>
      </w:r>
    </w:p>
    <w:p>
      <w:pPr>
        <w:spacing w:line="240" w:lineRule="auto" w:before="0"/>
        <w:ind w:left="193" w:right="613" w:firstLine="710"/>
        <w:jc w:val="both"/>
        <w:rPr>
          <w:i/>
          <w:sz w:val="28"/>
        </w:rPr>
      </w:pPr>
      <w:r>
        <w:rPr>
          <w:b/>
          <w:i/>
          <w:sz w:val="28"/>
        </w:rPr>
        <w:t>Key words: </w:t>
      </w:r>
      <w:r>
        <w:rPr>
          <w:i/>
          <w:sz w:val="28"/>
        </w:rPr>
        <w:t>cow, Ukrainian red dairy breed, dairy type, population-genetic </w:t>
      </w:r>
      <w:r>
        <w:rPr>
          <w:i/>
          <w:sz w:val="28"/>
        </w:rPr>
        <w:t>parameters, breeding and breeding work.</w:t>
      </w:r>
    </w:p>
    <w:p>
      <w:pPr>
        <w:spacing w:after="0" w:line="240" w:lineRule="auto"/>
        <w:jc w:val="both"/>
        <w:rPr>
          <w:sz w:val="28"/>
        </w:rPr>
        <w:sectPr>
          <w:pgSz w:w="11910" w:h="16840"/>
          <w:pgMar w:header="713" w:footer="778" w:top="1140" w:bottom="960" w:left="940" w:right="520"/>
        </w:sectPr>
      </w:pPr>
    </w:p>
    <w:p>
      <w:pPr>
        <w:pStyle w:val="Heading1"/>
        <w:tabs>
          <w:tab w:pos="5859" w:val="left" w:leader="none"/>
        </w:tabs>
        <w:spacing w:before="96"/>
        <w:ind w:right="0"/>
        <w:jc w:val="both"/>
      </w:pPr>
      <w:r>
        <w:rPr/>
        <w:t>УДК</w:t>
      </w:r>
      <w:r>
        <w:rPr>
          <w:spacing w:val="-3"/>
        </w:rPr>
        <w:t> </w:t>
      </w:r>
      <w:r>
        <w:rPr/>
        <w:t>634.836:631.548</w:t>
        <w:tab/>
        <w:t>DOI:</w:t>
      </w:r>
      <w:r>
        <w:rPr>
          <w:spacing w:val="-1"/>
        </w:rPr>
        <w:t> </w:t>
      </w:r>
      <w:r>
        <w:rPr/>
        <w:t>10.37000/abbsl.2020.96.14</w:t>
      </w:r>
    </w:p>
    <w:p>
      <w:pPr>
        <w:pStyle w:val="BodyText"/>
        <w:spacing w:before="11"/>
        <w:ind w:left="0"/>
        <w:jc w:val="left"/>
        <w:rPr>
          <w:b/>
          <w:sz w:val="27"/>
        </w:rPr>
      </w:pPr>
    </w:p>
    <w:p>
      <w:pPr>
        <w:spacing w:before="0"/>
        <w:ind w:left="2690" w:right="650" w:hanging="1739"/>
        <w:jc w:val="left"/>
        <w:rPr>
          <w:b/>
          <w:sz w:val="28"/>
        </w:rPr>
      </w:pPr>
      <w:r>
        <w:rPr>
          <w:b/>
          <w:sz w:val="28"/>
        </w:rPr>
        <w:t>ВПЛИВ ГІБЕРЕЛІНУ НА ВРОЖАЙНІСТЬ ТА ВИЗРІВАННЯ ЛОЗИ СТОЛОВИХ СОРТІВ ВИНОГРАДУ</w:t>
      </w:r>
    </w:p>
    <w:p>
      <w:pPr>
        <w:spacing w:line="322" w:lineRule="exact" w:before="0"/>
        <w:ind w:left="4102" w:right="0" w:firstLine="0"/>
        <w:jc w:val="left"/>
        <w:rPr>
          <w:b/>
          <w:sz w:val="28"/>
        </w:rPr>
      </w:pPr>
      <w:r>
        <w:rPr>
          <w:b/>
          <w:sz w:val="28"/>
        </w:rPr>
        <w:t>А. Штірбу, Н. Сівак</w:t>
      </w:r>
    </w:p>
    <w:p>
      <w:pPr>
        <w:spacing w:before="0"/>
        <w:ind w:left="1110" w:right="651" w:hanging="154"/>
        <w:jc w:val="left"/>
        <w:rPr>
          <w:i/>
          <w:sz w:val="28"/>
        </w:rPr>
      </w:pPr>
      <w:r>
        <w:rPr>
          <w:i/>
          <w:sz w:val="28"/>
        </w:rPr>
        <w:t>Національний науковий центр «Інститут виноградарства і виноробства </w:t>
      </w:r>
      <w:r>
        <w:rPr>
          <w:i/>
          <w:sz w:val="28"/>
        </w:rPr>
        <w:t>імені В.Є. Таїрова» Національної академії аграрних наук України</w:t>
      </w:r>
    </w:p>
    <w:p>
      <w:pPr>
        <w:pStyle w:val="BodyText"/>
        <w:spacing w:before="10"/>
        <w:ind w:left="0"/>
        <w:jc w:val="left"/>
        <w:rPr>
          <w:i/>
          <w:sz w:val="27"/>
        </w:rPr>
      </w:pPr>
    </w:p>
    <w:p>
      <w:pPr>
        <w:spacing w:before="0"/>
        <w:ind w:left="193" w:right="610" w:firstLine="710"/>
        <w:jc w:val="both"/>
        <w:rPr>
          <w:i/>
          <w:sz w:val="28"/>
        </w:rPr>
      </w:pPr>
      <w:r>
        <w:rPr>
          <w:i/>
          <w:sz w:val="28"/>
        </w:rPr>
        <w:t>Досліджено вплив обробітку суцвіть екзогенним гібереліном на </w:t>
      </w:r>
      <w:r>
        <w:rPr>
          <w:i/>
          <w:sz w:val="28"/>
        </w:rPr>
        <w:t>малопоширені столові сорти винограду з ознаками партенокарпії та стеноспермокарпії ягід. Встановлено, що застосування гібереліну у дозі 40 мг/л на 3-5 день після завершення фази цвітіння на сортах Флора, Талісман та Кишмиш лучистий збільшує врожайність насаджень на 48-61%. Підвищений рівень продуктивності кущів після обробітку суцвіть гібереліном не впливає негативно на визрівання лози, особливо на накопичення вуглеводів. Після завершення вегетаційного періоду в однорічних пагонах дослідних варіантів вміст розчинних цукрів збільшується, в порівнянні з контролем, на 0,5-1,2%, крохмалю – 0,6-2,2% у перерахунку на абсолютно суху масу.</w:t>
      </w:r>
    </w:p>
    <w:p>
      <w:pPr>
        <w:spacing w:before="2"/>
        <w:ind w:left="193" w:right="621" w:firstLine="710"/>
        <w:jc w:val="both"/>
        <w:rPr>
          <w:i/>
          <w:sz w:val="28"/>
        </w:rPr>
      </w:pPr>
      <w:r>
        <w:rPr>
          <w:b/>
          <w:i/>
          <w:sz w:val="28"/>
        </w:rPr>
        <w:t>Ключові слова: </w:t>
      </w:r>
      <w:r>
        <w:rPr>
          <w:i/>
          <w:sz w:val="28"/>
        </w:rPr>
        <w:t>виноград, визрівання, врожайність, вуглеводи, гіберелін, </w:t>
      </w:r>
      <w:r>
        <w:rPr>
          <w:i/>
          <w:sz w:val="28"/>
        </w:rPr>
        <w:t>продуктивність.</w:t>
      </w:r>
    </w:p>
    <w:p>
      <w:pPr>
        <w:pStyle w:val="BodyText"/>
        <w:ind w:left="0"/>
        <w:jc w:val="left"/>
        <w:rPr>
          <w:i/>
        </w:rPr>
      </w:pPr>
    </w:p>
    <w:p>
      <w:pPr>
        <w:pStyle w:val="BodyText"/>
        <w:ind w:right="616" w:firstLine="710"/>
      </w:pPr>
      <w:r>
        <w:rPr>
          <w:b/>
        </w:rPr>
        <w:t>Постановка проблеми. </w:t>
      </w:r>
      <w:r>
        <w:rPr/>
        <w:t>Виноградне суцвіття містить сотні квіток, з яких тільки 20-60 відсотків розвиваються у ягоди з насінням. Решта квіток обсипається за відсутності запилення вітром. </w:t>
      </w:r>
      <w:r>
        <w:rPr>
          <w:spacing w:val="-3"/>
        </w:rPr>
        <w:t>На </w:t>
      </w:r>
      <w:r>
        <w:rPr/>
        <w:t>процес цвітіння винограду впливають погодні умови, особливо швидкість вітру, забезпеченість рослин елементами мінерального живлення, поширення та розвиток шкідливих організмів.</w:t>
      </w:r>
      <w:r>
        <w:rPr>
          <w:spacing w:val="-16"/>
        </w:rPr>
        <w:t> </w:t>
      </w:r>
      <w:r>
        <w:rPr/>
        <w:t>У</w:t>
      </w:r>
      <w:r>
        <w:rPr>
          <w:spacing w:val="-17"/>
        </w:rPr>
        <w:t> </w:t>
      </w:r>
      <w:r>
        <w:rPr/>
        <w:t>природі</w:t>
      </w:r>
      <w:r>
        <w:rPr>
          <w:spacing w:val="-22"/>
        </w:rPr>
        <w:t> </w:t>
      </w:r>
      <w:r>
        <w:rPr/>
        <w:t>зустрічаються</w:t>
      </w:r>
      <w:r>
        <w:rPr>
          <w:spacing w:val="-15"/>
        </w:rPr>
        <w:t> </w:t>
      </w:r>
      <w:r>
        <w:rPr/>
        <w:t>явища,</w:t>
      </w:r>
      <w:r>
        <w:rPr>
          <w:spacing w:val="-16"/>
        </w:rPr>
        <w:t> </w:t>
      </w:r>
      <w:r>
        <w:rPr/>
        <w:t>коли</w:t>
      </w:r>
      <w:r>
        <w:rPr>
          <w:spacing w:val="-17"/>
        </w:rPr>
        <w:t> </w:t>
      </w:r>
      <w:r>
        <w:rPr/>
        <w:t>виноградні</w:t>
      </w:r>
      <w:r>
        <w:rPr>
          <w:spacing w:val="-22"/>
        </w:rPr>
        <w:t> </w:t>
      </w:r>
      <w:r>
        <w:rPr/>
        <w:t>ягоди</w:t>
      </w:r>
      <w:r>
        <w:rPr>
          <w:spacing w:val="-17"/>
        </w:rPr>
        <w:t> </w:t>
      </w:r>
      <w:r>
        <w:rPr/>
        <w:t>розвиваються з зав’язі двостатевих квіток без насіння, через відсутність запилення та запліднення</w:t>
      </w:r>
      <w:r>
        <w:rPr>
          <w:spacing w:val="-13"/>
        </w:rPr>
        <w:t> </w:t>
      </w:r>
      <w:r>
        <w:rPr/>
        <w:t>яйцеклітин</w:t>
      </w:r>
      <w:r>
        <w:rPr>
          <w:spacing w:val="-13"/>
        </w:rPr>
        <w:t> </w:t>
      </w:r>
      <w:r>
        <w:rPr/>
        <w:t>(партенокарпія).</w:t>
      </w:r>
      <w:r>
        <w:rPr>
          <w:spacing w:val="-8"/>
        </w:rPr>
        <w:t> </w:t>
      </w:r>
      <w:r>
        <w:rPr/>
        <w:t>Подібний</w:t>
      </w:r>
      <w:r>
        <w:rPr>
          <w:spacing w:val="-14"/>
        </w:rPr>
        <w:t> </w:t>
      </w:r>
      <w:r>
        <w:rPr/>
        <w:t>розвиток</w:t>
      </w:r>
      <w:r>
        <w:rPr>
          <w:spacing w:val="-14"/>
        </w:rPr>
        <w:t> </w:t>
      </w:r>
      <w:r>
        <w:rPr/>
        <w:t>плодів</w:t>
      </w:r>
      <w:r>
        <w:rPr>
          <w:spacing w:val="-11"/>
        </w:rPr>
        <w:t> </w:t>
      </w:r>
      <w:r>
        <w:rPr/>
        <w:t>характерний для сортів з функціонально жіночим типом квіток. Існує група безнасінних сортів, плоди яких розвиваються після нормального запилення та запліднення, але без або з рудиментами насіння (стеноспермокарпія). У будь якому випадку ягоди окремого сорту винограду без насіння є менші за розміром та масою, ніж з насінням. Більшість комерційних безнасінних сортів винограду обприскують гібереліном</w:t>
      </w:r>
      <w:r>
        <w:rPr>
          <w:spacing w:val="-14"/>
        </w:rPr>
        <w:t> </w:t>
      </w:r>
      <w:r>
        <w:rPr/>
        <w:t>(ГА)</w:t>
      </w:r>
      <w:r>
        <w:rPr>
          <w:spacing w:val="-17"/>
        </w:rPr>
        <w:t> </w:t>
      </w:r>
      <w:r>
        <w:rPr/>
        <w:t>–</w:t>
      </w:r>
      <w:r>
        <w:rPr>
          <w:spacing w:val="-14"/>
        </w:rPr>
        <w:t> </w:t>
      </w:r>
      <w:r>
        <w:rPr/>
        <w:t>препаратом,</w:t>
      </w:r>
      <w:r>
        <w:rPr>
          <w:spacing w:val="-18"/>
        </w:rPr>
        <w:t> </w:t>
      </w:r>
      <w:r>
        <w:rPr/>
        <w:t>з</w:t>
      </w:r>
      <w:r>
        <w:rPr>
          <w:spacing w:val="-18"/>
        </w:rPr>
        <w:t> </w:t>
      </w:r>
      <w:r>
        <w:rPr/>
        <w:t>аналогічними</w:t>
      </w:r>
      <w:r>
        <w:rPr>
          <w:spacing w:val="-19"/>
        </w:rPr>
        <w:t> </w:t>
      </w:r>
      <w:r>
        <w:rPr/>
        <w:t>властивостями</w:t>
      </w:r>
      <w:r>
        <w:rPr>
          <w:spacing w:val="-19"/>
        </w:rPr>
        <w:t> </w:t>
      </w:r>
      <w:r>
        <w:rPr/>
        <w:t>фітогормону,</w:t>
      </w:r>
      <w:r>
        <w:rPr>
          <w:spacing w:val="-17"/>
        </w:rPr>
        <w:t> </w:t>
      </w:r>
      <w:r>
        <w:rPr/>
        <w:t>щоб збільшити розмір плодів. Застосування синтетичного </w:t>
      </w:r>
      <w:r>
        <w:rPr>
          <w:spacing w:val="3"/>
        </w:rPr>
        <w:t>ГА </w:t>
      </w:r>
      <w:r>
        <w:rPr/>
        <w:t>сприяє зміні</w:t>
      </w:r>
      <w:r>
        <w:rPr>
          <w:spacing w:val="10"/>
        </w:rPr>
        <w:t> </w:t>
      </w:r>
      <w:r>
        <w:rPr/>
        <w:t>відносин</w:t>
      </w:r>
    </w:p>
    <w:p>
      <w:pPr>
        <w:pStyle w:val="BodyText"/>
        <w:ind w:right="618"/>
      </w:pPr>
      <w:r>
        <w:rPr/>
        <w:t>«донор – акцептор» між системами органів рослин. Екзогенний ГА в ягодах сприяє підвищенню акцепторної функції щодо асимілюючих речовин, які синтезуються у процесі фотосинтезу та витрачаються на ріст і розвиток рослин, а також відкладаються у деревині на період спокою у формі крохмалю. Резервні вуглеводи виконують ключову функцію стійкості рослин до умов зимового періоду та дають старт початку їх розвитку навесні.</w:t>
      </w:r>
    </w:p>
    <w:p>
      <w:pPr>
        <w:pStyle w:val="BodyText"/>
        <w:ind w:right="625" w:firstLine="821"/>
      </w:pPr>
      <w:r>
        <w:rPr/>
        <w:t>На високоврожайних столових сортах застосування ГА може дати негативний результат у вигляді нерівномірного розвитку грона та з низькими</w:t>
      </w:r>
    </w:p>
    <w:p>
      <w:pPr>
        <w:spacing w:after="0"/>
        <w:sectPr>
          <w:pgSz w:w="11910" w:h="16840"/>
          <w:pgMar w:header="713" w:footer="778" w:top="1140" w:bottom="960" w:left="940" w:right="520"/>
        </w:sectPr>
      </w:pPr>
    </w:p>
    <w:p>
      <w:pPr>
        <w:pStyle w:val="BodyText"/>
        <w:spacing w:before="92"/>
        <w:ind w:right="620"/>
      </w:pPr>
      <w:r>
        <w:rPr/>
        <w:t>смаковими якостями винограду. Такий ефект пояснюється дисбалансом між врожаєм та листям або «споживачем» та «виробником» асимілятивних речовин. Якщо розмір листя є більш менш константним показником на виноградних насадженнях, то рівень врожаю можна регулювати у широкому діапазоні різними прийомами. Застосування ГА збільшує продуктивність кущів та в цілому врожайність, але недостатньо досліджений вплив цього ефекту на визрівання лози та накопичення в пагонах резервних вуглеводів.</w:t>
      </w:r>
    </w:p>
    <w:p>
      <w:pPr>
        <w:pStyle w:val="BodyText"/>
        <w:spacing w:before="2"/>
        <w:ind w:right="614" w:firstLine="821"/>
      </w:pPr>
      <w:r>
        <w:rPr/>
        <w:t>Аналіз останніх наукових досліджень та публікацій. Дослідження впливу ГА на врожай винограду розпочато у 50-ті роки минулого сторіччя [1]. Встановлені закономірності росту і розвитку винограду під впливом ГА слугували основою для розробок прийомів при сортовій агротехніки. Зокрема, застосування </w:t>
      </w:r>
      <w:r>
        <w:rPr>
          <w:spacing w:val="3"/>
        </w:rPr>
        <w:t>ГА </w:t>
      </w:r>
      <w:r>
        <w:rPr/>
        <w:t>для збільшення виробництва безнасінних сортів винограду Кишмиш білий, Кишмиш чорний, сортогрупи «Коринок» як для споживання у свіжому, так й висушеному вигляді [2, 3]. ГА підвищує продуктивність кущів безнасінних столових сортів, стимулює ріс плодів та сприяє зміні форми грона [4]. </w:t>
      </w:r>
      <w:r>
        <w:rPr>
          <w:spacing w:val="-3"/>
        </w:rPr>
        <w:t>На </w:t>
      </w:r>
      <w:r>
        <w:rPr/>
        <w:t>безнасінному сорті Санні руж ГА підвищує врожайність та якість [5]. Позитивний ефект встановлено при використанні ГА на безнасінних сортах Мечта, Флейм сідліс, Бьюті сідліс, Рубі сідліс [6], Блек емеральд [7]. Якість столового винограду сортів з ознакою «горошіння ягід» покращується після застосування ГА, завдяки більш рівномірному розвитку плодів. Рекомендації з обробітку суцвіть ГА були розроблені для сортів – Коарна нягре [8], Кодрянка, Мускат гамбурзький, Кардинал [9]. Позитивний ефект при використанні </w:t>
      </w:r>
      <w:r>
        <w:rPr>
          <w:spacing w:val="3"/>
        </w:rPr>
        <w:t>ГА </w:t>
      </w:r>
      <w:r>
        <w:rPr/>
        <w:t>показано на технічних сортах Совіньон блан, Рислінг, Лімбергер, Кадарка. Встановлено,</w:t>
      </w:r>
      <w:r>
        <w:rPr>
          <w:spacing w:val="-9"/>
        </w:rPr>
        <w:t> </w:t>
      </w:r>
      <w:r>
        <w:rPr/>
        <w:t>що</w:t>
      </w:r>
      <w:r>
        <w:rPr>
          <w:spacing w:val="-10"/>
        </w:rPr>
        <w:t> </w:t>
      </w:r>
      <w:r>
        <w:rPr/>
        <w:t>обробіток</w:t>
      </w:r>
      <w:r>
        <w:rPr>
          <w:spacing w:val="-12"/>
        </w:rPr>
        <w:t> </w:t>
      </w:r>
      <w:r>
        <w:rPr/>
        <w:t>рослин</w:t>
      </w:r>
      <w:r>
        <w:rPr>
          <w:spacing w:val="-10"/>
        </w:rPr>
        <w:t> </w:t>
      </w:r>
      <w:r>
        <w:rPr/>
        <w:t>ГА</w:t>
      </w:r>
      <w:r>
        <w:rPr>
          <w:spacing w:val="-15"/>
        </w:rPr>
        <w:t> </w:t>
      </w:r>
      <w:r>
        <w:rPr/>
        <w:t>прискорює</w:t>
      </w:r>
      <w:r>
        <w:rPr>
          <w:spacing w:val="-10"/>
        </w:rPr>
        <w:t> </w:t>
      </w:r>
      <w:r>
        <w:rPr/>
        <w:t>достигання</w:t>
      </w:r>
      <w:r>
        <w:rPr>
          <w:spacing w:val="-10"/>
        </w:rPr>
        <w:t> </w:t>
      </w:r>
      <w:r>
        <w:rPr/>
        <w:t>винограду,</w:t>
      </w:r>
      <w:r>
        <w:rPr>
          <w:spacing w:val="-9"/>
        </w:rPr>
        <w:t> </w:t>
      </w:r>
      <w:r>
        <w:rPr/>
        <w:t>сприяє більш високому накопиченню цукрів в соку ягід [10]. Ряд авторів вказують на відсутність впливу ГА на масу ягід та вміст цукру в соку ягід сорту Совіньон блан.</w:t>
      </w:r>
      <w:r>
        <w:rPr>
          <w:spacing w:val="-8"/>
        </w:rPr>
        <w:t> </w:t>
      </w:r>
      <w:r>
        <w:rPr/>
        <w:t>Обробіток</w:t>
      </w:r>
      <w:r>
        <w:rPr>
          <w:spacing w:val="-10"/>
        </w:rPr>
        <w:t> </w:t>
      </w:r>
      <w:r>
        <w:rPr/>
        <w:t>ГА</w:t>
      </w:r>
      <w:r>
        <w:rPr>
          <w:spacing w:val="-14"/>
        </w:rPr>
        <w:t> </w:t>
      </w:r>
      <w:r>
        <w:rPr/>
        <w:t>зазначеного</w:t>
      </w:r>
      <w:r>
        <w:rPr>
          <w:spacing w:val="-10"/>
        </w:rPr>
        <w:t> </w:t>
      </w:r>
      <w:r>
        <w:rPr/>
        <w:t>сорту</w:t>
      </w:r>
      <w:r>
        <w:rPr>
          <w:spacing w:val="-14"/>
        </w:rPr>
        <w:t> </w:t>
      </w:r>
      <w:r>
        <w:rPr/>
        <w:t>збільшує</w:t>
      </w:r>
      <w:r>
        <w:rPr>
          <w:spacing w:val="-9"/>
        </w:rPr>
        <w:t> </w:t>
      </w:r>
      <w:r>
        <w:rPr/>
        <w:t>продуктивність</w:t>
      </w:r>
      <w:r>
        <w:rPr>
          <w:spacing w:val="-12"/>
        </w:rPr>
        <w:t> </w:t>
      </w:r>
      <w:r>
        <w:rPr/>
        <w:t>рослин,</w:t>
      </w:r>
      <w:r>
        <w:rPr>
          <w:spacing w:val="-8"/>
        </w:rPr>
        <w:t> </w:t>
      </w:r>
      <w:r>
        <w:rPr/>
        <w:t>впливає на розміри та структуру грона, збільшує вміст титрованої кислоти в соку ягід [11]. Використання ГА збільшує сиру та суху масу ягід сорту Фуджимінорі [12], підвищує якість сорту Бордо завдяки збільшенню масової концентрації цукрів у соці ягід, зниженню – титрованої кислотності [13]. </w:t>
      </w:r>
      <w:r>
        <w:rPr>
          <w:spacing w:val="-3"/>
        </w:rPr>
        <w:t>На </w:t>
      </w:r>
      <w:r>
        <w:rPr/>
        <w:t>сорті Ніагара обробіток ГА стимулює ріст маси ягід та гребню [14]. Ефективність </w:t>
      </w:r>
      <w:r>
        <w:rPr>
          <w:spacing w:val="3"/>
        </w:rPr>
        <w:t>ГА </w:t>
      </w:r>
      <w:r>
        <w:rPr/>
        <w:t>залежить від </w:t>
      </w:r>
      <w:r>
        <w:rPr>
          <w:spacing w:val="2"/>
        </w:rPr>
        <w:t>часу </w:t>
      </w:r>
      <w:r>
        <w:rPr/>
        <w:t>обробітку, концентрації діючої речовини у розчині та природніх умов після використання [15]. Науково-обґрунтованим є строк застосування способом обробітку суцвіть після завершення фази цвітіння винограду (на </w:t>
      </w:r>
      <w:r>
        <w:rPr>
          <w:spacing w:val="3"/>
        </w:rPr>
        <w:t>3-5 </w:t>
      </w:r>
      <w:r>
        <w:rPr/>
        <w:t>день) [16]. Прийняті еталонні дози ГА для безнасінних сортів 100 мг/л [3], для сортів з функціонально-жіночим типом квіток та сортів з нерівномірним розвитком ягід 50 мг/л</w:t>
      </w:r>
      <w:r>
        <w:rPr>
          <w:spacing w:val="1"/>
        </w:rPr>
        <w:t> </w:t>
      </w:r>
      <w:r>
        <w:rPr/>
        <w:t>[17-19].</w:t>
      </w:r>
    </w:p>
    <w:p>
      <w:pPr>
        <w:pStyle w:val="BodyText"/>
        <w:spacing w:before="1"/>
        <w:ind w:right="618" w:firstLine="821"/>
      </w:pPr>
      <w:r>
        <w:rPr>
          <w:b/>
        </w:rPr>
        <w:t>Мета роботи </w:t>
      </w:r>
      <w:r>
        <w:rPr/>
        <w:t>– дослідження показників продуктивності кущів малопоширених столових сортів винограду після застосування гібереліну, а також впливу прийому на визрівання та накопичення вуглеводів у лозі.</w:t>
      </w:r>
    </w:p>
    <w:p>
      <w:pPr>
        <w:pStyle w:val="BodyText"/>
        <w:ind w:right="621" w:firstLine="710"/>
      </w:pPr>
      <w:r>
        <w:rPr>
          <w:b/>
        </w:rPr>
        <w:t>Матеріали та методи досліджень. </w:t>
      </w:r>
      <w:r>
        <w:rPr/>
        <w:t>Біологічним матеріалом були виноградні кущі малопоширених столових сортів винограду з ознаками партенокарпії</w:t>
      </w:r>
      <w:r>
        <w:rPr>
          <w:spacing w:val="-24"/>
        </w:rPr>
        <w:t> </w:t>
      </w:r>
      <w:r>
        <w:rPr/>
        <w:t>(Флора</w:t>
      </w:r>
      <w:r>
        <w:rPr>
          <w:spacing w:val="-17"/>
        </w:rPr>
        <w:t> </w:t>
      </w:r>
      <w:r>
        <w:rPr/>
        <w:t>та</w:t>
      </w:r>
      <w:r>
        <w:rPr>
          <w:spacing w:val="-13"/>
        </w:rPr>
        <w:t> </w:t>
      </w:r>
      <w:r>
        <w:rPr/>
        <w:t>Талісман)</w:t>
      </w:r>
      <w:r>
        <w:rPr>
          <w:spacing w:val="-16"/>
        </w:rPr>
        <w:t> </w:t>
      </w:r>
      <w:r>
        <w:rPr/>
        <w:t>і</w:t>
      </w:r>
      <w:r>
        <w:rPr>
          <w:spacing w:val="-22"/>
        </w:rPr>
        <w:t> </w:t>
      </w:r>
      <w:r>
        <w:rPr/>
        <w:t>стеноспермокарпії</w:t>
      </w:r>
      <w:r>
        <w:rPr>
          <w:spacing w:val="-16"/>
        </w:rPr>
        <w:t> </w:t>
      </w:r>
      <w:r>
        <w:rPr/>
        <w:t>ягід</w:t>
      </w:r>
      <w:r>
        <w:rPr>
          <w:spacing w:val="-16"/>
        </w:rPr>
        <w:t> </w:t>
      </w:r>
      <w:r>
        <w:rPr/>
        <w:t>(Кишмиш</w:t>
      </w:r>
      <w:r>
        <w:rPr>
          <w:spacing w:val="-18"/>
        </w:rPr>
        <w:t> </w:t>
      </w:r>
      <w:r>
        <w:rPr/>
        <w:t>лучистий),</w:t>
      </w:r>
    </w:p>
    <w:p>
      <w:pPr>
        <w:spacing w:after="0"/>
        <w:sectPr>
          <w:pgSz w:w="11910" w:h="16840"/>
          <w:pgMar w:header="713" w:footer="778" w:top="1140" w:bottom="960" w:left="940" w:right="520"/>
        </w:sectPr>
      </w:pPr>
    </w:p>
    <w:p>
      <w:pPr>
        <w:pStyle w:val="BodyText"/>
        <w:spacing w:before="92"/>
        <w:ind w:right="613"/>
      </w:pPr>
      <w:r>
        <w:rPr/>
        <w:t>щеплені на Р х Р 101-14. Виноградні насадження закладені в 2005 році на чорноземі південному (карбонатному) важкосуглинковому на лесі, у Фермерському господарстві «Джабурія» Овідіопольського </w:t>
      </w:r>
      <w:r>
        <w:rPr>
          <w:spacing w:val="4"/>
        </w:rPr>
        <w:t>р-ну </w:t>
      </w:r>
      <w:r>
        <w:rPr/>
        <w:t>Одеської області.</w:t>
      </w:r>
      <w:r>
        <w:rPr>
          <w:spacing w:val="-17"/>
        </w:rPr>
        <w:t> </w:t>
      </w:r>
      <w:r>
        <w:rPr/>
        <w:t>Площа</w:t>
      </w:r>
      <w:r>
        <w:rPr>
          <w:spacing w:val="-17"/>
        </w:rPr>
        <w:t> </w:t>
      </w:r>
      <w:r>
        <w:rPr/>
        <w:t>живлення</w:t>
      </w:r>
      <w:r>
        <w:rPr>
          <w:spacing w:val="-18"/>
        </w:rPr>
        <w:t> </w:t>
      </w:r>
      <w:r>
        <w:rPr/>
        <w:t>кущів</w:t>
      </w:r>
      <w:r>
        <w:rPr>
          <w:spacing w:val="-20"/>
        </w:rPr>
        <w:t> </w:t>
      </w:r>
      <w:r>
        <w:rPr/>
        <w:t>3</w:t>
      </w:r>
      <w:r>
        <w:rPr>
          <w:spacing w:val="-18"/>
        </w:rPr>
        <w:t> </w:t>
      </w:r>
      <w:r>
        <w:rPr/>
        <w:t>х</w:t>
      </w:r>
      <w:r>
        <w:rPr>
          <w:spacing w:val="-23"/>
        </w:rPr>
        <w:t> </w:t>
      </w:r>
      <w:r>
        <w:rPr/>
        <w:t>1,5</w:t>
      </w:r>
      <w:r>
        <w:rPr>
          <w:spacing w:val="-18"/>
        </w:rPr>
        <w:t> </w:t>
      </w:r>
      <w:r>
        <w:rPr/>
        <w:t>м,</w:t>
      </w:r>
      <w:r>
        <w:rPr>
          <w:spacing w:val="-21"/>
        </w:rPr>
        <w:t> </w:t>
      </w:r>
      <w:r>
        <w:rPr/>
        <w:t>формування</w:t>
      </w:r>
      <w:r>
        <w:rPr>
          <w:spacing w:val="-15"/>
        </w:rPr>
        <w:t> </w:t>
      </w:r>
      <w:r>
        <w:rPr/>
        <w:t>–</w:t>
      </w:r>
      <w:r>
        <w:rPr>
          <w:spacing w:val="-19"/>
        </w:rPr>
        <w:t> </w:t>
      </w:r>
      <w:r>
        <w:rPr/>
        <w:t>за</w:t>
      </w:r>
      <w:r>
        <w:rPr>
          <w:spacing w:val="-21"/>
        </w:rPr>
        <w:t> </w:t>
      </w:r>
      <w:r>
        <w:rPr/>
        <w:t>типом</w:t>
      </w:r>
      <w:r>
        <w:rPr>
          <w:spacing w:val="-17"/>
        </w:rPr>
        <w:t> </w:t>
      </w:r>
      <w:r>
        <w:rPr/>
        <w:t>двостороннього кордону з вертикальним веденням приросту на одноплощинній шпалері. Дослід закладений на зрошуваній ділянці. Напротязі трьох років досліджень, в період 2016-2018</w:t>
      </w:r>
      <w:r>
        <w:rPr>
          <w:spacing w:val="-17"/>
        </w:rPr>
        <w:t> </w:t>
      </w:r>
      <w:r>
        <w:rPr/>
        <w:t>років,</w:t>
      </w:r>
      <w:r>
        <w:rPr>
          <w:spacing w:val="-15"/>
        </w:rPr>
        <w:t> </w:t>
      </w:r>
      <w:r>
        <w:rPr/>
        <w:t>проводили</w:t>
      </w:r>
      <w:r>
        <w:rPr>
          <w:spacing w:val="-12"/>
        </w:rPr>
        <w:t> </w:t>
      </w:r>
      <w:r>
        <w:rPr/>
        <w:t>обробіток</w:t>
      </w:r>
      <w:r>
        <w:rPr>
          <w:spacing w:val="-18"/>
        </w:rPr>
        <w:t> </w:t>
      </w:r>
      <w:r>
        <w:rPr/>
        <w:t>суцвіть</w:t>
      </w:r>
      <w:r>
        <w:rPr>
          <w:spacing w:val="-18"/>
        </w:rPr>
        <w:t> </w:t>
      </w:r>
      <w:r>
        <w:rPr/>
        <w:t>розчинами</w:t>
      </w:r>
      <w:r>
        <w:rPr>
          <w:spacing w:val="-11"/>
        </w:rPr>
        <w:t> </w:t>
      </w:r>
      <w:r>
        <w:rPr>
          <w:spacing w:val="3"/>
        </w:rPr>
        <w:t>ГА</w:t>
      </w:r>
      <w:r>
        <w:rPr>
          <w:spacing w:val="-15"/>
        </w:rPr>
        <w:t> </w:t>
      </w:r>
      <w:r>
        <w:rPr/>
        <w:t>в</w:t>
      </w:r>
      <w:r>
        <w:rPr>
          <w:spacing w:val="-19"/>
        </w:rPr>
        <w:t> </w:t>
      </w:r>
      <w:r>
        <w:rPr/>
        <w:t>концентраціях</w:t>
      </w:r>
      <w:r>
        <w:rPr>
          <w:spacing w:val="-21"/>
        </w:rPr>
        <w:t> </w:t>
      </w:r>
      <w:r>
        <w:rPr/>
        <w:t>20, 40, 50 (еталон для сортів Флора та Талісман), 60, 80 і 100 мг діючої речовини на 1 л води (еталон для сорту Кишмиш лучистий). ГА застосовували наприкінці фази цвітіння винограду Для обробки використовували препарат ГА «Флоргіб» (Florgib tablet). Дослід закладено, зокрема час, дози та техніку застосування ГА на</w:t>
      </w:r>
      <w:r>
        <w:rPr>
          <w:spacing w:val="-16"/>
        </w:rPr>
        <w:t> </w:t>
      </w:r>
      <w:r>
        <w:rPr/>
        <w:t>винограді,</w:t>
      </w:r>
      <w:r>
        <w:rPr>
          <w:spacing w:val="-14"/>
        </w:rPr>
        <w:t> </w:t>
      </w:r>
      <w:r>
        <w:rPr/>
        <w:t>за</w:t>
      </w:r>
      <w:r>
        <w:rPr>
          <w:spacing w:val="-15"/>
        </w:rPr>
        <w:t> </w:t>
      </w:r>
      <w:r>
        <w:rPr/>
        <w:t>рекомендаціями</w:t>
      </w:r>
      <w:r>
        <w:rPr>
          <w:spacing w:val="-16"/>
        </w:rPr>
        <w:t> </w:t>
      </w:r>
      <w:r>
        <w:rPr/>
        <w:t>[2].</w:t>
      </w:r>
      <w:r>
        <w:rPr>
          <w:spacing w:val="-10"/>
        </w:rPr>
        <w:t> </w:t>
      </w:r>
      <w:r>
        <w:rPr>
          <w:spacing w:val="-3"/>
        </w:rPr>
        <w:t>На</w:t>
      </w:r>
      <w:r>
        <w:rPr>
          <w:spacing w:val="-16"/>
        </w:rPr>
        <w:t> </w:t>
      </w:r>
      <w:r>
        <w:rPr/>
        <w:t>контрольних</w:t>
      </w:r>
      <w:r>
        <w:rPr>
          <w:spacing w:val="-16"/>
        </w:rPr>
        <w:t> </w:t>
      </w:r>
      <w:r>
        <w:rPr/>
        <w:t>рослинах</w:t>
      </w:r>
      <w:r>
        <w:rPr>
          <w:spacing w:val="-21"/>
        </w:rPr>
        <w:t> </w:t>
      </w:r>
      <w:r>
        <w:rPr/>
        <w:t>обробіток</w:t>
      </w:r>
      <w:r>
        <w:rPr>
          <w:spacing w:val="-18"/>
        </w:rPr>
        <w:t> </w:t>
      </w:r>
      <w:r>
        <w:rPr/>
        <w:t>суцвіть проводили водою. </w:t>
      </w:r>
      <w:r>
        <w:rPr>
          <w:spacing w:val="-3"/>
        </w:rPr>
        <w:t>На </w:t>
      </w:r>
      <w:r>
        <w:rPr/>
        <w:t>дослідних ділянках в період фази достигання ягід винограду визначали продуктивність середніх кущів (кг врожаю з 1 куща) за методикою [20]. Розраховували врожайність насаджень способом множення продуктивності середніх кущів на їх номінальну (розрахункову) кількість на одиниці площі, відображали у т винограду з 1 га площі</w:t>
      </w:r>
      <w:r>
        <w:rPr>
          <w:spacing w:val="-51"/>
        </w:rPr>
        <w:t> </w:t>
      </w:r>
      <w:r>
        <w:rPr>
          <w:spacing w:val="-3"/>
        </w:rPr>
        <w:t>під </w:t>
      </w:r>
      <w:r>
        <w:rPr/>
        <w:t>насадженнями. Після фази листопаду, в період глибокого спокою рослин, визначали в однорічних пагонах вміст вуглеводів: розчинного цукру та крохмалю (% на абсолютно суху масу),</w:t>
      </w:r>
      <w:r>
        <w:rPr>
          <w:spacing w:val="-18"/>
        </w:rPr>
        <w:t> </w:t>
      </w:r>
      <w:r>
        <w:rPr/>
        <w:t>за</w:t>
      </w:r>
      <w:r>
        <w:rPr>
          <w:spacing w:val="-17"/>
        </w:rPr>
        <w:t> </w:t>
      </w:r>
      <w:r>
        <w:rPr/>
        <w:t>методикою</w:t>
      </w:r>
      <w:r>
        <w:rPr>
          <w:spacing w:val="-21"/>
        </w:rPr>
        <w:t> </w:t>
      </w:r>
      <w:r>
        <w:rPr/>
        <w:t>[21].</w:t>
      </w:r>
      <w:r>
        <w:rPr>
          <w:spacing w:val="-17"/>
        </w:rPr>
        <w:t> </w:t>
      </w:r>
      <w:r>
        <w:rPr/>
        <w:t>Достовірність</w:t>
      </w:r>
      <w:r>
        <w:rPr>
          <w:spacing w:val="-21"/>
        </w:rPr>
        <w:t> </w:t>
      </w:r>
      <w:r>
        <w:rPr/>
        <w:t>та</w:t>
      </w:r>
      <w:r>
        <w:rPr>
          <w:spacing w:val="-18"/>
        </w:rPr>
        <w:t> </w:t>
      </w:r>
      <w:r>
        <w:rPr/>
        <w:t>рівень</w:t>
      </w:r>
      <w:r>
        <w:rPr>
          <w:spacing w:val="-20"/>
        </w:rPr>
        <w:t> </w:t>
      </w:r>
      <w:r>
        <w:rPr/>
        <w:t>істотної</w:t>
      </w:r>
      <w:r>
        <w:rPr>
          <w:spacing w:val="-24"/>
        </w:rPr>
        <w:t> </w:t>
      </w:r>
      <w:r>
        <w:rPr/>
        <w:t>різниці</w:t>
      </w:r>
      <w:r>
        <w:rPr>
          <w:spacing w:val="-23"/>
        </w:rPr>
        <w:t> </w:t>
      </w:r>
      <w:r>
        <w:rPr/>
        <w:t>між</w:t>
      </w:r>
      <w:r>
        <w:rPr>
          <w:spacing w:val="-19"/>
        </w:rPr>
        <w:t> </w:t>
      </w:r>
      <w:r>
        <w:rPr/>
        <w:t>варіантами експериментальних даних визначали методом дисперсійного</w:t>
      </w:r>
      <w:r>
        <w:rPr>
          <w:spacing w:val="-12"/>
        </w:rPr>
        <w:t> </w:t>
      </w:r>
      <w:r>
        <w:rPr/>
        <w:t>аналізу.</w:t>
      </w:r>
    </w:p>
    <w:p>
      <w:pPr>
        <w:pStyle w:val="BodyText"/>
        <w:spacing w:before="3"/>
        <w:ind w:right="617" w:firstLine="710"/>
      </w:pPr>
      <w:r>
        <w:rPr>
          <w:b/>
        </w:rPr>
        <w:t>Результати</w:t>
      </w:r>
      <w:r>
        <w:rPr>
          <w:b/>
          <w:spacing w:val="-20"/>
        </w:rPr>
        <w:t> </w:t>
      </w:r>
      <w:r>
        <w:rPr>
          <w:b/>
        </w:rPr>
        <w:t>та</w:t>
      </w:r>
      <w:r>
        <w:rPr>
          <w:b/>
          <w:spacing w:val="-17"/>
        </w:rPr>
        <w:t> </w:t>
      </w:r>
      <w:r>
        <w:rPr>
          <w:b/>
        </w:rPr>
        <w:t>їх</w:t>
      </w:r>
      <w:r>
        <w:rPr>
          <w:b/>
          <w:spacing w:val="-17"/>
        </w:rPr>
        <w:t> </w:t>
      </w:r>
      <w:r>
        <w:rPr>
          <w:b/>
        </w:rPr>
        <w:t>обговорення.</w:t>
      </w:r>
      <w:r>
        <w:rPr>
          <w:b/>
          <w:spacing w:val="-11"/>
        </w:rPr>
        <w:t> </w:t>
      </w:r>
      <w:r>
        <w:rPr/>
        <w:t>Встановлено,</w:t>
      </w:r>
      <w:r>
        <w:rPr>
          <w:spacing w:val="-15"/>
        </w:rPr>
        <w:t> </w:t>
      </w:r>
      <w:r>
        <w:rPr/>
        <w:t>що</w:t>
      </w:r>
      <w:r>
        <w:rPr>
          <w:spacing w:val="-17"/>
        </w:rPr>
        <w:t> </w:t>
      </w:r>
      <w:r>
        <w:rPr/>
        <w:t>при</w:t>
      </w:r>
      <w:r>
        <w:rPr>
          <w:spacing w:val="-17"/>
        </w:rPr>
        <w:t> </w:t>
      </w:r>
      <w:r>
        <w:rPr/>
        <w:t>обробітку</w:t>
      </w:r>
      <w:r>
        <w:rPr>
          <w:spacing w:val="-17"/>
        </w:rPr>
        <w:t> </w:t>
      </w:r>
      <w:r>
        <w:rPr/>
        <w:t>суцвіть</w:t>
      </w:r>
      <w:r>
        <w:rPr>
          <w:spacing w:val="-19"/>
        </w:rPr>
        <w:t> </w:t>
      </w:r>
      <w:r>
        <w:rPr>
          <w:spacing w:val="3"/>
        </w:rPr>
        <w:t>ГА </w:t>
      </w:r>
      <w:r>
        <w:rPr/>
        <w:t>дослідних столових сортів з ознаками партенокарпії і стеноспермокарпії ягід, врожай винограду з середніх кущів зростає на 58 - 61% за рахунок значного збільшення розміру та маси ягід і грона, продуктивності кущів. Обробіток суцвіть </w:t>
      </w:r>
      <w:r>
        <w:rPr>
          <w:spacing w:val="3"/>
        </w:rPr>
        <w:t>ГА </w:t>
      </w:r>
      <w:r>
        <w:rPr/>
        <w:t>підвищує продуктивність кущів до певного рівню, який настає в нормі 50 мг/л на сортах Флора і Талісман, 80 мг/л – Кишмиш лучистий. Але, в таких</w:t>
      </w:r>
      <w:r>
        <w:rPr>
          <w:spacing w:val="-18"/>
        </w:rPr>
        <w:t> </w:t>
      </w:r>
      <w:r>
        <w:rPr/>
        <w:t>дозах</w:t>
      </w:r>
      <w:r>
        <w:rPr>
          <w:spacing w:val="-17"/>
        </w:rPr>
        <w:t> </w:t>
      </w:r>
      <w:r>
        <w:rPr/>
        <w:t>ГА</w:t>
      </w:r>
      <w:r>
        <w:rPr>
          <w:spacing w:val="-17"/>
        </w:rPr>
        <w:t> </w:t>
      </w:r>
      <w:r>
        <w:rPr/>
        <w:t>може</w:t>
      </w:r>
      <w:r>
        <w:rPr>
          <w:spacing w:val="-12"/>
        </w:rPr>
        <w:t> </w:t>
      </w:r>
      <w:r>
        <w:rPr/>
        <w:t>викликати</w:t>
      </w:r>
      <w:r>
        <w:rPr>
          <w:spacing w:val="-13"/>
        </w:rPr>
        <w:t> </w:t>
      </w:r>
      <w:r>
        <w:rPr/>
        <w:t>фізіологічні</w:t>
      </w:r>
      <w:r>
        <w:rPr>
          <w:spacing w:val="-17"/>
        </w:rPr>
        <w:t> </w:t>
      </w:r>
      <w:r>
        <w:rPr/>
        <w:t>ефекти,</w:t>
      </w:r>
      <w:r>
        <w:rPr>
          <w:spacing w:val="-11"/>
        </w:rPr>
        <w:t> </w:t>
      </w:r>
      <w:r>
        <w:rPr/>
        <w:t>що</w:t>
      </w:r>
      <w:r>
        <w:rPr>
          <w:spacing w:val="-13"/>
        </w:rPr>
        <w:t> </w:t>
      </w:r>
      <w:r>
        <w:rPr/>
        <w:t>призводять</w:t>
      </w:r>
      <w:r>
        <w:rPr>
          <w:spacing w:val="-15"/>
        </w:rPr>
        <w:t> </w:t>
      </w:r>
      <w:r>
        <w:rPr/>
        <w:t>до</w:t>
      </w:r>
      <w:r>
        <w:rPr>
          <w:spacing w:val="-13"/>
        </w:rPr>
        <w:t> </w:t>
      </w:r>
      <w:r>
        <w:rPr/>
        <w:t>зниження якості столового винограду. Зокрема, зменшувати показник складу грона, збільшувати</w:t>
      </w:r>
      <w:r>
        <w:rPr>
          <w:spacing w:val="-18"/>
        </w:rPr>
        <w:t> </w:t>
      </w:r>
      <w:r>
        <w:rPr/>
        <w:t>ефект</w:t>
      </w:r>
      <w:r>
        <w:rPr>
          <w:spacing w:val="-20"/>
        </w:rPr>
        <w:t> </w:t>
      </w:r>
      <w:r>
        <w:rPr/>
        <w:t>прояву</w:t>
      </w:r>
      <w:r>
        <w:rPr>
          <w:spacing w:val="-22"/>
        </w:rPr>
        <w:t> </w:t>
      </w:r>
      <w:r>
        <w:rPr/>
        <w:t>обсипання</w:t>
      </w:r>
      <w:r>
        <w:rPr>
          <w:spacing w:val="-17"/>
        </w:rPr>
        <w:t> </w:t>
      </w:r>
      <w:r>
        <w:rPr/>
        <w:t>ягід.</w:t>
      </w:r>
      <w:r>
        <w:rPr>
          <w:spacing w:val="-16"/>
        </w:rPr>
        <w:t> </w:t>
      </w:r>
      <w:r>
        <w:rPr/>
        <w:t>З</w:t>
      </w:r>
      <w:r>
        <w:rPr>
          <w:spacing w:val="-18"/>
        </w:rPr>
        <w:t> </w:t>
      </w:r>
      <w:r>
        <w:rPr/>
        <w:t>точки</w:t>
      </w:r>
      <w:r>
        <w:rPr>
          <w:spacing w:val="-17"/>
        </w:rPr>
        <w:t> </w:t>
      </w:r>
      <w:r>
        <w:rPr/>
        <w:t>зору</w:t>
      </w:r>
      <w:r>
        <w:rPr>
          <w:spacing w:val="-22"/>
        </w:rPr>
        <w:t> </w:t>
      </w:r>
      <w:r>
        <w:rPr/>
        <w:t>співвідношення</w:t>
      </w:r>
      <w:r>
        <w:rPr>
          <w:spacing w:val="-17"/>
        </w:rPr>
        <w:t> </w:t>
      </w:r>
      <w:r>
        <w:rPr/>
        <w:t>кількості та якості врожаю винограду нами запропонована раціональна доза </w:t>
      </w:r>
      <w:r>
        <w:rPr>
          <w:spacing w:val="3"/>
        </w:rPr>
        <w:t>ГА </w:t>
      </w:r>
      <w:r>
        <w:rPr/>
        <w:t>– 40 мг/л для дослідних сортів незалежно </w:t>
      </w:r>
      <w:r>
        <w:rPr>
          <w:spacing w:val="-3"/>
        </w:rPr>
        <w:t>від </w:t>
      </w:r>
      <w:r>
        <w:rPr/>
        <w:t>біологічних особливостей [16, 22, 23]. Врожайність винограду при обробітку суцвіть раціональною дозою ГА була вище в порівнянні з контролем протягом трьох років досліджень, в середньому на 58% на сорті Флора, 48% - на Талісман, 61% - Кишмиш лучистий. Розрахункова врожайність на сорті Флора склала 9,33 т/га в порівнянні з контролем який склав 5,33т/га, Талісман - 17,33 т/га, а контроль – 12,44т/га, Кишмиш лучистий - 8,67 т/га тоді як контроль склав 6,22 т/га, відповідно (рис. 1). Збільшення розмірів та маси ягід винограду у сортів з ознаками безнасінних плодів пояснюється наступним. Даній групі столових сортів притаманна певна для партенокарпичних або суцільна кількість дрібних ягід для стеноспермокарпичних плодів, в яких відсутнє насіння. Загальноприйнятим є розуміння, що насіння відповідає за біосинтез фітогормону – гібереліну, </w:t>
      </w:r>
      <w:r>
        <w:rPr>
          <w:spacing w:val="-3"/>
        </w:rPr>
        <w:t>під </w:t>
      </w:r>
      <w:r>
        <w:rPr/>
        <w:t>впливом</w:t>
      </w:r>
      <w:r>
        <w:rPr>
          <w:spacing w:val="14"/>
        </w:rPr>
        <w:t> </w:t>
      </w:r>
      <w:r>
        <w:rPr/>
        <w:t>якого</w:t>
      </w:r>
      <w:r>
        <w:rPr>
          <w:spacing w:val="14"/>
        </w:rPr>
        <w:t> </w:t>
      </w:r>
      <w:r>
        <w:rPr/>
        <w:t>відбувається</w:t>
      </w:r>
      <w:r>
        <w:rPr>
          <w:spacing w:val="15"/>
        </w:rPr>
        <w:t> </w:t>
      </w:r>
      <w:r>
        <w:rPr/>
        <w:t>ріст</w:t>
      </w:r>
      <w:r>
        <w:rPr>
          <w:spacing w:val="12"/>
        </w:rPr>
        <w:t> </w:t>
      </w:r>
      <w:r>
        <w:rPr/>
        <w:t>і</w:t>
      </w:r>
      <w:r>
        <w:rPr>
          <w:spacing w:val="9"/>
        </w:rPr>
        <w:t> </w:t>
      </w:r>
      <w:r>
        <w:rPr/>
        <w:t>розвиток</w:t>
      </w:r>
      <w:r>
        <w:rPr>
          <w:spacing w:val="13"/>
        </w:rPr>
        <w:t> </w:t>
      </w:r>
      <w:r>
        <w:rPr/>
        <w:t>плодів.</w:t>
      </w:r>
      <w:r>
        <w:rPr>
          <w:spacing w:val="15"/>
        </w:rPr>
        <w:t> </w:t>
      </w:r>
      <w:r>
        <w:rPr/>
        <w:t>Компенсація</w:t>
      </w:r>
      <w:r>
        <w:rPr>
          <w:spacing w:val="15"/>
        </w:rPr>
        <w:t> </w:t>
      </w:r>
      <w:r>
        <w:rPr/>
        <w:t>цієї</w:t>
      </w:r>
      <w:r>
        <w:rPr>
          <w:spacing w:val="9"/>
        </w:rPr>
        <w:t> </w:t>
      </w:r>
      <w:r>
        <w:rPr/>
        <w:t>природної</w:t>
      </w:r>
    </w:p>
    <w:p>
      <w:pPr>
        <w:spacing w:after="0"/>
        <w:sectPr>
          <w:pgSz w:w="11910" w:h="16840"/>
          <w:pgMar w:header="713" w:footer="778" w:top="1140" w:bottom="960" w:left="940" w:right="520"/>
        </w:sectPr>
      </w:pPr>
    </w:p>
    <w:p>
      <w:pPr>
        <w:pStyle w:val="BodyText"/>
        <w:spacing w:before="92" w:after="8"/>
        <w:ind w:right="620"/>
      </w:pPr>
      <w:r>
        <w:rPr/>
        <w:t>нестачі екзогенним ГА приводить до значного збільшення розміру та маси ягід безнасінних сортів. З практики добре відомо, що в роки, коли кущі рясно плодоносять, пагони ростуть слабо та погано визрівають. Як результат зимостійкість рослин нижча, ніж тих у яких пагони добре визріли. Для збереження сили росту кущів та нормального розвитку у річному циклі продуктивність рослин повинна відповідати біологічному потенціалу рослин. Cорти з великими гронами при довгій обрізці (при слабо розвинених пагонах) дають врожай лише раз на два роки.</w:t>
      </w:r>
    </w:p>
    <w:p>
      <w:pPr>
        <w:pStyle w:val="BodyText"/>
        <w:ind w:left="1245"/>
        <w:jc w:val="left"/>
        <w:rPr>
          <w:sz w:val="20"/>
        </w:rPr>
      </w:pPr>
      <w:r>
        <w:rPr>
          <w:sz w:val="20"/>
        </w:rPr>
        <w:drawing>
          <wp:inline distT="0" distB="0" distL="0" distR="0">
            <wp:extent cx="4796005" cy="3103245"/>
            <wp:effectExtent l="0" t="0" r="0" b="0"/>
            <wp:docPr id="7" name="image8.png"/>
            <wp:cNvGraphicFramePr>
              <a:graphicFrameLocks noChangeAspect="1"/>
            </wp:cNvGraphicFramePr>
            <a:graphic>
              <a:graphicData uri="http://schemas.openxmlformats.org/drawingml/2006/picture">
                <pic:pic>
                  <pic:nvPicPr>
                    <pic:cNvPr id="8" name="image8.png"/>
                    <pic:cNvPicPr/>
                  </pic:nvPicPr>
                  <pic:blipFill>
                    <a:blip r:embed="rId50" cstate="print"/>
                    <a:stretch>
                      <a:fillRect/>
                    </a:stretch>
                  </pic:blipFill>
                  <pic:spPr>
                    <a:xfrm>
                      <a:off x="0" y="0"/>
                      <a:ext cx="4796005" cy="3103245"/>
                    </a:xfrm>
                    <a:prstGeom prst="rect">
                      <a:avLst/>
                    </a:prstGeom>
                  </pic:spPr>
                </pic:pic>
              </a:graphicData>
            </a:graphic>
          </wp:inline>
        </w:drawing>
      </w:r>
      <w:r>
        <w:rPr>
          <w:sz w:val="20"/>
        </w:rPr>
      </w:r>
    </w:p>
    <w:p>
      <w:pPr>
        <w:pStyle w:val="BodyText"/>
        <w:spacing w:line="321" w:lineRule="exact"/>
        <w:ind w:left="903"/>
        <w:jc w:val="left"/>
      </w:pPr>
      <w:r>
        <w:rPr/>
        <w:t>Рис. 1. Вплив гібереліну (ГА) на врожайність столових сортів винограду, т</w:t>
      </w:r>
    </w:p>
    <w:p>
      <w:pPr>
        <w:spacing w:before="0"/>
        <w:ind w:left="193" w:right="0" w:firstLine="0"/>
        <w:jc w:val="both"/>
        <w:rPr>
          <w:i/>
          <w:sz w:val="28"/>
        </w:rPr>
      </w:pPr>
      <w:r>
        <w:rPr>
          <w:sz w:val="28"/>
        </w:rPr>
        <w:t>/ 1 га площі під насадженнями. </w:t>
      </w:r>
      <w:r>
        <w:rPr>
          <w:i/>
          <w:sz w:val="28"/>
        </w:rPr>
        <w:t>ФГ «Джабурія», в середньому за 2016-2018 рр.</w:t>
      </w:r>
    </w:p>
    <w:p>
      <w:pPr>
        <w:pStyle w:val="BodyText"/>
        <w:spacing w:before="10"/>
        <w:ind w:left="0"/>
        <w:jc w:val="left"/>
        <w:rPr>
          <w:i/>
          <w:sz w:val="27"/>
        </w:rPr>
      </w:pPr>
    </w:p>
    <w:p>
      <w:pPr>
        <w:pStyle w:val="BodyText"/>
        <w:spacing w:before="1"/>
        <w:ind w:right="614" w:firstLine="710"/>
      </w:pPr>
      <w:r>
        <w:rPr/>
        <w:t>В рік підвищеної продуктивності рослин повільно проходить закладка та диференціація</w:t>
      </w:r>
      <w:r>
        <w:rPr>
          <w:spacing w:val="-9"/>
        </w:rPr>
        <w:t> </w:t>
      </w:r>
      <w:r>
        <w:rPr/>
        <w:t>у</w:t>
      </w:r>
      <w:r>
        <w:rPr>
          <w:spacing w:val="-18"/>
        </w:rPr>
        <w:t> </w:t>
      </w:r>
      <w:r>
        <w:rPr/>
        <w:t>бруньках</w:t>
      </w:r>
      <w:r>
        <w:rPr>
          <w:spacing w:val="-19"/>
        </w:rPr>
        <w:t> </w:t>
      </w:r>
      <w:r>
        <w:rPr/>
        <w:t>суцвіть</w:t>
      </w:r>
      <w:r>
        <w:rPr>
          <w:spacing w:val="-16"/>
        </w:rPr>
        <w:t> </w:t>
      </w:r>
      <w:r>
        <w:rPr/>
        <w:t>під</w:t>
      </w:r>
      <w:r>
        <w:rPr>
          <w:spacing w:val="-12"/>
        </w:rPr>
        <w:t> </w:t>
      </w:r>
      <w:r>
        <w:rPr/>
        <w:t>врожай</w:t>
      </w:r>
      <w:r>
        <w:rPr>
          <w:spacing w:val="-7"/>
        </w:rPr>
        <w:t> </w:t>
      </w:r>
      <w:r>
        <w:rPr/>
        <w:t>наступного</w:t>
      </w:r>
      <w:r>
        <w:rPr>
          <w:spacing w:val="-13"/>
        </w:rPr>
        <w:t> </w:t>
      </w:r>
      <w:r>
        <w:rPr/>
        <w:t>року</w:t>
      </w:r>
      <w:r>
        <w:rPr>
          <w:spacing w:val="-19"/>
        </w:rPr>
        <w:t> </w:t>
      </w:r>
      <w:r>
        <w:rPr/>
        <w:t>[24].</w:t>
      </w:r>
      <w:r>
        <w:rPr>
          <w:spacing w:val="-12"/>
        </w:rPr>
        <w:t> </w:t>
      </w:r>
      <w:r>
        <w:rPr/>
        <w:t>Дослідження з</w:t>
      </w:r>
      <w:r>
        <w:rPr>
          <w:spacing w:val="-6"/>
        </w:rPr>
        <w:t> </w:t>
      </w:r>
      <w:r>
        <w:rPr/>
        <w:t>впливу</w:t>
      </w:r>
      <w:r>
        <w:rPr>
          <w:spacing w:val="-5"/>
        </w:rPr>
        <w:t> </w:t>
      </w:r>
      <w:r>
        <w:rPr/>
        <w:t>рівня</w:t>
      </w:r>
      <w:r>
        <w:rPr>
          <w:spacing w:val="-4"/>
        </w:rPr>
        <w:t> </w:t>
      </w:r>
      <w:r>
        <w:rPr/>
        <w:t>продуктивності</w:t>
      </w:r>
      <w:r>
        <w:rPr>
          <w:spacing w:val="-11"/>
        </w:rPr>
        <w:t> </w:t>
      </w:r>
      <w:r>
        <w:rPr/>
        <w:t>рослин</w:t>
      </w:r>
      <w:r>
        <w:rPr>
          <w:spacing w:val="-7"/>
        </w:rPr>
        <w:t> </w:t>
      </w:r>
      <w:r>
        <w:rPr/>
        <w:t>на вміст</w:t>
      </w:r>
      <w:r>
        <w:rPr>
          <w:spacing w:val="-7"/>
        </w:rPr>
        <w:t> </w:t>
      </w:r>
      <w:r>
        <w:rPr/>
        <w:t>вуглеводів</w:t>
      </w:r>
      <w:r>
        <w:rPr>
          <w:spacing w:val="-3"/>
        </w:rPr>
        <w:t> </w:t>
      </w:r>
      <w:r>
        <w:rPr/>
        <w:t>і</w:t>
      </w:r>
      <w:r>
        <w:rPr>
          <w:spacing w:val="-11"/>
        </w:rPr>
        <w:t> </w:t>
      </w:r>
      <w:r>
        <w:rPr/>
        <w:t>деякі</w:t>
      </w:r>
      <w:r>
        <w:rPr>
          <w:spacing w:val="-6"/>
        </w:rPr>
        <w:t> </w:t>
      </w:r>
      <w:r>
        <w:rPr/>
        <w:t>інші</w:t>
      </w:r>
      <w:r>
        <w:rPr>
          <w:spacing w:val="-11"/>
        </w:rPr>
        <w:t> </w:t>
      </w:r>
      <w:r>
        <w:rPr/>
        <w:t>фізіолого- біохімічні процеси виноградної лози показали, що перенавантаження рослин врожаєм суттєво знижує вміст вуглеводів, зокрема, сахарози і крохмалю в однорічних</w:t>
      </w:r>
      <w:r>
        <w:rPr>
          <w:spacing w:val="-8"/>
        </w:rPr>
        <w:t> </w:t>
      </w:r>
      <w:r>
        <w:rPr/>
        <w:t>пагонах</w:t>
      </w:r>
      <w:r>
        <w:rPr>
          <w:spacing w:val="-13"/>
        </w:rPr>
        <w:t> </w:t>
      </w:r>
      <w:r>
        <w:rPr/>
        <w:t>[25].</w:t>
      </w:r>
      <w:r>
        <w:rPr>
          <w:spacing w:val="-6"/>
        </w:rPr>
        <w:t> </w:t>
      </w:r>
      <w:r>
        <w:rPr/>
        <w:t>У</w:t>
      </w:r>
      <w:r>
        <w:rPr>
          <w:spacing w:val="-8"/>
        </w:rPr>
        <w:t> </w:t>
      </w:r>
      <w:r>
        <w:rPr/>
        <w:t>випадку</w:t>
      </w:r>
      <w:r>
        <w:rPr>
          <w:spacing w:val="-13"/>
        </w:rPr>
        <w:t> </w:t>
      </w:r>
      <w:r>
        <w:rPr/>
        <w:t>коли</w:t>
      </w:r>
      <w:r>
        <w:rPr>
          <w:spacing w:val="-7"/>
        </w:rPr>
        <w:t> </w:t>
      </w:r>
      <w:r>
        <w:rPr/>
        <w:t>саморегулювання</w:t>
      </w:r>
      <w:r>
        <w:rPr>
          <w:spacing w:val="-7"/>
        </w:rPr>
        <w:t> </w:t>
      </w:r>
      <w:r>
        <w:rPr/>
        <w:t>суцвіть</w:t>
      </w:r>
      <w:r>
        <w:rPr>
          <w:spacing w:val="-11"/>
        </w:rPr>
        <w:t> </w:t>
      </w:r>
      <w:r>
        <w:rPr/>
        <w:t>відбувається слабо, тобто функція плодоношення виявляється стійкою, збільшення продуктивності куща понад оптимального рівня приводить до «трагічних» для рослини результатів (загибелі)</w:t>
      </w:r>
      <w:r>
        <w:rPr>
          <w:spacing w:val="-1"/>
        </w:rPr>
        <w:t> </w:t>
      </w:r>
      <w:r>
        <w:rPr/>
        <w:t>[20].</w:t>
      </w:r>
    </w:p>
    <w:p>
      <w:pPr>
        <w:pStyle w:val="BodyText"/>
        <w:ind w:right="619" w:firstLine="782"/>
      </w:pPr>
      <w:r>
        <w:rPr/>
        <w:t>Наведений короткий огляд спостережень та досліджень впливу рівню продуктивності</w:t>
      </w:r>
      <w:r>
        <w:rPr>
          <w:spacing w:val="-20"/>
        </w:rPr>
        <w:t> </w:t>
      </w:r>
      <w:r>
        <w:rPr/>
        <w:t>на</w:t>
      </w:r>
      <w:r>
        <w:rPr>
          <w:spacing w:val="-14"/>
        </w:rPr>
        <w:t> </w:t>
      </w:r>
      <w:r>
        <w:rPr/>
        <w:t>стан</w:t>
      </w:r>
      <w:r>
        <w:rPr>
          <w:spacing w:val="-15"/>
        </w:rPr>
        <w:t> </w:t>
      </w:r>
      <w:r>
        <w:rPr/>
        <w:t>кущів</w:t>
      </w:r>
      <w:r>
        <w:rPr>
          <w:spacing w:val="-18"/>
        </w:rPr>
        <w:t> </w:t>
      </w:r>
      <w:r>
        <w:rPr/>
        <w:t>показує,</w:t>
      </w:r>
      <w:r>
        <w:rPr>
          <w:spacing w:val="-12"/>
        </w:rPr>
        <w:t> </w:t>
      </w:r>
      <w:r>
        <w:rPr/>
        <w:t>що</w:t>
      </w:r>
      <w:r>
        <w:rPr>
          <w:spacing w:val="-15"/>
        </w:rPr>
        <w:t> </w:t>
      </w:r>
      <w:r>
        <w:rPr/>
        <w:t>технологічні</w:t>
      </w:r>
      <w:r>
        <w:rPr>
          <w:spacing w:val="-20"/>
        </w:rPr>
        <w:t> </w:t>
      </w:r>
      <w:r>
        <w:rPr/>
        <w:t>прийоми,</w:t>
      </w:r>
      <w:r>
        <w:rPr>
          <w:spacing w:val="-13"/>
        </w:rPr>
        <w:t> </w:t>
      </w:r>
      <w:r>
        <w:rPr/>
        <w:t>які</w:t>
      </w:r>
      <w:r>
        <w:rPr>
          <w:spacing w:val="-20"/>
        </w:rPr>
        <w:t> </w:t>
      </w:r>
      <w:r>
        <w:rPr/>
        <w:t>збільшують врожай можуть пригнічувати процеси нормального розвитку рослин у річному циклі. Проведені нами аналізи показали, що підвищення продуктивності кущів після обробітку суцвіть розчином ГА не мало негативного впливу на вміст вуглеводів в однорічних пагонах дослідних сортів</w:t>
      </w:r>
      <w:r>
        <w:rPr>
          <w:spacing w:val="-16"/>
        </w:rPr>
        <w:t> </w:t>
      </w:r>
      <w:r>
        <w:rPr/>
        <w:t>винограду.</w:t>
      </w:r>
    </w:p>
    <w:p>
      <w:pPr>
        <w:pStyle w:val="BodyText"/>
        <w:ind w:right="621" w:firstLine="782"/>
      </w:pPr>
      <w:r>
        <w:rPr/>
        <w:t>Так,</w:t>
      </w:r>
      <w:r>
        <w:rPr>
          <w:spacing w:val="-5"/>
        </w:rPr>
        <w:t> </w:t>
      </w:r>
      <w:r>
        <w:rPr/>
        <w:t>на</w:t>
      </w:r>
      <w:r>
        <w:rPr>
          <w:spacing w:val="-6"/>
        </w:rPr>
        <w:t> </w:t>
      </w:r>
      <w:r>
        <w:rPr/>
        <w:t>сорті</w:t>
      </w:r>
      <w:r>
        <w:rPr>
          <w:spacing w:val="-12"/>
        </w:rPr>
        <w:t> </w:t>
      </w:r>
      <w:r>
        <w:rPr/>
        <w:t>Флора</w:t>
      </w:r>
      <w:r>
        <w:rPr>
          <w:spacing w:val="-6"/>
        </w:rPr>
        <w:t> </w:t>
      </w:r>
      <w:r>
        <w:rPr/>
        <w:t>сума</w:t>
      </w:r>
      <w:r>
        <w:rPr>
          <w:spacing w:val="-1"/>
        </w:rPr>
        <w:t> </w:t>
      </w:r>
      <w:r>
        <w:rPr/>
        <w:t>вуглеводів</w:t>
      </w:r>
      <w:r>
        <w:rPr>
          <w:spacing w:val="-10"/>
        </w:rPr>
        <w:t> </w:t>
      </w:r>
      <w:r>
        <w:rPr/>
        <w:t>була</w:t>
      </w:r>
      <w:r>
        <w:rPr>
          <w:spacing w:val="-6"/>
        </w:rPr>
        <w:t> </w:t>
      </w:r>
      <w:r>
        <w:rPr/>
        <w:t>більшою</w:t>
      </w:r>
      <w:r>
        <w:rPr>
          <w:spacing w:val="-8"/>
        </w:rPr>
        <w:t> </w:t>
      </w:r>
      <w:r>
        <w:rPr/>
        <w:t>на</w:t>
      </w:r>
      <w:r>
        <w:rPr>
          <w:spacing w:val="-7"/>
        </w:rPr>
        <w:t> </w:t>
      </w:r>
      <w:r>
        <w:rPr/>
        <w:t>дослідному</w:t>
      </w:r>
      <w:r>
        <w:rPr>
          <w:spacing w:val="-6"/>
        </w:rPr>
        <w:t> </w:t>
      </w:r>
      <w:r>
        <w:rPr/>
        <w:t>варіанті (14,8%) ніж в контрольному (13,3%). Аналогічні результати відмічаються у сортів Талісман (14,6% та 12,8%) і Кишмиш лучистий (14,7% та</w:t>
      </w:r>
      <w:r>
        <w:rPr>
          <w:spacing w:val="44"/>
        </w:rPr>
        <w:t> </w:t>
      </w:r>
      <w:r>
        <w:rPr/>
        <w:t>11,8%).</w:t>
      </w:r>
    </w:p>
    <w:p>
      <w:pPr>
        <w:spacing w:after="0"/>
        <w:sectPr>
          <w:pgSz w:w="11910" w:h="16840"/>
          <w:pgMar w:header="713" w:footer="778" w:top="1140" w:bottom="960" w:left="940" w:right="520"/>
        </w:sectPr>
      </w:pPr>
    </w:p>
    <w:p>
      <w:pPr>
        <w:pStyle w:val="BodyText"/>
        <w:spacing w:before="92" w:after="8"/>
        <w:ind w:right="619"/>
      </w:pPr>
      <w:r>
        <w:rPr/>
        <w:t>Сумарний вміст вуглеводів був більше, ніж 12% та характеризував лозу дослідних варіантів як задовільно визрілу, незалежно від варіантів досліду. У осінній період, після фази листопаду, але до початку стійкого зниження температури, добре визрівання однорічних пагонів винограду вважається при вмісту в них розчинних цукрів від 2 до 6%, крохмалю 8-10% [26]. Таке співвідношення цукрів до крохмалю характерне для рослин на стадії глибокого спокою рослин. Протягом зимового періоду чим інтенсивніше йде перехід від складних (крохмалю) до простих (цукрів) вуглеводів, тим вище концентрація клітинного соку та зимостійкість рослин, особливо у періоди заморозків, морозів.</w:t>
      </w:r>
    </w:p>
    <w:p>
      <w:pPr>
        <w:pStyle w:val="BodyText"/>
        <w:ind w:left="1380"/>
        <w:jc w:val="left"/>
        <w:rPr>
          <w:sz w:val="20"/>
        </w:rPr>
      </w:pPr>
      <w:r>
        <w:rPr>
          <w:sz w:val="20"/>
        </w:rPr>
        <w:drawing>
          <wp:inline distT="0" distB="0" distL="0" distR="0">
            <wp:extent cx="4582983" cy="3296412"/>
            <wp:effectExtent l="0" t="0" r="0" b="0"/>
            <wp:docPr id="9" name="image9.png"/>
            <wp:cNvGraphicFramePr>
              <a:graphicFrameLocks noChangeAspect="1"/>
            </wp:cNvGraphicFramePr>
            <a:graphic>
              <a:graphicData uri="http://schemas.openxmlformats.org/drawingml/2006/picture">
                <pic:pic>
                  <pic:nvPicPr>
                    <pic:cNvPr id="10" name="image9.png"/>
                    <pic:cNvPicPr/>
                  </pic:nvPicPr>
                  <pic:blipFill>
                    <a:blip r:embed="rId51" cstate="print"/>
                    <a:stretch>
                      <a:fillRect/>
                    </a:stretch>
                  </pic:blipFill>
                  <pic:spPr>
                    <a:xfrm>
                      <a:off x="0" y="0"/>
                      <a:ext cx="4582983" cy="3296412"/>
                    </a:xfrm>
                    <a:prstGeom prst="rect">
                      <a:avLst/>
                    </a:prstGeom>
                  </pic:spPr>
                </pic:pic>
              </a:graphicData>
            </a:graphic>
          </wp:inline>
        </w:drawing>
      </w:r>
      <w:r>
        <w:rPr>
          <w:sz w:val="20"/>
        </w:rPr>
      </w:r>
    </w:p>
    <w:p>
      <w:pPr>
        <w:pStyle w:val="BodyText"/>
        <w:spacing w:line="242" w:lineRule="auto" w:before="21"/>
        <w:ind w:right="617" w:firstLine="710"/>
        <w:rPr>
          <w:i/>
        </w:rPr>
      </w:pPr>
      <w:r>
        <w:rPr/>
        <w:t>Рис. 2. Вплив гібереліну (ГА) на вміст вуглеводів в однорічних пагонах столових сортів винограду, % у перерахунку на абсолютно суху масу.</w:t>
      </w:r>
      <w:r>
        <w:rPr>
          <w:spacing w:val="64"/>
        </w:rPr>
        <w:t> </w:t>
      </w:r>
      <w:r>
        <w:rPr>
          <w:i/>
        </w:rPr>
        <w:t>ФГ</w:t>
      </w:r>
    </w:p>
    <w:p>
      <w:pPr>
        <w:spacing w:line="320" w:lineRule="exact" w:before="0"/>
        <w:ind w:left="193" w:right="0" w:firstLine="0"/>
        <w:jc w:val="both"/>
        <w:rPr>
          <w:i/>
          <w:sz w:val="28"/>
        </w:rPr>
      </w:pPr>
      <w:r>
        <w:rPr>
          <w:i/>
          <w:sz w:val="28"/>
        </w:rPr>
        <w:t>«Джабурія», в середньому за 2016-2018 рр.</w:t>
      </w:r>
    </w:p>
    <w:p>
      <w:pPr>
        <w:pStyle w:val="BodyText"/>
        <w:spacing w:before="11"/>
        <w:ind w:left="0"/>
        <w:jc w:val="left"/>
        <w:rPr>
          <w:i/>
          <w:sz w:val="27"/>
        </w:rPr>
      </w:pPr>
    </w:p>
    <w:p>
      <w:pPr>
        <w:pStyle w:val="BodyText"/>
        <w:ind w:right="613" w:firstLine="710"/>
      </w:pPr>
      <w:r>
        <w:rPr/>
        <w:t>Зразки проаналізованих пагонів в середньому за 3 роки досліджень характеризувались високим рівнем вмісту цукрів з несуттєвою різницею між варіантами досліду. На сорті Талісман він був найменшим 4,7-5,3%, на сорті Флора - 6,1-6,7%, на сорті Кишмиш лучистий - 5,1-7,3%.</w:t>
      </w:r>
    </w:p>
    <w:p>
      <w:pPr>
        <w:pStyle w:val="BodyText"/>
        <w:ind w:right="617" w:firstLine="710"/>
      </w:pPr>
      <w:r>
        <w:rPr/>
        <w:t>Вміст крохмалю низький на сорті Кишмиш лучистий дорівнює 6,7-7,4%. </w:t>
      </w:r>
      <w:r>
        <w:rPr>
          <w:spacing w:val="-3"/>
        </w:rPr>
        <w:t>На </w:t>
      </w:r>
      <w:r>
        <w:rPr/>
        <w:t>двох інших сортах накопичення крохмалю було вище Флора (7,2-8,1%), Талісман (8,1-9,3%), незалежно від варіантів досліду (рис. 2). Накопичення вуглеводів йде інтенсивніше на сортах з раннім строком достигання ягід (Флора та</w:t>
      </w:r>
      <w:r>
        <w:rPr>
          <w:spacing w:val="-10"/>
        </w:rPr>
        <w:t> </w:t>
      </w:r>
      <w:r>
        <w:rPr/>
        <w:t>Талісман),</w:t>
      </w:r>
      <w:r>
        <w:rPr>
          <w:spacing w:val="-9"/>
        </w:rPr>
        <w:t> </w:t>
      </w:r>
      <w:r>
        <w:rPr/>
        <w:t>ніж</w:t>
      </w:r>
      <w:r>
        <w:rPr>
          <w:spacing w:val="-11"/>
        </w:rPr>
        <w:t> </w:t>
      </w:r>
      <w:r>
        <w:rPr/>
        <w:t>середньостиглому</w:t>
      </w:r>
      <w:r>
        <w:rPr>
          <w:spacing w:val="-15"/>
        </w:rPr>
        <w:t> </w:t>
      </w:r>
      <w:r>
        <w:rPr/>
        <w:t>сорті</w:t>
      </w:r>
      <w:r>
        <w:rPr>
          <w:spacing w:val="-15"/>
        </w:rPr>
        <w:t> </w:t>
      </w:r>
      <w:r>
        <w:rPr/>
        <w:t>(Кишмиш</w:t>
      </w:r>
      <w:r>
        <w:rPr>
          <w:spacing w:val="-9"/>
        </w:rPr>
        <w:t> </w:t>
      </w:r>
      <w:r>
        <w:rPr/>
        <w:t>лучистий).</w:t>
      </w:r>
      <w:r>
        <w:rPr>
          <w:spacing w:val="-8"/>
        </w:rPr>
        <w:t> </w:t>
      </w:r>
      <w:r>
        <w:rPr/>
        <w:t>Очевидно,</w:t>
      </w:r>
      <w:r>
        <w:rPr>
          <w:spacing w:val="-8"/>
        </w:rPr>
        <w:t> </w:t>
      </w:r>
      <w:r>
        <w:rPr/>
        <w:t>що</w:t>
      </w:r>
      <w:r>
        <w:rPr>
          <w:spacing w:val="-10"/>
        </w:rPr>
        <w:t> </w:t>
      </w:r>
      <w:r>
        <w:rPr/>
        <w:t>на вміст</w:t>
      </w:r>
      <w:r>
        <w:rPr>
          <w:spacing w:val="-11"/>
        </w:rPr>
        <w:t> </w:t>
      </w:r>
      <w:r>
        <w:rPr/>
        <w:t>вуглеводів</w:t>
      </w:r>
      <w:r>
        <w:rPr>
          <w:spacing w:val="-12"/>
        </w:rPr>
        <w:t> </w:t>
      </w:r>
      <w:r>
        <w:rPr/>
        <w:t>в</w:t>
      </w:r>
      <w:r>
        <w:rPr>
          <w:spacing w:val="-10"/>
        </w:rPr>
        <w:t> </w:t>
      </w:r>
      <w:r>
        <w:rPr/>
        <w:t>однорічних</w:t>
      </w:r>
      <w:r>
        <w:rPr>
          <w:spacing w:val="-14"/>
        </w:rPr>
        <w:t> </w:t>
      </w:r>
      <w:r>
        <w:rPr/>
        <w:t>пагонах</w:t>
      </w:r>
      <w:r>
        <w:rPr>
          <w:spacing w:val="-13"/>
        </w:rPr>
        <w:t> </w:t>
      </w:r>
      <w:r>
        <w:rPr/>
        <w:t>сильний</w:t>
      </w:r>
      <w:r>
        <w:rPr>
          <w:spacing w:val="-9"/>
        </w:rPr>
        <w:t> </w:t>
      </w:r>
      <w:r>
        <w:rPr/>
        <w:t>вплив</w:t>
      </w:r>
      <w:r>
        <w:rPr>
          <w:spacing w:val="-11"/>
        </w:rPr>
        <w:t> </w:t>
      </w:r>
      <w:r>
        <w:rPr/>
        <w:t>має</w:t>
      </w:r>
      <w:r>
        <w:rPr>
          <w:spacing w:val="-9"/>
        </w:rPr>
        <w:t> </w:t>
      </w:r>
      <w:r>
        <w:rPr/>
        <w:t>тривалість</w:t>
      </w:r>
      <w:r>
        <w:rPr>
          <w:spacing w:val="-11"/>
        </w:rPr>
        <w:t> </w:t>
      </w:r>
      <w:r>
        <w:rPr/>
        <w:t>періоду</w:t>
      </w:r>
      <w:r>
        <w:rPr>
          <w:spacing w:val="-14"/>
        </w:rPr>
        <w:t> </w:t>
      </w:r>
      <w:r>
        <w:rPr/>
        <w:t>від збору врожаю до листопаду. Після збирання винограду листя продовжують синтезувати асимілятивні сполуки, які акумулюються у деревині. Підвищення продуктивності кущів дослідних столових сортів винограду після застосування екзогенного</w:t>
      </w:r>
      <w:r>
        <w:rPr>
          <w:spacing w:val="18"/>
        </w:rPr>
        <w:t> </w:t>
      </w:r>
      <w:r>
        <w:rPr/>
        <w:t>ГА</w:t>
      </w:r>
      <w:r>
        <w:rPr>
          <w:spacing w:val="15"/>
        </w:rPr>
        <w:t> </w:t>
      </w:r>
      <w:r>
        <w:rPr/>
        <w:t>суттєво</w:t>
      </w:r>
      <w:r>
        <w:rPr>
          <w:spacing w:val="18"/>
        </w:rPr>
        <w:t> </w:t>
      </w:r>
      <w:r>
        <w:rPr/>
        <w:t>не</w:t>
      </w:r>
      <w:r>
        <w:rPr>
          <w:spacing w:val="18"/>
        </w:rPr>
        <w:t> </w:t>
      </w:r>
      <w:r>
        <w:rPr/>
        <w:t>впливає</w:t>
      </w:r>
      <w:r>
        <w:rPr>
          <w:spacing w:val="19"/>
        </w:rPr>
        <w:t> </w:t>
      </w:r>
      <w:r>
        <w:rPr/>
        <w:t>на</w:t>
      </w:r>
      <w:r>
        <w:rPr>
          <w:spacing w:val="19"/>
        </w:rPr>
        <w:t> </w:t>
      </w:r>
      <w:r>
        <w:rPr/>
        <w:t>визрівання</w:t>
      </w:r>
      <w:r>
        <w:rPr>
          <w:spacing w:val="19"/>
        </w:rPr>
        <w:t> </w:t>
      </w:r>
      <w:r>
        <w:rPr/>
        <w:t>та</w:t>
      </w:r>
      <w:r>
        <w:rPr>
          <w:spacing w:val="19"/>
        </w:rPr>
        <w:t> </w:t>
      </w:r>
      <w:r>
        <w:rPr/>
        <w:t>накопичення</w:t>
      </w:r>
      <w:r>
        <w:rPr>
          <w:spacing w:val="19"/>
        </w:rPr>
        <w:t> </w:t>
      </w:r>
      <w:r>
        <w:rPr/>
        <w:t>вуглеводів</w:t>
      </w:r>
      <w:r>
        <w:rPr>
          <w:spacing w:val="21"/>
        </w:rPr>
        <w:t> </w:t>
      </w:r>
      <w:r>
        <w:rPr/>
        <w:t>у</w:t>
      </w:r>
    </w:p>
    <w:p>
      <w:pPr>
        <w:spacing w:after="0"/>
        <w:sectPr>
          <w:pgSz w:w="11910" w:h="16840"/>
          <w:pgMar w:header="713" w:footer="778" w:top="1140" w:bottom="960" w:left="940" w:right="520"/>
        </w:sectPr>
      </w:pPr>
    </w:p>
    <w:p>
      <w:pPr>
        <w:pStyle w:val="BodyText"/>
        <w:spacing w:before="92"/>
        <w:ind w:right="622"/>
      </w:pPr>
      <w:r>
        <w:rPr/>
        <w:t>лозі. Синтетичний ГА підвищує як акцепторну функцію ягід (притягує асимілятивні сполуки), так й підвищує донорну активність листя (інтенсифікує процес фотосинтезу).</w:t>
      </w:r>
    </w:p>
    <w:p>
      <w:pPr>
        <w:pStyle w:val="BodyText"/>
        <w:ind w:right="619" w:firstLine="710"/>
      </w:pPr>
      <w:r>
        <w:rPr>
          <w:b/>
        </w:rPr>
        <w:t>Висновки. </w:t>
      </w:r>
      <w:r>
        <w:rPr/>
        <w:t>Технологічний прийом обробітку суцвіть сортів Флора, Талісман та Кишмиш лучистий екзогенним ГА у дозі 40 мг/л на </w:t>
      </w:r>
      <w:r>
        <w:rPr>
          <w:spacing w:val="3"/>
        </w:rPr>
        <w:t>3-5 </w:t>
      </w:r>
      <w:r>
        <w:rPr/>
        <w:t>день після завершення фази цвітіння збільшує продуктивність кущів та врожайність насаджень на 48-61%, підвищує товарні якості столового винограду; не має негативного впливу на процеси визрівання лози, збільшує вміст розчинних цукрів та крохмалю в однорічних пагонах після завершення вегетаційного періоду</w:t>
      </w:r>
      <w:r>
        <w:rPr>
          <w:spacing w:val="-20"/>
        </w:rPr>
        <w:t> </w:t>
      </w:r>
      <w:r>
        <w:rPr/>
        <w:t>на</w:t>
      </w:r>
      <w:r>
        <w:rPr>
          <w:spacing w:val="-19"/>
        </w:rPr>
        <w:t> </w:t>
      </w:r>
      <w:r>
        <w:rPr/>
        <w:t>0,5-1,2%,</w:t>
      </w:r>
      <w:r>
        <w:rPr>
          <w:spacing w:val="-17"/>
        </w:rPr>
        <w:t> </w:t>
      </w:r>
      <w:r>
        <w:rPr/>
        <w:t>крохмалю</w:t>
      </w:r>
      <w:r>
        <w:rPr>
          <w:spacing w:val="-19"/>
        </w:rPr>
        <w:t> </w:t>
      </w:r>
      <w:r>
        <w:rPr/>
        <w:t>–</w:t>
      </w:r>
      <w:r>
        <w:rPr>
          <w:spacing w:val="-20"/>
        </w:rPr>
        <w:t> </w:t>
      </w:r>
      <w:r>
        <w:rPr/>
        <w:t>0,6-2,2%</w:t>
      </w:r>
      <w:r>
        <w:rPr>
          <w:spacing w:val="-15"/>
        </w:rPr>
        <w:t> </w:t>
      </w:r>
      <w:r>
        <w:rPr/>
        <w:t>у</w:t>
      </w:r>
      <w:r>
        <w:rPr>
          <w:spacing w:val="-24"/>
        </w:rPr>
        <w:t> </w:t>
      </w:r>
      <w:r>
        <w:rPr/>
        <w:t>перерахунку</w:t>
      </w:r>
      <w:r>
        <w:rPr>
          <w:spacing w:val="-24"/>
        </w:rPr>
        <w:t> </w:t>
      </w:r>
      <w:r>
        <w:rPr/>
        <w:t>на</w:t>
      </w:r>
      <w:r>
        <w:rPr>
          <w:spacing w:val="-19"/>
        </w:rPr>
        <w:t> </w:t>
      </w:r>
      <w:r>
        <w:rPr/>
        <w:t>абсолютно</w:t>
      </w:r>
      <w:r>
        <w:rPr>
          <w:spacing w:val="-19"/>
        </w:rPr>
        <w:t> </w:t>
      </w:r>
      <w:r>
        <w:rPr/>
        <w:t>суху</w:t>
      </w:r>
      <w:r>
        <w:rPr>
          <w:spacing w:val="-24"/>
        </w:rPr>
        <w:t> </w:t>
      </w:r>
      <w:r>
        <w:rPr/>
        <w:t>масу.</w:t>
      </w:r>
    </w:p>
    <w:p>
      <w:pPr>
        <w:pStyle w:val="BodyText"/>
        <w:spacing w:before="6"/>
        <w:ind w:left="0"/>
        <w:jc w:val="left"/>
      </w:pPr>
    </w:p>
    <w:p>
      <w:pPr>
        <w:pStyle w:val="Heading1"/>
        <w:spacing w:line="319" w:lineRule="exact"/>
        <w:ind w:left="894"/>
      </w:pPr>
      <w:r>
        <w:rPr/>
        <w:t>ЛІТЕРАТУРА</w:t>
      </w:r>
    </w:p>
    <w:p>
      <w:pPr>
        <w:pStyle w:val="ListParagraph"/>
        <w:numPr>
          <w:ilvl w:val="0"/>
          <w:numId w:val="21"/>
        </w:numPr>
        <w:tabs>
          <w:tab w:pos="1240" w:val="left" w:leader="none"/>
        </w:tabs>
        <w:spacing w:line="319" w:lineRule="exact" w:before="0" w:after="0"/>
        <w:ind w:left="1239" w:right="0" w:hanging="337"/>
        <w:jc w:val="both"/>
        <w:rPr>
          <w:sz w:val="28"/>
        </w:rPr>
      </w:pPr>
      <w:r>
        <w:rPr>
          <w:sz w:val="28"/>
        </w:rPr>
        <w:t>Winkler </w:t>
      </w:r>
      <w:r>
        <w:rPr>
          <w:spacing w:val="-3"/>
          <w:sz w:val="28"/>
        </w:rPr>
        <w:t>A. </w:t>
      </w:r>
      <w:r>
        <w:rPr>
          <w:sz w:val="28"/>
        </w:rPr>
        <w:t>J., Cook J. A., Kliewer W. M., Lider </w:t>
      </w:r>
      <w:r>
        <w:rPr>
          <w:spacing w:val="-4"/>
          <w:sz w:val="28"/>
        </w:rPr>
        <w:t>L. </w:t>
      </w:r>
      <w:r>
        <w:rPr>
          <w:spacing w:val="-3"/>
          <w:sz w:val="28"/>
        </w:rPr>
        <w:t>A. </w:t>
      </w:r>
      <w:r>
        <w:rPr>
          <w:sz w:val="28"/>
        </w:rPr>
        <w:t>General</w:t>
      </w:r>
      <w:r>
        <w:rPr>
          <w:spacing w:val="-1"/>
          <w:sz w:val="28"/>
        </w:rPr>
        <w:t> </w:t>
      </w:r>
      <w:r>
        <w:rPr>
          <w:sz w:val="28"/>
        </w:rPr>
        <w:t>viticulture.</w:t>
      </w:r>
    </w:p>
    <w:p>
      <w:pPr>
        <w:pStyle w:val="BodyText"/>
        <w:spacing w:line="322" w:lineRule="exact"/>
      </w:pPr>
      <w:r>
        <w:rPr/>
        <w:t>/ University of California Press. Berkeley, United States, 1975. 710 p.</w:t>
      </w:r>
    </w:p>
    <w:p>
      <w:pPr>
        <w:pStyle w:val="ListParagraph"/>
        <w:numPr>
          <w:ilvl w:val="0"/>
          <w:numId w:val="21"/>
        </w:numPr>
        <w:tabs>
          <w:tab w:pos="1182" w:val="left" w:leader="none"/>
        </w:tabs>
        <w:spacing w:line="240" w:lineRule="auto" w:before="0" w:after="0"/>
        <w:ind w:left="193" w:right="621" w:firstLine="710"/>
        <w:jc w:val="both"/>
        <w:rPr>
          <w:sz w:val="28"/>
        </w:rPr>
      </w:pPr>
      <w:r>
        <w:rPr>
          <w:sz w:val="28"/>
        </w:rPr>
        <w:t>Чайлахян</w:t>
      </w:r>
      <w:r>
        <w:rPr>
          <w:spacing w:val="-3"/>
          <w:sz w:val="28"/>
        </w:rPr>
        <w:t> </w:t>
      </w:r>
      <w:r>
        <w:rPr>
          <w:sz w:val="28"/>
        </w:rPr>
        <w:t>М.</w:t>
      </w:r>
      <w:r>
        <w:rPr>
          <w:spacing w:val="-3"/>
          <w:sz w:val="28"/>
        </w:rPr>
        <w:t> </w:t>
      </w:r>
      <w:r>
        <w:rPr>
          <w:sz w:val="28"/>
        </w:rPr>
        <w:t>Х.,</w:t>
      </w:r>
      <w:r>
        <w:rPr>
          <w:spacing w:val="-12"/>
          <w:sz w:val="28"/>
        </w:rPr>
        <w:t> </w:t>
      </w:r>
      <w:r>
        <w:rPr>
          <w:sz w:val="28"/>
        </w:rPr>
        <w:t>Саркисова</w:t>
      </w:r>
      <w:r>
        <w:rPr>
          <w:spacing w:val="-2"/>
          <w:sz w:val="28"/>
        </w:rPr>
        <w:t> </w:t>
      </w:r>
      <w:r>
        <w:rPr>
          <w:sz w:val="28"/>
        </w:rPr>
        <w:t>М.</w:t>
      </w:r>
      <w:r>
        <w:rPr>
          <w:spacing w:val="-2"/>
          <w:sz w:val="28"/>
        </w:rPr>
        <w:t> </w:t>
      </w:r>
      <w:r>
        <w:rPr>
          <w:sz w:val="28"/>
        </w:rPr>
        <w:t>М.</w:t>
      </w:r>
      <w:r>
        <w:rPr>
          <w:spacing w:val="-12"/>
          <w:sz w:val="28"/>
        </w:rPr>
        <w:t> </w:t>
      </w:r>
      <w:r>
        <w:rPr>
          <w:sz w:val="28"/>
        </w:rPr>
        <w:t>Регуляторы</w:t>
      </w:r>
      <w:r>
        <w:rPr>
          <w:spacing w:val="-9"/>
          <w:sz w:val="28"/>
        </w:rPr>
        <w:t> </w:t>
      </w:r>
      <w:r>
        <w:rPr>
          <w:sz w:val="28"/>
        </w:rPr>
        <w:t>роста</w:t>
      </w:r>
      <w:r>
        <w:rPr>
          <w:spacing w:val="-9"/>
          <w:sz w:val="28"/>
        </w:rPr>
        <w:t> </w:t>
      </w:r>
      <w:r>
        <w:rPr>
          <w:sz w:val="28"/>
        </w:rPr>
        <w:t>у</w:t>
      </w:r>
      <w:r>
        <w:rPr>
          <w:spacing w:val="-14"/>
          <w:sz w:val="28"/>
        </w:rPr>
        <w:t> </w:t>
      </w:r>
      <w:r>
        <w:rPr>
          <w:sz w:val="28"/>
        </w:rPr>
        <w:t>виноградной</w:t>
      </w:r>
      <w:r>
        <w:rPr>
          <w:spacing w:val="-10"/>
          <w:sz w:val="28"/>
        </w:rPr>
        <w:t> </w:t>
      </w:r>
      <w:r>
        <w:rPr>
          <w:sz w:val="28"/>
        </w:rPr>
        <w:t>лозы и плодовых культур. Ереван : Изд-во АН Арм. ССР, 1980. 188</w:t>
      </w:r>
      <w:r>
        <w:rPr>
          <w:spacing w:val="24"/>
          <w:sz w:val="28"/>
        </w:rPr>
        <w:t> </w:t>
      </w:r>
      <w:r>
        <w:rPr>
          <w:sz w:val="28"/>
        </w:rPr>
        <w:t>с.</w:t>
      </w:r>
    </w:p>
    <w:p>
      <w:pPr>
        <w:pStyle w:val="ListParagraph"/>
        <w:numPr>
          <w:ilvl w:val="0"/>
          <w:numId w:val="21"/>
        </w:numPr>
        <w:tabs>
          <w:tab w:pos="1537" w:val="left" w:leader="none"/>
        </w:tabs>
        <w:spacing w:line="242" w:lineRule="auto" w:before="0" w:after="0"/>
        <w:ind w:left="193" w:right="616" w:firstLine="710"/>
        <w:jc w:val="both"/>
        <w:rPr>
          <w:sz w:val="28"/>
        </w:rPr>
      </w:pPr>
      <w:r>
        <w:rPr>
          <w:sz w:val="28"/>
        </w:rPr>
        <w:t>Смирнов К. В., Раджабов </w:t>
      </w:r>
      <w:r>
        <w:rPr>
          <w:spacing w:val="-3"/>
          <w:sz w:val="28"/>
        </w:rPr>
        <w:t>А. </w:t>
      </w:r>
      <w:r>
        <w:rPr>
          <w:sz w:val="28"/>
        </w:rPr>
        <w:t>К., Морозова С. </w:t>
      </w:r>
      <w:r>
        <w:rPr>
          <w:spacing w:val="-3"/>
          <w:sz w:val="28"/>
        </w:rPr>
        <w:t>Н. </w:t>
      </w:r>
      <w:r>
        <w:rPr>
          <w:sz w:val="28"/>
        </w:rPr>
        <w:t>Применение регуляторов роста в виноградарстве Узбекской ССР. </w:t>
      </w:r>
      <w:r>
        <w:rPr>
          <w:i/>
          <w:sz w:val="28"/>
        </w:rPr>
        <w:t>Пути интенсификации </w:t>
      </w:r>
      <w:r>
        <w:rPr>
          <w:i/>
          <w:sz w:val="28"/>
        </w:rPr>
        <w:t>виноградарства. </w:t>
      </w:r>
      <w:r>
        <w:rPr>
          <w:sz w:val="28"/>
        </w:rPr>
        <w:t>Москва, 1984. С.</w:t>
      </w:r>
      <w:r>
        <w:rPr>
          <w:spacing w:val="17"/>
          <w:sz w:val="28"/>
        </w:rPr>
        <w:t> </w:t>
      </w:r>
      <w:r>
        <w:rPr>
          <w:sz w:val="28"/>
        </w:rPr>
        <w:t>57–59.</w:t>
      </w:r>
    </w:p>
    <w:p>
      <w:pPr>
        <w:pStyle w:val="ListParagraph"/>
        <w:numPr>
          <w:ilvl w:val="0"/>
          <w:numId w:val="21"/>
        </w:numPr>
        <w:tabs>
          <w:tab w:pos="1297" w:val="left" w:leader="none"/>
        </w:tabs>
        <w:spacing w:line="240" w:lineRule="auto" w:before="0" w:after="0"/>
        <w:ind w:left="193" w:right="617" w:firstLine="710"/>
        <w:jc w:val="both"/>
        <w:rPr>
          <w:sz w:val="28"/>
        </w:rPr>
      </w:pPr>
      <w:r>
        <w:rPr>
          <w:sz w:val="28"/>
        </w:rPr>
        <w:t>Ferrara G., Mazzeo A., Netti G. [et al.]. Girdling, gibbellis acid, and forchlorfenuron : effects on yielity, and metabolic profile of table grapo cv. </w:t>
      </w:r>
      <w:r>
        <w:rPr>
          <w:i/>
          <w:sz w:val="28"/>
        </w:rPr>
        <w:t>American </w:t>
      </w:r>
      <w:r>
        <w:rPr>
          <w:i/>
          <w:sz w:val="28"/>
        </w:rPr>
        <w:t>Journal of Enology and Viticulture. </w:t>
      </w:r>
      <w:r>
        <w:rPr>
          <w:sz w:val="28"/>
        </w:rPr>
        <w:t>Italia. Davis, 2014. V. 65. Р.</w:t>
      </w:r>
      <w:r>
        <w:rPr>
          <w:spacing w:val="22"/>
          <w:sz w:val="28"/>
        </w:rPr>
        <w:t> </w:t>
      </w:r>
      <w:r>
        <w:rPr>
          <w:sz w:val="28"/>
        </w:rPr>
        <w:t>381–387.</w:t>
      </w:r>
    </w:p>
    <w:p>
      <w:pPr>
        <w:pStyle w:val="ListParagraph"/>
        <w:numPr>
          <w:ilvl w:val="0"/>
          <w:numId w:val="21"/>
        </w:numPr>
        <w:tabs>
          <w:tab w:pos="1178" w:val="left" w:leader="none"/>
        </w:tabs>
        <w:spacing w:line="240" w:lineRule="auto" w:before="0" w:after="0"/>
        <w:ind w:left="193" w:right="614" w:firstLine="710"/>
        <w:jc w:val="both"/>
        <w:rPr>
          <w:sz w:val="28"/>
        </w:rPr>
      </w:pPr>
      <w:r>
        <w:rPr>
          <w:sz w:val="28"/>
        </w:rPr>
        <w:t>Yamada</w:t>
      </w:r>
      <w:r>
        <w:rPr>
          <w:spacing w:val="-3"/>
          <w:sz w:val="28"/>
        </w:rPr>
        <w:t> </w:t>
      </w:r>
      <w:r>
        <w:rPr>
          <w:sz w:val="28"/>
        </w:rPr>
        <w:t>M.,</w:t>
      </w:r>
      <w:r>
        <w:rPr>
          <w:spacing w:val="-12"/>
          <w:sz w:val="28"/>
        </w:rPr>
        <w:t> </w:t>
      </w:r>
      <w:r>
        <w:rPr>
          <w:sz w:val="28"/>
        </w:rPr>
        <w:t>Yamane</w:t>
      </w:r>
      <w:r>
        <w:rPr>
          <w:spacing w:val="-2"/>
          <w:sz w:val="28"/>
        </w:rPr>
        <w:t> </w:t>
      </w:r>
      <w:r>
        <w:rPr>
          <w:sz w:val="28"/>
        </w:rPr>
        <w:t>H.,</w:t>
      </w:r>
      <w:r>
        <w:rPr>
          <w:spacing w:val="-12"/>
          <w:sz w:val="28"/>
        </w:rPr>
        <w:t> </w:t>
      </w:r>
      <w:r>
        <w:rPr>
          <w:sz w:val="28"/>
        </w:rPr>
        <w:t>Kurinar</w:t>
      </w:r>
      <w:r>
        <w:rPr>
          <w:spacing w:val="-1"/>
          <w:sz w:val="28"/>
        </w:rPr>
        <w:t> </w:t>
      </w:r>
      <w:r>
        <w:rPr>
          <w:spacing w:val="-3"/>
          <w:sz w:val="28"/>
        </w:rPr>
        <w:t>A.</w:t>
      </w:r>
      <w:r>
        <w:rPr>
          <w:spacing w:val="-12"/>
          <w:sz w:val="28"/>
        </w:rPr>
        <w:t> </w:t>
      </w:r>
      <w:r>
        <w:rPr>
          <w:sz w:val="28"/>
        </w:rPr>
        <w:t>[et</w:t>
      </w:r>
      <w:r>
        <w:rPr>
          <w:spacing w:val="-15"/>
          <w:sz w:val="28"/>
        </w:rPr>
        <w:t> </w:t>
      </w:r>
      <w:r>
        <w:rPr>
          <w:sz w:val="28"/>
        </w:rPr>
        <w:t>al.].</w:t>
      </w:r>
      <w:r>
        <w:rPr>
          <w:spacing w:val="-12"/>
          <w:sz w:val="28"/>
        </w:rPr>
        <w:t> </w:t>
      </w:r>
      <w:r>
        <w:rPr>
          <w:sz w:val="28"/>
        </w:rPr>
        <w:t>New</w:t>
      </w:r>
      <w:r>
        <w:rPr>
          <w:spacing w:val="-13"/>
          <w:sz w:val="28"/>
        </w:rPr>
        <w:t> </w:t>
      </w:r>
      <w:r>
        <w:rPr>
          <w:sz w:val="28"/>
        </w:rPr>
        <w:t>grape</w:t>
      </w:r>
      <w:r>
        <w:rPr>
          <w:spacing w:val="-13"/>
          <w:sz w:val="28"/>
        </w:rPr>
        <w:t> </w:t>
      </w:r>
      <w:r>
        <w:rPr>
          <w:sz w:val="28"/>
        </w:rPr>
        <w:t>variety</w:t>
      </w:r>
      <w:r>
        <w:rPr>
          <w:spacing w:val="-19"/>
          <w:sz w:val="28"/>
        </w:rPr>
        <w:t> </w:t>
      </w:r>
      <w:r>
        <w:rPr>
          <w:sz w:val="28"/>
        </w:rPr>
        <w:t>Sunny</w:t>
      </w:r>
      <w:r>
        <w:rPr>
          <w:spacing w:val="-18"/>
          <w:sz w:val="28"/>
        </w:rPr>
        <w:t> </w:t>
      </w:r>
      <w:r>
        <w:rPr>
          <w:sz w:val="28"/>
        </w:rPr>
        <w:t>Rouge. </w:t>
      </w:r>
      <w:r>
        <w:rPr>
          <w:i/>
          <w:sz w:val="28"/>
        </w:rPr>
        <w:t>Bulletin of the National Institute of Fruit Tree Science Japan. </w:t>
      </w:r>
      <w:r>
        <w:rPr>
          <w:sz w:val="28"/>
        </w:rPr>
        <w:t>Fujimoto. 2003. V. 2. Р.</w:t>
      </w:r>
      <w:r>
        <w:rPr>
          <w:spacing w:val="3"/>
          <w:sz w:val="28"/>
        </w:rPr>
        <w:t> </w:t>
      </w:r>
      <w:r>
        <w:rPr>
          <w:sz w:val="28"/>
        </w:rPr>
        <w:t>33–42.</w:t>
      </w:r>
    </w:p>
    <w:p>
      <w:pPr>
        <w:pStyle w:val="ListParagraph"/>
        <w:numPr>
          <w:ilvl w:val="0"/>
          <w:numId w:val="21"/>
        </w:numPr>
        <w:tabs>
          <w:tab w:pos="1182" w:val="left" w:leader="none"/>
        </w:tabs>
        <w:spacing w:line="240" w:lineRule="auto" w:before="0" w:after="0"/>
        <w:ind w:left="193" w:right="606" w:firstLine="710"/>
        <w:jc w:val="both"/>
        <w:rPr>
          <w:sz w:val="28"/>
        </w:rPr>
      </w:pPr>
      <w:r>
        <w:rPr>
          <w:sz w:val="28"/>
        </w:rPr>
        <w:t>Дерендовская </w:t>
      </w:r>
      <w:r>
        <w:rPr>
          <w:spacing w:val="-3"/>
          <w:sz w:val="28"/>
        </w:rPr>
        <w:t>А. </w:t>
      </w:r>
      <w:r>
        <w:rPr>
          <w:sz w:val="28"/>
        </w:rPr>
        <w:t>И., Парстнев </w:t>
      </w:r>
      <w:r>
        <w:rPr>
          <w:spacing w:val="-3"/>
          <w:sz w:val="28"/>
        </w:rPr>
        <w:t>Н. </w:t>
      </w:r>
      <w:r>
        <w:rPr>
          <w:sz w:val="28"/>
        </w:rPr>
        <w:t>Д., Николаеску Г. </w:t>
      </w:r>
      <w:r>
        <w:rPr>
          <w:spacing w:val="-3"/>
          <w:sz w:val="28"/>
        </w:rPr>
        <w:t>И. </w:t>
      </w:r>
      <w:r>
        <w:rPr>
          <w:sz w:val="28"/>
        </w:rPr>
        <w:t>и др. Применение гиббереллина в технологии возделывания столовых бессемянных сортов винограда. </w:t>
      </w:r>
      <w:r>
        <w:rPr>
          <w:i/>
          <w:sz w:val="28"/>
        </w:rPr>
        <w:t>Виноградарство і виноробство : міжвід. темат. наук. зб</w:t>
      </w:r>
      <w:r>
        <w:rPr>
          <w:sz w:val="28"/>
        </w:rPr>
        <w:t>. Одеса : ННЦ “ІВіВ ім. В.Є. Таїрова”, 2013. Вип. 50. С.</w:t>
      </w:r>
      <w:r>
        <w:rPr>
          <w:spacing w:val="25"/>
          <w:sz w:val="28"/>
        </w:rPr>
        <w:t> </w:t>
      </w:r>
      <w:r>
        <w:rPr>
          <w:sz w:val="28"/>
        </w:rPr>
        <w:t>48–52.</w:t>
      </w:r>
    </w:p>
    <w:p>
      <w:pPr>
        <w:pStyle w:val="ListParagraph"/>
        <w:numPr>
          <w:ilvl w:val="0"/>
          <w:numId w:val="21"/>
        </w:numPr>
        <w:tabs>
          <w:tab w:pos="1178" w:val="left" w:leader="none"/>
        </w:tabs>
        <w:spacing w:line="242" w:lineRule="auto" w:before="0" w:after="0"/>
        <w:ind w:left="193" w:right="619" w:firstLine="710"/>
        <w:jc w:val="both"/>
        <w:rPr>
          <w:sz w:val="28"/>
        </w:rPr>
      </w:pPr>
      <w:r>
        <w:rPr>
          <w:sz w:val="28"/>
        </w:rPr>
        <w:t>Mihov</w:t>
      </w:r>
      <w:r>
        <w:rPr>
          <w:spacing w:val="-7"/>
          <w:sz w:val="28"/>
        </w:rPr>
        <w:t> </w:t>
      </w:r>
      <w:r>
        <w:rPr>
          <w:sz w:val="28"/>
        </w:rPr>
        <w:t>D.</w:t>
      </w:r>
      <w:r>
        <w:rPr>
          <w:spacing w:val="-10"/>
          <w:sz w:val="28"/>
        </w:rPr>
        <w:t> </w:t>
      </w:r>
      <w:r>
        <w:rPr>
          <w:sz w:val="28"/>
        </w:rPr>
        <w:t>Productivitatea</w:t>
      </w:r>
      <w:r>
        <w:rPr>
          <w:spacing w:val="-12"/>
          <w:sz w:val="28"/>
        </w:rPr>
        <w:t> </w:t>
      </w:r>
      <w:r>
        <w:rPr>
          <w:sz w:val="28"/>
        </w:rPr>
        <w:t>plantaţiilor</w:t>
      </w:r>
      <w:r>
        <w:rPr>
          <w:spacing w:val="-10"/>
          <w:sz w:val="28"/>
        </w:rPr>
        <w:t> </w:t>
      </w:r>
      <w:r>
        <w:rPr>
          <w:sz w:val="28"/>
        </w:rPr>
        <w:t>viticole</w:t>
      </w:r>
      <w:r>
        <w:rPr>
          <w:spacing w:val="-11"/>
          <w:sz w:val="28"/>
        </w:rPr>
        <w:t> </w:t>
      </w:r>
      <w:r>
        <w:rPr>
          <w:spacing w:val="3"/>
          <w:sz w:val="28"/>
        </w:rPr>
        <w:t>şi</w:t>
      </w:r>
      <w:r>
        <w:rPr>
          <w:spacing w:val="-18"/>
          <w:sz w:val="28"/>
        </w:rPr>
        <w:t> </w:t>
      </w:r>
      <w:r>
        <w:rPr>
          <w:sz w:val="28"/>
        </w:rPr>
        <w:t>calitatea</w:t>
      </w:r>
      <w:r>
        <w:rPr>
          <w:spacing w:val="-11"/>
          <w:sz w:val="28"/>
        </w:rPr>
        <w:t> </w:t>
      </w:r>
      <w:r>
        <w:rPr>
          <w:sz w:val="28"/>
        </w:rPr>
        <w:t>strugurilor</w:t>
      </w:r>
      <w:r>
        <w:rPr>
          <w:spacing w:val="-10"/>
          <w:sz w:val="28"/>
        </w:rPr>
        <w:t> </w:t>
      </w:r>
      <w:r>
        <w:rPr>
          <w:sz w:val="28"/>
        </w:rPr>
        <w:t>în</w:t>
      </w:r>
      <w:r>
        <w:rPr>
          <w:spacing w:val="-13"/>
          <w:sz w:val="28"/>
        </w:rPr>
        <w:t> </w:t>
      </w:r>
      <w:r>
        <w:rPr>
          <w:sz w:val="28"/>
        </w:rPr>
        <w:t>funcţie de soi, aplicarea giberelinei (GA3) şi inciziei inelare : автореф. канд. с-г. наук. Кишинев, 2015. 29</w:t>
      </w:r>
      <w:r>
        <w:rPr>
          <w:spacing w:val="11"/>
          <w:sz w:val="28"/>
        </w:rPr>
        <w:t> </w:t>
      </w:r>
      <w:r>
        <w:rPr>
          <w:sz w:val="28"/>
        </w:rPr>
        <w:t>с.</w:t>
      </w:r>
    </w:p>
    <w:p>
      <w:pPr>
        <w:pStyle w:val="ListParagraph"/>
        <w:numPr>
          <w:ilvl w:val="0"/>
          <w:numId w:val="21"/>
        </w:numPr>
        <w:tabs>
          <w:tab w:pos="1173" w:val="left" w:leader="none"/>
        </w:tabs>
        <w:spacing w:line="240" w:lineRule="auto" w:before="0" w:after="0"/>
        <w:ind w:left="193" w:right="619" w:firstLine="710"/>
        <w:jc w:val="both"/>
        <w:rPr>
          <w:sz w:val="28"/>
        </w:rPr>
      </w:pPr>
      <w:r>
        <w:rPr>
          <w:sz w:val="28"/>
        </w:rPr>
        <w:t>Каббани</w:t>
      </w:r>
      <w:r>
        <w:rPr>
          <w:spacing w:val="-4"/>
          <w:sz w:val="28"/>
        </w:rPr>
        <w:t> </w:t>
      </w:r>
      <w:r>
        <w:rPr>
          <w:sz w:val="28"/>
        </w:rPr>
        <w:t>С.</w:t>
      </w:r>
      <w:r>
        <w:rPr>
          <w:spacing w:val="-21"/>
          <w:sz w:val="28"/>
        </w:rPr>
        <w:t> </w:t>
      </w:r>
      <w:r>
        <w:rPr>
          <w:sz w:val="28"/>
        </w:rPr>
        <w:t>Регулирование</w:t>
      </w:r>
      <w:r>
        <w:rPr>
          <w:spacing w:val="-19"/>
          <w:sz w:val="28"/>
        </w:rPr>
        <w:t> </w:t>
      </w:r>
      <w:r>
        <w:rPr>
          <w:sz w:val="28"/>
        </w:rPr>
        <w:t>величины</w:t>
      </w:r>
      <w:r>
        <w:rPr>
          <w:spacing w:val="-19"/>
          <w:sz w:val="28"/>
        </w:rPr>
        <w:t> </w:t>
      </w:r>
      <w:r>
        <w:rPr>
          <w:sz w:val="28"/>
        </w:rPr>
        <w:t>и</w:t>
      </w:r>
      <w:r>
        <w:rPr>
          <w:spacing w:val="-19"/>
          <w:sz w:val="28"/>
        </w:rPr>
        <w:t> </w:t>
      </w:r>
      <w:r>
        <w:rPr>
          <w:sz w:val="28"/>
        </w:rPr>
        <w:t>качества</w:t>
      </w:r>
      <w:r>
        <w:rPr>
          <w:spacing w:val="-18"/>
          <w:sz w:val="28"/>
        </w:rPr>
        <w:t> </w:t>
      </w:r>
      <w:r>
        <w:rPr>
          <w:sz w:val="28"/>
        </w:rPr>
        <w:t>урожая</w:t>
      </w:r>
      <w:r>
        <w:rPr>
          <w:spacing w:val="-18"/>
          <w:sz w:val="28"/>
        </w:rPr>
        <w:t> </w:t>
      </w:r>
      <w:r>
        <w:rPr>
          <w:sz w:val="28"/>
        </w:rPr>
        <w:t>столовых</w:t>
      </w:r>
      <w:r>
        <w:rPr>
          <w:spacing w:val="-23"/>
          <w:sz w:val="28"/>
        </w:rPr>
        <w:t> </w:t>
      </w:r>
      <w:r>
        <w:rPr>
          <w:sz w:val="28"/>
        </w:rPr>
        <w:t>сортов винограда</w:t>
      </w:r>
      <w:r>
        <w:rPr>
          <w:spacing w:val="-14"/>
          <w:sz w:val="28"/>
        </w:rPr>
        <w:t> </w:t>
      </w:r>
      <w:r>
        <w:rPr>
          <w:sz w:val="28"/>
        </w:rPr>
        <w:t>с</w:t>
      </w:r>
      <w:r>
        <w:rPr>
          <w:spacing w:val="-13"/>
          <w:sz w:val="28"/>
        </w:rPr>
        <w:t> </w:t>
      </w:r>
      <w:r>
        <w:rPr>
          <w:sz w:val="28"/>
        </w:rPr>
        <w:t>помощью</w:t>
      </w:r>
      <w:r>
        <w:rPr>
          <w:spacing w:val="-16"/>
          <w:sz w:val="28"/>
        </w:rPr>
        <w:t> </w:t>
      </w:r>
      <w:r>
        <w:rPr>
          <w:sz w:val="28"/>
        </w:rPr>
        <w:t>биологически</w:t>
      </w:r>
      <w:r>
        <w:rPr>
          <w:spacing w:val="-14"/>
          <w:sz w:val="28"/>
        </w:rPr>
        <w:t> </w:t>
      </w:r>
      <w:r>
        <w:rPr>
          <w:sz w:val="28"/>
        </w:rPr>
        <w:t>активных</w:t>
      </w:r>
      <w:r>
        <w:rPr>
          <w:spacing w:val="-19"/>
          <w:sz w:val="28"/>
        </w:rPr>
        <w:t> </w:t>
      </w:r>
      <w:r>
        <w:rPr>
          <w:sz w:val="28"/>
        </w:rPr>
        <w:t>веществ</w:t>
      </w:r>
      <w:r>
        <w:rPr>
          <w:spacing w:val="1"/>
          <w:sz w:val="28"/>
        </w:rPr>
        <w:t> </w:t>
      </w:r>
      <w:r>
        <w:rPr>
          <w:sz w:val="28"/>
        </w:rPr>
        <w:t>:</w:t>
      </w:r>
      <w:r>
        <w:rPr>
          <w:spacing w:val="-19"/>
          <w:sz w:val="28"/>
        </w:rPr>
        <w:t> </w:t>
      </w:r>
      <w:r>
        <w:rPr>
          <w:sz w:val="28"/>
        </w:rPr>
        <w:t>автореф.</w:t>
      </w:r>
      <w:r>
        <w:rPr>
          <w:spacing w:val="-12"/>
          <w:sz w:val="28"/>
        </w:rPr>
        <w:t> </w:t>
      </w:r>
      <w:r>
        <w:rPr>
          <w:sz w:val="28"/>
        </w:rPr>
        <w:t>канд.</w:t>
      </w:r>
      <w:r>
        <w:rPr>
          <w:spacing w:val="-12"/>
          <w:sz w:val="28"/>
        </w:rPr>
        <w:t> </w:t>
      </w:r>
      <w:r>
        <w:rPr>
          <w:sz w:val="28"/>
        </w:rPr>
        <w:t>с-г.</w:t>
      </w:r>
      <w:r>
        <w:rPr>
          <w:spacing w:val="-17"/>
          <w:sz w:val="28"/>
        </w:rPr>
        <w:t> </w:t>
      </w:r>
      <w:r>
        <w:rPr>
          <w:sz w:val="28"/>
        </w:rPr>
        <w:t>наук. Кишинев, 2001. 23</w:t>
      </w:r>
      <w:r>
        <w:rPr>
          <w:spacing w:val="11"/>
          <w:sz w:val="28"/>
        </w:rPr>
        <w:t> </w:t>
      </w:r>
      <w:r>
        <w:rPr>
          <w:sz w:val="28"/>
        </w:rPr>
        <w:t>с.</w:t>
      </w:r>
    </w:p>
    <w:p>
      <w:pPr>
        <w:pStyle w:val="ListParagraph"/>
        <w:numPr>
          <w:ilvl w:val="0"/>
          <w:numId w:val="21"/>
        </w:numPr>
        <w:tabs>
          <w:tab w:pos="1249" w:val="left" w:leader="none"/>
        </w:tabs>
        <w:spacing w:line="240" w:lineRule="auto" w:before="0" w:after="0"/>
        <w:ind w:left="193" w:right="616" w:firstLine="710"/>
        <w:jc w:val="both"/>
        <w:rPr>
          <w:sz w:val="28"/>
        </w:rPr>
      </w:pPr>
      <w:r>
        <w:rPr>
          <w:sz w:val="28"/>
        </w:rPr>
        <w:t>Дерендовская А., Николаеску Г., Штирбу </w:t>
      </w:r>
      <w:r>
        <w:rPr>
          <w:spacing w:val="-3"/>
          <w:sz w:val="28"/>
        </w:rPr>
        <w:t>А. </w:t>
      </w:r>
      <w:r>
        <w:rPr>
          <w:sz w:val="28"/>
        </w:rPr>
        <w:t>и др. Реакция столовых сортов винограда на обработку соцветий гиббереллином. </w:t>
      </w:r>
      <w:r>
        <w:rPr>
          <w:i/>
          <w:sz w:val="28"/>
        </w:rPr>
        <w:t>Аграрная наука</w:t>
      </w:r>
      <w:r>
        <w:rPr>
          <w:sz w:val="28"/>
        </w:rPr>
        <w:t>. ГАУМ, Кишинев, 2010. № 2. С.</w:t>
      </w:r>
      <w:r>
        <w:rPr>
          <w:spacing w:val="19"/>
          <w:sz w:val="28"/>
        </w:rPr>
        <w:t> </w:t>
      </w:r>
      <w:r>
        <w:rPr>
          <w:sz w:val="28"/>
        </w:rPr>
        <w:t>12–16.</w:t>
      </w:r>
    </w:p>
    <w:p>
      <w:pPr>
        <w:pStyle w:val="BodyText"/>
        <w:ind w:right="614" w:firstLine="710"/>
      </w:pPr>
      <w:r>
        <w:rPr/>
        <w:t>10 Teszlak P., Kocsis M., Gaa K., Nikrardjam M. P. Regulatory effects of exogenous gibberellic acid ( GA3) on water relations and CO2 assimilation among grapevine (Vitis vinifera L.) cultivars.  </w:t>
      </w:r>
      <w:r>
        <w:rPr>
          <w:i/>
        </w:rPr>
        <w:t>Scientia  Horticulturae.  </w:t>
      </w:r>
      <w:r>
        <w:rPr/>
        <w:t>Amsterdam,  2013. V. 159. Р.</w:t>
      </w:r>
      <w:r>
        <w:rPr>
          <w:spacing w:val="11"/>
        </w:rPr>
        <w:t> </w:t>
      </w:r>
      <w:r>
        <w:rPr/>
        <w:t>14–51.</w:t>
      </w:r>
    </w:p>
    <w:p>
      <w:pPr>
        <w:pStyle w:val="ListParagraph"/>
        <w:numPr>
          <w:ilvl w:val="0"/>
          <w:numId w:val="22"/>
        </w:numPr>
        <w:tabs>
          <w:tab w:pos="1317" w:val="left" w:leader="none"/>
        </w:tabs>
        <w:spacing w:line="240" w:lineRule="auto" w:before="0" w:after="0"/>
        <w:ind w:left="193" w:right="615" w:firstLine="710"/>
        <w:jc w:val="both"/>
        <w:rPr>
          <w:sz w:val="28"/>
        </w:rPr>
      </w:pPr>
      <w:r>
        <w:rPr>
          <w:sz w:val="28"/>
        </w:rPr>
        <w:t>Silva</w:t>
      </w:r>
      <w:r>
        <w:rPr>
          <w:spacing w:val="-14"/>
          <w:sz w:val="28"/>
        </w:rPr>
        <w:t> </w:t>
      </w:r>
      <w:r>
        <w:rPr>
          <w:sz w:val="28"/>
        </w:rPr>
        <w:t>P.S.,</w:t>
      </w:r>
      <w:r>
        <w:rPr>
          <w:spacing w:val="-13"/>
          <w:sz w:val="28"/>
        </w:rPr>
        <w:t> </w:t>
      </w:r>
      <w:r>
        <w:rPr>
          <w:sz w:val="28"/>
        </w:rPr>
        <w:t>Moreno</w:t>
      </w:r>
      <w:r>
        <w:rPr>
          <w:spacing w:val="-10"/>
          <w:sz w:val="28"/>
        </w:rPr>
        <w:t> </w:t>
      </w:r>
      <w:r>
        <w:rPr>
          <w:sz w:val="28"/>
        </w:rPr>
        <w:t>Kirinus</w:t>
      </w:r>
      <w:r>
        <w:rPr>
          <w:spacing w:val="-14"/>
          <w:sz w:val="28"/>
        </w:rPr>
        <w:t> </w:t>
      </w:r>
      <w:r>
        <w:rPr>
          <w:sz w:val="28"/>
        </w:rPr>
        <w:t>M.B.,</w:t>
      </w:r>
      <w:r>
        <w:rPr>
          <w:spacing w:val="-13"/>
          <w:sz w:val="28"/>
        </w:rPr>
        <w:t> </w:t>
      </w:r>
      <w:r>
        <w:rPr>
          <w:sz w:val="28"/>
        </w:rPr>
        <w:t>Barreto</w:t>
      </w:r>
      <w:r>
        <w:rPr>
          <w:spacing w:val="-14"/>
          <w:sz w:val="28"/>
        </w:rPr>
        <w:t> </w:t>
      </w:r>
      <w:r>
        <w:rPr>
          <w:sz w:val="28"/>
        </w:rPr>
        <w:t>C.F.</w:t>
      </w:r>
      <w:r>
        <w:rPr>
          <w:spacing w:val="-13"/>
          <w:sz w:val="28"/>
        </w:rPr>
        <w:t> </w:t>
      </w:r>
      <w:r>
        <w:rPr>
          <w:sz w:val="28"/>
        </w:rPr>
        <w:t>et</w:t>
      </w:r>
      <w:r>
        <w:rPr>
          <w:spacing w:val="-16"/>
          <w:sz w:val="28"/>
        </w:rPr>
        <w:t> </w:t>
      </w:r>
      <w:r>
        <w:rPr>
          <w:sz w:val="28"/>
        </w:rPr>
        <w:t>al.</w:t>
      </w:r>
      <w:r>
        <w:rPr>
          <w:spacing w:val="-12"/>
          <w:sz w:val="28"/>
        </w:rPr>
        <w:t> </w:t>
      </w:r>
      <w:r>
        <w:rPr>
          <w:sz w:val="28"/>
        </w:rPr>
        <w:t>Gibberellic</w:t>
      </w:r>
      <w:r>
        <w:rPr>
          <w:spacing w:val="-14"/>
          <w:sz w:val="28"/>
        </w:rPr>
        <w:t> </w:t>
      </w:r>
      <w:r>
        <w:rPr>
          <w:sz w:val="28"/>
        </w:rPr>
        <w:t>acid</w:t>
      </w:r>
      <w:r>
        <w:rPr>
          <w:spacing w:val="-15"/>
          <w:sz w:val="28"/>
        </w:rPr>
        <w:t> </w:t>
      </w:r>
      <w:r>
        <w:rPr>
          <w:sz w:val="28"/>
        </w:rPr>
        <w:t>reduces clusters rot of ‘Sauvignon blanc’ grapes. </w:t>
      </w:r>
      <w:r>
        <w:rPr>
          <w:i/>
          <w:sz w:val="28"/>
        </w:rPr>
        <w:t>Revista Brasileira de Fruticultura. </w:t>
      </w:r>
      <w:r>
        <w:rPr>
          <w:sz w:val="28"/>
        </w:rPr>
        <w:t>2019.</w:t>
      </w:r>
      <w:r>
        <w:rPr>
          <w:spacing w:val="63"/>
          <w:sz w:val="28"/>
        </w:rPr>
        <w:t> </w:t>
      </w:r>
      <w:r>
        <w:rPr>
          <w:sz w:val="28"/>
        </w:rPr>
        <w:t>V.</w:t>
      </w:r>
    </w:p>
    <w:p>
      <w:pPr>
        <w:spacing w:after="0" w:line="240" w:lineRule="auto"/>
        <w:jc w:val="both"/>
        <w:rPr>
          <w:sz w:val="28"/>
        </w:rPr>
        <w:sectPr>
          <w:pgSz w:w="11910" w:h="16840"/>
          <w:pgMar w:header="713" w:footer="778" w:top="1140" w:bottom="960" w:left="940" w:right="520"/>
        </w:sectPr>
      </w:pPr>
    </w:p>
    <w:p>
      <w:pPr>
        <w:pStyle w:val="BodyText"/>
        <w:spacing w:line="322" w:lineRule="exact" w:before="92"/>
      </w:pPr>
      <w:r>
        <w:rPr/>
        <w:t>41, no. 4.</w:t>
      </w:r>
    </w:p>
    <w:p>
      <w:pPr>
        <w:pStyle w:val="ListParagraph"/>
        <w:numPr>
          <w:ilvl w:val="0"/>
          <w:numId w:val="22"/>
        </w:numPr>
        <w:tabs>
          <w:tab w:pos="1379" w:val="left" w:leader="none"/>
        </w:tabs>
        <w:spacing w:line="240" w:lineRule="auto" w:before="0" w:after="0"/>
        <w:ind w:left="193" w:right="622" w:firstLine="710"/>
        <w:jc w:val="both"/>
        <w:rPr>
          <w:sz w:val="28"/>
        </w:rPr>
      </w:pPr>
      <w:r>
        <w:rPr>
          <w:sz w:val="28"/>
        </w:rPr>
        <w:t>Jun W., Jianuang Z., Kai X. [et al.]. Effects of exogenous GA3 on fruit development</w:t>
      </w:r>
      <w:r>
        <w:rPr>
          <w:spacing w:val="-10"/>
          <w:sz w:val="28"/>
        </w:rPr>
        <w:t> </w:t>
      </w:r>
      <w:r>
        <w:rPr>
          <w:sz w:val="28"/>
        </w:rPr>
        <w:t>and</w:t>
      </w:r>
      <w:r>
        <w:rPr>
          <w:spacing w:val="-9"/>
          <w:sz w:val="28"/>
        </w:rPr>
        <w:t> </w:t>
      </w:r>
      <w:r>
        <w:rPr>
          <w:sz w:val="28"/>
        </w:rPr>
        <w:t>endogenous</w:t>
      </w:r>
      <w:r>
        <w:rPr>
          <w:spacing w:val="-7"/>
          <w:sz w:val="28"/>
        </w:rPr>
        <w:t> </w:t>
      </w:r>
      <w:r>
        <w:rPr>
          <w:sz w:val="28"/>
        </w:rPr>
        <w:t>hormones</w:t>
      </w:r>
      <w:r>
        <w:rPr>
          <w:spacing w:val="-7"/>
          <w:sz w:val="28"/>
        </w:rPr>
        <w:t> </w:t>
      </w:r>
      <w:r>
        <w:rPr>
          <w:sz w:val="28"/>
        </w:rPr>
        <w:t>in</w:t>
      </w:r>
      <w:r>
        <w:rPr>
          <w:spacing w:val="-14"/>
          <w:sz w:val="28"/>
        </w:rPr>
        <w:t> </w:t>
      </w:r>
      <w:r>
        <w:rPr>
          <w:sz w:val="28"/>
        </w:rPr>
        <w:t>Fujiminori</w:t>
      </w:r>
      <w:r>
        <w:rPr>
          <w:spacing w:val="-10"/>
          <w:sz w:val="28"/>
        </w:rPr>
        <w:t> </w:t>
      </w:r>
      <w:r>
        <w:rPr>
          <w:sz w:val="28"/>
        </w:rPr>
        <w:t>grape.</w:t>
      </w:r>
      <w:r>
        <w:rPr>
          <w:spacing w:val="-1"/>
          <w:sz w:val="28"/>
        </w:rPr>
        <w:t> </w:t>
      </w:r>
      <w:r>
        <w:rPr>
          <w:i/>
          <w:sz w:val="28"/>
        </w:rPr>
        <w:t>Journal</w:t>
      </w:r>
      <w:r>
        <w:rPr>
          <w:i/>
          <w:spacing w:val="-10"/>
          <w:sz w:val="28"/>
        </w:rPr>
        <w:t> </w:t>
      </w:r>
      <w:r>
        <w:rPr>
          <w:i/>
          <w:sz w:val="28"/>
        </w:rPr>
        <w:t>of</w:t>
      </w:r>
      <w:r>
        <w:rPr>
          <w:i/>
          <w:spacing w:val="-9"/>
          <w:sz w:val="28"/>
        </w:rPr>
        <w:t> </w:t>
      </w:r>
      <w:r>
        <w:rPr>
          <w:i/>
          <w:sz w:val="28"/>
        </w:rPr>
        <w:t>Fruit</w:t>
      </w:r>
      <w:r>
        <w:rPr>
          <w:i/>
          <w:spacing w:val="-11"/>
          <w:sz w:val="28"/>
        </w:rPr>
        <w:t> </w:t>
      </w:r>
      <w:r>
        <w:rPr>
          <w:i/>
          <w:sz w:val="28"/>
        </w:rPr>
        <w:t>Science. </w:t>
      </w:r>
      <w:r>
        <w:rPr>
          <w:sz w:val="28"/>
        </w:rPr>
        <w:t>New York. 2001. V. 18. № 4. Р.</w:t>
      </w:r>
      <w:r>
        <w:rPr>
          <w:spacing w:val="17"/>
          <w:sz w:val="28"/>
        </w:rPr>
        <w:t> </w:t>
      </w:r>
      <w:r>
        <w:rPr>
          <w:sz w:val="28"/>
        </w:rPr>
        <w:t>209–212.</w:t>
      </w:r>
    </w:p>
    <w:p>
      <w:pPr>
        <w:pStyle w:val="ListParagraph"/>
        <w:numPr>
          <w:ilvl w:val="0"/>
          <w:numId w:val="22"/>
        </w:numPr>
        <w:tabs>
          <w:tab w:pos="1254" w:val="left" w:leader="none"/>
        </w:tabs>
        <w:spacing w:line="242" w:lineRule="auto" w:before="0" w:after="0"/>
        <w:ind w:left="193" w:right="618" w:firstLine="710"/>
        <w:jc w:val="both"/>
        <w:rPr>
          <w:sz w:val="28"/>
        </w:rPr>
      </w:pPr>
      <w:r>
        <w:rPr>
          <w:sz w:val="28"/>
        </w:rPr>
        <w:t>Chiarotti F., Biasi </w:t>
      </w:r>
      <w:r>
        <w:rPr>
          <w:spacing w:val="-4"/>
          <w:sz w:val="28"/>
        </w:rPr>
        <w:t>L. </w:t>
      </w:r>
      <w:r>
        <w:rPr>
          <w:sz w:val="28"/>
        </w:rPr>
        <w:t>A.; Cuguel </w:t>
      </w:r>
      <w:r>
        <w:rPr>
          <w:spacing w:val="-3"/>
          <w:sz w:val="28"/>
        </w:rPr>
        <w:t>F. </w:t>
      </w:r>
      <w:r>
        <w:rPr>
          <w:sz w:val="28"/>
        </w:rPr>
        <w:t>L.; Guerios I. T. Melhoria da gualidade de uvaʺBordoʺ para producao de vinho e suco de </w:t>
      </w:r>
      <w:r>
        <w:rPr>
          <w:spacing w:val="-3"/>
          <w:sz w:val="28"/>
        </w:rPr>
        <w:t>uva. </w:t>
      </w:r>
      <w:r>
        <w:rPr>
          <w:i/>
          <w:sz w:val="28"/>
        </w:rPr>
        <w:t>Revista Brasileira de </w:t>
      </w:r>
      <w:r>
        <w:rPr>
          <w:i/>
          <w:sz w:val="28"/>
        </w:rPr>
        <w:t>Fruticultura, Jaboticabal. </w:t>
      </w:r>
      <w:r>
        <w:rPr>
          <w:sz w:val="28"/>
        </w:rPr>
        <w:t>2011. V. 33. Р. 618–624. Numero</w:t>
      </w:r>
      <w:r>
        <w:rPr>
          <w:spacing w:val="14"/>
          <w:sz w:val="28"/>
        </w:rPr>
        <w:t> </w:t>
      </w:r>
      <w:r>
        <w:rPr>
          <w:sz w:val="28"/>
        </w:rPr>
        <w:t>especial.</w:t>
      </w:r>
    </w:p>
    <w:p>
      <w:pPr>
        <w:pStyle w:val="ListParagraph"/>
        <w:numPr>
          <w:ilvl w:val="0"/>
          <w:numId w:val="22"/>
        </w:numPr>
        <w:tabs>
          <w:tab w:pos="1321" w:val="left" w:leader="none"/>
        </w:tabs>
        <w:spacing w:line="240" w:lineRule="auto" w:before="0" w:after="0"/>
        <w:ind w:left="193" w:right="619" w:firstLine="710"/>
        <w:jc w:val="both"/>
        <w:rPr>
          <w:sz w:val="28"/>
        </w:rPr>
      </w:pPr>
      <w:r>
        <w:rPr>
          <w:sz w:val="28"/>
        </w:rPr>
        <w:t>Guerios I. T., Chiarotti F., Cuguel </w:t>
      </w:r>
      <w:r>
        <w:rPr>
          <w:spacing w:val="-3"/>
          <w:sz w:val="28"/>
        </w:rPr>
        <w:t>F. </w:t>
      </w:r>
      <w:r>
        <w:rPr>
          <w:spacing w:val="-4"/>
          <w:sz w:val="28"/>
        </w:rPr>
        <w:t>L. </w:t>
      </w:r>
      <w:r>
        <w:rPr>
          <w:sz w:val="28"/>
        </w:rPr>
        <w:t>Growth regulars improve bunch</w:t>
      </w:r>
      <w:r>
        <w:rPr>
          <w:spacing w:val="-49"/>
          <w:sz w:val="28"/>
        </w:rPr>
        <w:t> </w:t>
      </w:r>
      <w:r>
        <w:rPr>
          <w:sz w:val="28"/>
        </w:rPr>
        <w:t>and berry</w:t>
      </w:r>
      <w:r>
        <w:rPr>
          <w:spacing w:val="-18"/>
          <w:sz w:val="28"/>
        </w:rPr>
        <w:t> </w:t>
      </w:r>
      <w:r>
        <w:rPr>
          <w:sz w:val="28"/>
        </w:rPr>
        <w:t>characteristics</w:t>
      </w:r>
      <w:r>
        <w:rPr>
          <w:spacing w:val="-6"/>
          <w:sz w:val="28"/>
        </w:rPr>
        <w:t> </w:t>
      </w:r>
      <w:r>
        <w:rPr>
          <w:sz w:val="28"/>
        </w:rPr>
        <w:t>in</w:t>
      </w:r>
      <w:r>
        <w:rPr>
          <w:spacing w:val="-17"/>
          <w:sz w:val="28"/>
        </w:rPr>
        <w:t> </w:t>
      </w:r>
      <w:r>
        <w:rPr>
          <w:sz w:val="28"/>
        </w:rPr>
        <w:t>ʺNiagara</w:t>
      </w:r>
      <w:r>
        <w:rPr>
          <w:spacing w:val="-11"/>
          <w:sz w:val="28"/>
        </w:rPr>
        <w:t> </w:t>
      </w:r>
      <w:r>
        <w:rPr>
          <w:sz w:val="28"/>
        </w:rPr>
        <w:t>Rosadaʺ</w:t>
      </w:r>
      <w:r>
        <w:rPr>
          <w:spacing w:val="-9"/>
          <w:sz w:val="28"/>
        </w:rPr>
        <w:t> </w:t>
      </w:r>
      <w:r>
        <w:rPr>
          <w:sz w:val="28"/>
        </w:rPr>
        <w:t>grape.</w:t>
      </w:r>
      <w:r>
        <w:rPr>
          <w:spacing w:val="-3"/>
          <w:sz w:val="28"/>
        </w:rPr>
        <w:t> </w:t>
      </w:r>
      <w:r>
        <w:rPr>
          <w:i/>
          <w:sz w:val="28"/>
        </w:rPr>
        <w:t>Acta</w:t>
      </w:r>
      <w:r>
        <w:rPr>
          <w:i/>
          <w:spacing w:val="-13"/>
          <w:sz w:val="28"/>
        </w:rPr>
        <w:t> </w:t>
      </w:r>
      <w:r>
        <w:rPr>
          <w:i/>
          <w:sz w:val="28"/>
        </w:rPr>
        <w:t>Horticulturae,</w:t>
      </w:r>
      <w:r>
        <w:rPr>
          <w:i/>
          <w:spacing w:val="-11"/>
          <w:sz w:val="28"/>
        </w:rPr>
        <w:t> </w:t>
      </w:r>
      <w:r>
        <w:rPr>
          <w:i/>
          <w:sz w:val="28"/>
        </w:rPr>
        <w:t>The</w:t>
      </w:r>
      <w:r>
        <w:rPr>
          <w:i/>
          <w:spacing w:val="-8"/>
          <w:sz w:val="28"/>
        </w:rPr>
        <w:t> </w:t>
      </w:r>
      <w:r>
        <w:rPr>
          <w:i/>
          <w:sz w:val="28"/>
        </w:rPr>
        <w:t>Hague</w:t>
      </w:r>
      <w:r>
        <w:rPr>
          <w:sz w:val="28"/>
        </w:rPr>
        <w:t>.</w:t>
      </w:r>
      <w:r>
        <w:rPr>
          <w:spacing w:val="-10"/>
          <w:sz w:val="28"/>
        </w:rPr>
        <w:t> </w:t>
      </w:r>
      <w:r>
        <w:rPr>
          <w:sz w:val="28"/>
        </w:rPr>
        <w:t>2016. V. 1115. Р.</w:t>
      </w:r>
      <w:r>
        <w:rPr>
          <w:spacing w:val="11"/>
          <w:sz w:val="28"/>
        </w:rPr>
        <w:t> </w:t>
      </w:r>
      <w:r>
        <w:rPr>
          <w:sz w:val="28"/>
        </w:rPr>
        <w:t>243–248.</w:t>
      </w:r>
    </w:p>
    <w:p>
      <w:pPr>
        <w:pStyle w:val="ListParagraph"/>
        <w:numPr>
          <w:ilvl w:val="0"/>
          <w:numId w:val="22"/>
        </w:numPr>
        <w:tabs>
          <w:tab w:pos="1355" w:val="left" w:leader="none"/>
        </w:tabs>
        <w:spacing w:line="240" w:lineRule="auto" w:before="0" w:after="0"/>
        <w:ind w:left="193" w:right="620" w:firstLine="710"/>
        <w:jc w:val="both"/>
        <w:rPr>
          <w:sz w:val="28"/>
        </w:rPr>
      </w:pPr>
      <w:r>
        <w:rPr>
          <w:sz w:val="28"/>
        </w:rPr>
        <w:t>Kaplan M. Effect of growth regulator application technigue on guality of grapevine ʺEinset Seedlessʺ variety (In Polish). </w:t>
      </w:r>
      <w:r>
        <w:rPr>
          <w:i/>
          <w:sz w:val="28"/>
        </w:rPr>
        <w:t>Acta  Agrobotanica.  </w:t>
      </w:r>
      <w:r>
        <w:rPr>
          <w:sz w:val="28"/>
        </w:rPr>
        <w:t>Lublin.  2011. V. 64. Р.</w:t>
      </w:r>
      <w:r>
        <w:rPr>
          <w:spacing w:val="6"/>
          <w:sz w:val="28"/>
        </w:rPr>
        <w:t> </w:t>
      </w:r>
      <w:r>
        <w:rPr>
          <w:sz w:val="28"/>
        </w:rPr>
        <w:t>189–196.</w:t>
      </w:r>
    </w:p>
    <w:p>
      <w:pPr>
        <w:pStyle w:val="ListParagraph"/>
        <w:numPr>
          <w:ilvl w:val="0"/>
          <w:numId w:val="22"/>
        </w:numPr>
        <w:tabs>
          <w:tab w:pos="1356" w:val="left" w:leader="none"/>
        </w:tabs>
        <w:spacing w:line="240" w:lineRule="auto" w:before="0" w:after="0"/>
        <w:ind w:left="193" w:right="607" w:firstLine="710"/>
        <w:jc w:val="both"/>
        <w:rPr>
          <w:sz w:val="28"/>
        </w:rPr>
      </w:pPr>
      <w:r>
        <w:rPr>
          <w:sz w:val="28"/>
        </w:rPr>
        <w:t>Штірбу </w:t>
      </w:r>
      <w:r>
        <w:rPr>
          <w:spacing w:val="-3"/>
          <w:sz w:val="28"/>
        </w:rPr>
        <w:t>А. </w:t>
      </w:r>
      <w:r>
        <w:rPr>
          <w:sz w:val="28"/>
        </w:rPr>
        <w:t>В., Сівак </w:t>
      </w:r>
      <w:r>
        <w:rPr>
          <w:spacing w:val="-3"/>
          <w:sz w:val="28"/>
        </w:rPr>
        <w:t>Н. </w:t>
      </w:r>
      <w:r>
        <w:rPr>
          <w:sz w:val="28"/>
        </w:rPr>
        <w:t>О., Олефір О. В. Ріст і розвиток ягід столових сортів винограду при дії екзогенного гібереліна. </w:t>
      </w:r>
      <w:r>
        <w:rPr>
          <w:i/>
          <w:sz w:val="28"/>
        </w:rPr>
        <w:t>Виноградарство  і </w:t>
      </w:r>
      <w:r>
        <w:rPr>
          <w:i/>
          <w:sz w:val="28"/>
        </w:rPr>
        <w:t>виноробство : міжвід. темат. наук. зб. </w:t>
      </w:r>
      <w:r>
        <w:rPr>
          <w:sz w:val="28"/>
        </w:rPr>
        <w:t>/ НААН, ННЦ «ІВіВ ім. В. Є. Таїрова». Одеса, 2019. Вип. 56. С.</w:t>
      </w:r>
      <w:r>
        <w:rPr>
          <w:spacing w:val="12"/>
          <w:sz w:val="28"/>
        </w:rPr>
        <w:t> </w:t>
      </w:r>
      <w:r>
        <w:rPr>
          <w:sz w:val="28"/>
        </w:rPr>
        <w:t>138–144.</w:t>
      </w:r>
    </w:p>
    <w:p>
      <w:pPr>
        <w:pStyle w:val="ListParagraph"/>
        <w:numPr>
          <w:ilvl w:val="0"/>
          <w:numId w:val="22"/>
        </w:numPr>
        <w:tabs>
          <w:tab w:pos="1254" w:val="left" w:leader="none"/>
        </w:tabs>
        <w:spacing w:line="242" w:lineRule="auto" w:before="0" w:after="0"/>
        <w:ind w:left="193" w:right="618" w:firstLine="710"/>
        <w:jc w:val="both"/>
        <w:rPr>
          <w:sz w:val="28"/>
        </w:rPr>
      </w:pPr>
      <w:r>
        <w:rPr>
          <w:sz w:val="28"/>
        </w:rPr>
        <w:t>Мананков М. К. Физиология действия гиббереллина на рост и генеративное развитие винограда : автореф. дисс. д-ра биол. наук. Киев, 1981. 23</w:t>
      </w:r>
      <w:r>
        <w:rPr>
          <w:spacing w:val="2"/>
          <w:sz w:val="28"/>
        </w:rPr>
        <w:t> </w:t>
      </w:r>
      <w:r>
        <w:rPr>
          <w:sz w:val="28"/>
        </w:rPr>
        <w:t>с.</w:t>
      </w:r>
    </w:p>
    <w:p>
      <w:pPr>
        <w:pStyle w:val="ListParagraph"/>
        <w:numPr>
          <w:ilvl w:val="0"/>
          <w:numId w:val="22"/>
        </w:numPr>
        <w:tabs>
          <w:tab w:pos="1465" w:val="left" w:leader="none"/>
        </w:tabs>
        <w:spacing w:line="307" w:lineRule="exact" w:before="0" w:after="0"/>
        <w:ind w:left="1464" w:right="0" w:hanging="562"/>
        <w:jc w:val="both"/>
        <w:rPr>
          <w:sz w:val="28"/>
        </w:rPr>
      </w:pPr>
      <w:r>
        <w:rPr>
          <w:sz w:val="28"/>
        </w:rPr>
        <w:t>Агафонов </w:t>
      </w:r>
      <w:r>
        <w:rPr>
          <w:spacing w:val="-3"/>
          <w:sz w:val="28"/>
        </w:rPr>
        <w:t>А. </w:t>
      </w:r>
      <w:r>
        <w:rPr>
          <w:sz w:val="28"/>
        </w:rPr>
        <w:t>Х., Казахмедов Р. Э. Обработка регуляторами</w:t>
      </w:r>
      <w:r>
        <w:rPr>
          <w:spacing w:val="60"/>
          <w:sz w:val="28"/>
        </w:rPr>
        <w:t> </w:t>
      </w:r>
      <w:r>
        <w:rPr>
          <w:sz w:val="28"/>
        </w:rPr>
        <w:t>роста</w:t>
      </w:r>
    </w:p>
    <w:p>
      <w:pPr>
        <w:pStyle w:val="BodyText"/>
        <w:spacing w:line="322" w:lineRule="exact"/>
      </w:pPr>
      <w:r>
        <w:rPr/>
        <w:t>перспективных семенных сортов для получения бессемянных ягод винограда.</w:t>
      </w:r>
    </w:p>
    <w:p>
      <w:pPr>
        <w:spacing w:line="322" w:lineRule="exact" w:before="0"/>
        <w:ind w:left="193" w:right="0" w:firstLine="0"/>
        <w:jc w:val="both"/>
        <w:rPr>
          <w:sz w:val="28"/>
        </w:rPr>
      </w:pPr>
      <w:r>
        <w:rPr>
          <w:i/>
          <w:sz w:val="28"/>
        </w:rPr>
        <w:t>Виноделие и виноградарство</w:t>
      </w:r>
      <w:r>
        <w:rPr>
          <w:sz w:val="28"/>
        </w:rPr>
        <w:t>. 2007. № 3. С. 38–39.</w:t>
      </w:r>
    </w:p>
    <w:p>
      <w:pPr>
        <w:pStyle w:val="ListParagraph"/>
        <w:numPr>
          <w:ilvl w:val="0"/>
          <w:numId w:val="22"/>
        </w:numPr>
        <w:tabs>
          <w:tab w:pos="1485" w:val="left" w:leader="none"/>
        </w:tabs>
        <w:spacing w:line="240" w:lineRule="auto" w:before="0" w:after="0"/>
        <w:ind w:left="193" w:right="616" w:firstLine="710"/>
        <w:jc w:val="both"/>
        <w:rPr>
          <w:sz w:val="28"/>
        </w:rPr>
      </w:pPr>
      <w:r>
        <w:rPr>
          <w:sz w:val="28"/>
        </w:rPr>
        <w:t>Батукаев </w:t>
      </w:r>
      <w:r>
        <w:rPr>
          <w:spacing w:val="-3"/>
          <w:sz w:val="28"/>
        </w:rPr>
        <w:t>А. А. </w:t>
      </w:r>
      <w:r>
        <w:rPr>
          <w:sz w:val="28"/>
        </w:rPr>
        <w:t>Реакция семенных сортов винограда различных эколого-географических групп на применение гиббереллина. Москва : Изд-во МСХА, 1996. 139</w:t>
      </w:r>
      <w:r>
        <w:rPr>
          <w:spacing w:val="11"/>
          <w:sz w:val="28"/>
        </w:rPr>
        <w:t> </w:t>
      </w:r>
      <w:r>
        <w:rPr>
          <w:sz w:val="28"/>
        </w:rPr>
        <w:t>с.</w:t>
      </w:r>
    </w:p>
    <w:p>
      <w:pPr>
        <w:pStyle w:val="ListParagraph"/>
        <w:numPr>
          <w:ilvl w:val="0"/>
          <w:numId w:val="22"/>
        </w:numPr>
        <w:tabs>
          <w:tab w:pos="1638" w:val="left" w:leader="none"/>
        </w:tabs>
        <w:spacing w:line="240" w:lineRule="auto" w:before="0" w:after="0"/>
        <w:ind w:left="193" w:right="621" w:firstLine="710"/>
        <w:jc w:val="both"/>
        <w:rPr>
          <w:sz w:val="28"/>
        </w:rPr>
      </w:pPr>
      <w:r>
        <w:rPr>
          <w:sz w:val="28"/>
        </w:rPr>
        <w:t>Амирджанов </w:t>
      </w:r>
      <w:r>
        <w:rPr>
          <w:spacing w:val="-3"/>
          <w:sz w:val="28"/>
        </w:rPr>
        <w:t>А. </w:t>
      </w:r>
      <w:r>
        <w:rPr>
          <w:sz w:val="28"/>
        </w:rPr>
        <w:t>Г. Солнечная радиация и продуктивность виноградника. Ленинград : Гидрометеоиздат,</w:t>
      </w:r>
      <w:r>
        <w:rPr>
          <w:spacing w:val="8"/>
          <w:sz w:val="28"/>
        </w:rPr>
        <w:t> </w:t>
      </w:r>
      <w:r>
        <w:rPr>
          <w:sz w:val="28"/>
        </w:rPr>
        <w:t>1980.</w:t>
      </w:r>
    </w:p>
    <w:p>
      <w:pPr>
        <w:pStyle w:val="BodyText"/>
        <w:ind w:right="628" w:firstLine="710"/>
      </w:pPr>
      <w:r>
        <w:rPr/>
        <w:t>21 Милованова Л. В. Ускоренные методы биохимического анализа. Кишинёв : Штиинца, 1972.</w:t>
      </w:r>
    </w:p>
    <w:p>
      <w:pPr>
        <w:pStyle w:val="ListParagraph"/>
        <w:numPr>
          <w:ilvl w:val="0"/>
          <w:numId w:val="23"/>
        </w:numPr>
        <w:tabs>
          <w:tab w:pos="1389" w:val="left" w:leader="none"/>
        </w:tabs>
        <w:spacing w:line="240" w:lineRule="auto" w:before="0" w:after="0"/>
        <w:ind w:left="193" w:right="617" w:firstLine="710"/>
        <w:jc w:val="both"/>
        <w:rPr>
          <w:sz w:val="28"/>
        </w:rPr>
      </w:pPr>
      <w:r>
        <w:rPr>
          <w:sz w:val="28"/>
        </w:rPr>
        <w:t>Штирбу </w:t>
      </w:r>
      <w:r>
        <w:rPr>
          <w:spacing w:val="-3"/>
          <w:sz w:val="28"/>
        </w:rPr>
        <w:t>А. </w:t>
      </w:r>
      <w:r>
        <w:rPr>
          <w:sz w:val="28"/>
        </w:rPr>
        <w:t>В., Сивак </w:t>
      </w:r>
      <w:r>
        <w:rPr>
          <w:spacing w:val="-3"/>
          <w:sz w:val="28"/>
        </w:rPr>
        <w:t>Н. А. </w:t>
      </w:r>
      <w:r>
        <w:rPr>
          <w:sz w:val="28"/>
        </w:rPr>
        <w:t>Применение гиббереллина в технологии выращивания столовых сортов винограда с партенокарпическим и стеноспермокарпическим типом бессемяности ягод. </w:t>
      </w:r>
      <w:r>
        <w:rPr>
          <w:i/>
          <w:sz w:val="28"/>
        </w:rPr>
        <w:t>Виноградарство і </w:t>
      </w:r>
      <w:r>
        <w:rPr>
          <w:i/>
          <w:sz w:val="28"/>
        </w:rPr>
        <w:t>виноробство : міжвід. темат. наук. зб</w:t>
      </w:r>
      <w:r>
        <w:rPr>
          <w:sz w:val="28"/>
        </w:rPr>
        <w:t>. Одеса : ННЦ «ІВіВ ім. В.Є. Таїрова», 2016. Вип. 53. С.</w:t>
      </w:r>
      <w:r>
        <w:rPr>
          <w:spacing w:val="17"/>
          <w:sz w:val="28"/>
        </w:rPr>
        <w:t> </w:t>
      </w:r>
      <w:r>
        <w:rPr>
          <w:sz w:val="28"/>
        </w:rPr>
        <w:t>263–267.</w:t>
      </w:r>
    </w:p>
    <w:p>
      <w:pPr>
        <w:pStyle w:val="ListParagraph"/>
        <w:numPr>
          <w:ilvl w:val="0"/>
          <w:numId w:val="23"/>
        </w:numPr>
        <w:tabs>
          <w:tab w:pos="1326" w:val="left" w:leader="none"/>
        </w:tabs>
        <w:spacing w:line="240" w:lineRule="auto" w:before="1" w:after="0"/>
        <w:ind w:left="193" w:right="618" w:firstLine="710"/>
        <w:jc w:val="both"/>
        <w:rPr>
          <w:sz w:val="28"/>
        </w:rPr>
      </w:pPr>
      <w:r>
        <w:rPr>
          <w:sz w:val="28"/>
        </w:rPr>
        <w:t>Vlasov V., Shtirbu A., Derendovskaia </w:t>
      </w:r>
      <w:r>
        <w:rPr>
          <w:spacing w:val="-3"/>
          <w:sz w:val="28"/>
        </w:rPr>
        <w:t>A. </w:t>
      </w:r>
      <w:r>
        <w:rPr>
          <w:sz w:val="28"/>
        </w:rPr>
        <w:t>[et al.]. Effect of Gibberellic Acid on the Yield of Partenocarpic and Stenospermocarpic Grape Cultivars. </w:t>
      </w:r>
      <w:r>
        <w:rPr>
          <w:i/>
          <w:sz w:val="28"/>
        </w:rPr>
        <w:t>Bahce Jour. of </w:t>
      </w:r>
      <w:r>
        <w:rPr>
          <w:i/>
          <w:sz w:val="28"/>
        </w:rPr>
        <w:t>Ataturk central horticultural research institute</w:t>
      </w:r>
      <w:r>
        <w:rPr>
          <w:sz w:val="28"/>
        </w:rPr>
        <w:t>. 2020. Vol. 49. Sp. ed. 1. P.</w:t>
      </w:r>
      <w:r>
        <w:rPr>
          <w:spacing w:val="1"/>
          <w:sz w:val="28"/>
        </w:rPr>
        <w:t> </w:t>
      </w:r>
      <w:r>
        <w:rPr>
          <w:sz w:val="28"/>
        </w:rPr>
        <w:t>1–6.</w:t>
      </w:r>
    </w:p>
    <w:p>
      <w:pPr>
        <w:pStyle w:val="ListParagraph"/>
        <w:numPr>
          <w:ilvl w:val="0"/>
          <w:numId w:val="23"/>
        </w:numPr>
        <w:tabs>
          <w:tab w:pos="1369" w:val="left" w:leader="none"/>
        </w:tabs>
        <w:spacing w:line="240" w:lineRule="auto" w:before="0" w:after="0"/>
        <w:ind w:left="193" w:right="609" w:firstLine="710"/>
        <w:jc w:val="both"/>
        <w:rPr>
          <w:sz w:val="28"/>
        </w:rPr>
      </w:pPr>
      <w:r>
        <w:rPr>
          <w:sz w:val="28"/>
        </w:rPr>
        <w:t>Мозер Л. Виноградарство по новому / пер. с нем. и предисл.  к. б. н. О. </w:t>
      </w:r>
      <w:r>
        <w:rPr>
          <w:spacing w:val="-3"/>
          <w:sz w:val="28"/>
        </w:rPr>
        <w:t>П. </w:t>
      </w:r>
      <w:r>
        <w:rPr>
          <w:sz w:val="28"/>
        </w:rPr>
        <w:t>Рябчуна. Изд. 2-е, перераб. и доп. Москва : Колос,</w:t>
      </w:r>
      <w:r>
        <w:rPr>
          <w:spacing w:val="19"/>
          <w:sz w:val="28"/>
        </w:rPr>
        <w:t> </w:t>
      </w:r>
      <w:r>
        <w:rPr>
          <w:sz w:val="28"/>
        </w:rPr>
        <w:t>1971.</w:t>
      </w:r>
    </w:p>
    <w:p>
      <w:pPr>
        <w:pStyle w:val="ListParagraph"/>
        <w:numPr>
          <w:ilvl w:val="0"/>
          <w:numId w:val="23"/>
        </w:numPr>
        <w:tabs>
          <w:tab w:pos="1326" w:val="left" w:leader="none"/>
        </w:tabs>
        <w:spacing w:line="321" w:lineRule="exact" w:before="0" w:after="0"/>
        <w:ind w:left="1325" w:right="0" w:hanging="423"/>
        <w:jc w:val="both"/>
        <w:rPr>
          <w:sz w:val="28"/>
        </w:rPr>
      </w:pPr>
      <w:r>
        <w:rPr>
          <w:sz w:val="28"/>
        </w:rPr>
        <w:t>Библина Л. Удобрение виноградников. Кишинёв,</w:t>
      </w:r>
      <w:r>
        <w:rPr>
          <w:spacing w:val="11"/>
          <w:sz w:val="28"/>
        </w:rPr>
        <w:t> </w:t>
      </w:r>
      <w:r>
        <w:rPr>
          <w:sz w:val="28"/>
        </w:rPr>
        <w:t>1958.</w:t>
      </w:r>
    </w:p>
    <w:p>
      <w:pPr>
        <w:pStyle w:val="ListParagraph"/>
        <w:numPr>
          <w:ilvl w:val="0"/>
          <w:numId w:val="23"/>
        </w:numPr>
        <w:tabs>
          <w:tab w:pos="1422" w:val="left" w:leader="none"/>
        </w:tabs>
        <w:spacing w:line="240" w:lineRule="auto" w:before="0" w:after="0"/>
        <w:ind w:left="193" w:right="622" w:firstLine="710"/>
        <w:jc w:val="both"/>
        <w:rPr>
          <w:sz w:val="28"/>
        </w:rPr>
      </w:pPr>
      <w:r>
        <w:rPr>
          <w:sz w:val="28"/>
        </w:rPr>
        <w:t>Черноморец М. В. Устойчивость виноградного растения к низким температурам / под ред. К. </w:t>
      </w:r>
      <w:r>
        <w:rPr>
          <w:spacing w:val="-3"/>
          <w:sz w:val="28"/>
        </w:rPr>
        <w:t>А. </w:t>
      </w:r>
      <w:r>
        <w:rPr>
          <w:sz w:val="28"/>
        </w:rPr>
        <w:t>Войтович. Кишинёв : Картя Молдовеняскэ, 1985. 190 с.,</w:t>
      </w:r>
      <w:r>
        <w:rPr>
          <w:spacing w:val="5"/>
          <w:sz w:val="28"/>
        </w:rPr>
        <w:t> </w:t>
      </w:r>
      <w:r>
        <w:rPr>
          <w:sz w:val="28"/>
        </w:rPr>
        <w:t>ил.</w:t>
      </w:r>
    </w:p>
    <w:p>
      <w:pPr>
        <w:spacing w:after="0" w:line="240" w:lineRule="auto"/>
        <w:jc w:val="both"/>
        <w:rPr>
          <w:sz w:val="28"/>
        </w:rPr>
        <w:sectPr>
          <w:pgSz w:w="11910" w:h="16840"/>
          <w:pgMar w:header="713" w:footer="778" w:top="1140" w:bottom="960" w:left="940" w:right="520"/>
        </w:sectPr>
      </w:pPr>
    </w:p>
    <w:p>
      <w:pPr>
        <w:pStyle w:val="BodyText"/>
        <w:spacing w:before="9"/>
        <w:ind w:left="0"/>
        <w:jc w:val="left"/>
      </w:pPr>
    </w:p>
    <w:p>
      <w:pPr>
        <w:pStyle w:val="Heading1"/>
        <w:spacing w:before="87"/>
        <w:ind w:left="2147" w:right="619" w:hanging="1220"/>
        <w:jc w:val="left"/>
      </w:pPr>
      <w:r>
        <w:rPr/>
        <w:t>ВЛИЯНИЕ ГИББЕРЛЛИНА НА УРОЖАЙНОСТЬ И ВЫЗРЕВАНИЕ ЛОЗЫ СТОЛОВЫХ СОРТОВ ВИНОГРАДА</w:t>
      </w:r>
    </w:p>
    <w:p>
      <w:pPr>
        <w:pStyle w:val="BodyText"/>
        <w:spacing w:line="316" w:lineRule="exact"/>
        <w:ind w:left="4102"/>
      </w:pPr>
      <w:r>
        <w:rPr/>
        <w:t>Штирбу А., Сивак Н.</w:t>
      </w:r>
    </w:p>
    <w:p>
      <w:pPr>
        <w:spacing w:line="240" w:lineRule="auto" w:before="0"/>
        <w:ind w:left="193" w:right="614" w:firstLine="710"/>
        <w:jc w:val="both"/>
        <w:rPr>
          <w:i/>
          <w:sz w:val="28"/>
        </w:rPr>
      </w:pPr>
      <w:r>
        <w:rPr>
          <w:i/>
          <w:sz w:val="28"/>
        </w:rPr>
        <w:t>Исследовано влияние обработки соцветий экзогенным гиббереллином на </w:t>
      </w:r>
      <w:r>
        <w:rPr>
          <w:i/>
          <w:sz w:val="28"/>
        </w:rPr>
        <w:t>малораспространенные столовые сорта винограда с признаками партенокарпии и стеноспермокарпии ягод. Установлено, что применение гиббереллина в дозе 40 мг/л на 3-5 день после завершения фазы цветения на сортах Флора, Талисман и Кишмиш лучистый увеличивает урожайность насаждений на 48-61%. Повышенный уровень продуктивности кустов после обработки растений гиббереллином не влияет негативно на вызревание лозы, особенно на накопление углеводов. После завершения вегетационного периода в однолетних побегах опытных вариантов, по сравнению с контролем, содержание растворимых сахаров увеличивается на 0,5-1,2%, крахмала – 0,6- 2,2% в пересчете на абсолютно сухую массу.</w:t>
      </w:r>
    </w:p>
    <w:p>
      <w:pPr>
        <w:spacing w:before="2"/>
        <w:ind w:left="193" w:right="626" w:firstLine="710"/>
        <w:jc w:val="both"/>
        <w:rPr>
          <w:i/>
          <w:sz w:val="28"/>
        </w:rPr>
      </w:pPr>
      <w:r>
        <w:rPr>
          <w:b/>
          <w:i/>
          <w:sz w:val="28"/>
        </w:rPr>
        <w:t>Ключевые слова: </w:t>
      </w:r>
      <w:r>
        <w:rPr>
          <w:i/>
          <w:sz w:val="28"/>
        </w:rPr>
        <w:t>виноград, вызревание, урожайность, углеводы, </w:t>
      </w:r>
      <w:r>
        <w:rPr>
          <w:i/>
          <w:sz w:val="28"/>
        </w:rPr>
        <w:t>гиббереллин, продуктивность.</w:t>
      </w:r>
    </w:p>
    <w:p>
      <w:pPr>
        <w:pStyle w:val="BodyText"/>
        <w:spacing w:before="8"/>
        <w:ind w:left="0"/>
        <w:jc w:val="left"/>
        <w:rPr>
          <w:i/>
        </w:rPr>
      </w:pPr>
    </w:p>
    <w:p>
      <w:pPr>
        <w:pStyle w:val="Heading1"/>
        <w:ind w:left="2282" w:right="1012" w:hanging="970"/>
        <w:jc w:val="left"/>
      </w:pPr>
      <w:r>
        <w:rPr/>
        <w:t>THE INFLUENCE OF GIBERELINE ON FERTILIZATION AND MATURE REDUCTION OF VEGETABLES</w:t>
      </w:r>
    </w:p>
    <w:p>
      <w:pPr>
        <w:pStyle w:val="BodyText"/>
        <w:spacing w:line="316" w:lineRule="exact"/>
        <w:ind w:left="4255"/>
      </w:pPr>
      <w:r>
        <w:rPr/>
        <w:t>Shtirbu A, Sivak N.</w:t>
      </w:r>
    </w:p>
    <w:p>
      <w:pPr>
        <w:spacing w:before="0"/>
        <w:ind w:left="193" w:right="617" w:firstLine="710"/>
        <w:jc w:val="both"/>
        <w:rPr>
          <w:i/>
          <w:sz w:val="28"/>
        </w:rPr>
      </w:pPr>
      <w:r>
        <w:rPr>
          <w:i/>
          <w:sz w:val="28"/>
        </w:rPr>
        <w:t>The effect of treatment of inflorescences with exogenous gibberellin on table </w:t>
      </w:r>
      <w:r>
        <w:rPr>
          <w:i/>
          <w:sz w:val="28"/>
        </w:rPr>
        <w:t>grape</w:t>
      </w:r>
      <w:r>
        <w:rPr>
          <w:i/>
          <w:spacing w:val="-17"/>
          <w:sz w:val="28"/>
        </w:rPr>
        <w:t> </w:t>
      </w:r>
      <w:r>
        <w:rPr>
          <w:i/>
          <w:sz w:val="28"/>
        </w:rPr>
        <w:t>varieties</w:t>
      </w:r>
      <w:r>
        <w:rPr>
          <w:i/>
          <w:spacing w:val="-19"/>
          <w:sz w:val="28"/>
        </w:rPr>
        <w:t> </w:t>
      </w:r>
      <w:r>
        <w:rPr>
          <w:i/>
          <w:sz w:val="28"/>
        </w:rPr>
        <w:t>with</w:t>
      </w:r>
      <w:r>
        <w:rPr>
          <w:i/>
          <w:spacing w:val="-18"/>
          <w:sz w:val="28"/>
        </w:rPr>
        <w:t> </w:t>
      </w:r>
      <w:r>
        <w:rPr>
          <w:i/>
          <w:sz w:val="28"/>
        </w:rPr>
        <w:t>parthenocarpic</w:t>
      </w:r>
      <w:r>
        <w:rPr>
          <w:i/>
          <w:spacing w:val="-17"/>
          <w:sz w:val="28"/>
        </w:rPr>
        <w:t> </w:t>
      </w:r>
      <w:r>
        <w:rPr>
          <w:i/>
          <w:sz w:val="28"/>
        </w:rPr>
        <w:t>and</w:t>
      </w:r>
      <w:r>
        <w:rPr>
          <w:i/>
          <w:spacing w:val="-17"/>
          <w:sz w:val="28"/>
        </w:rPr>
        <w:t> </w:t>
      </w:r>
      <w:r>
        <w:rPr>
          <w:i/>
          <w:sz w:val="28"/>
        </w:rPr>
        <w:t>stenospermocarpic</w:t>
      </w:r>
      <w:r>
        <w:rPr>
          <w:i/>
          <w:spacing w:val="-17"/>
          <w:sz w:val="28"/>
        </w:rPr>
        <w:t> </w:t>
      </w:r>
      <w:r>
        <w:rPr>
          <w:i/>
          <w:sz w:val="28"/>
        </w:rPr>
        <w:t>berries</w:t>
      </w:r>
      <w:r>
        <w:rPr>
          <w:i/>
          <w:spacing w:val="-19"/>
          <w:sz w:val="28"/>
        </w:rPr>
        <w:t> </w:t>
      </w:r>
      <w:r>
        <w:rPr>
          <w:i/>
          <w:spacing w:val="-3"/>
          <w:sz w:val="28"/>
        </w:rPr>
        <w:t>was</w:t>
      </w:r>
      <w:r>
        <w:rPr>
          <w:i/>
          <w:spacing w:val="-16"/>
          <w:sz w:val="28"/>
        </w:rPr>
        <w:t> </w:t>
      </w:r>
      <w:r>
        <w:rPr>
          <w:i/>
          <w:sz w:val="28"/>
        </w:rPr>
        <w:t>studied.</w:t>
      </w:r>
      <w:r>
        <w:rPr>
          <w:i/>
          <w:spacing w:val="-15"/>
          <w:sz w:val="28"/>
        </w:rPr>
        <w:t> </w:t>
      </w:r>
      <w:r>
        <w:rPr>
          <w:i/>
          <w:sz w:val="28"/>
        </w:rPr>
        <w:t>It</w:t>
      </w:r>
      <w:r>
        <w:rPr>
          <w:i/>
          <w:spacing w:val="-18"/>
          <w:sz w:val="28"/>
        </w:rPr>
        <w:t> </w:t>
      </w:r>
      <w:r>
        <w:rPr>
          <w:i/>
          <w:spacing w:val="-3"/>
          <w:sz w:val="28"/>
        </w:rPr>
        <w:t>was </w:t>
      </w:r>
      <w:r>
        <w:rPr>
          <w:i/>
          <w:sz w:val="28"/>
        </w:rPr>
        <w:t>established that the use of gibberellin at a dose of 40 ppm after bloom on cultivars “Flora”, “Talisman” and “Kishmish luchistii” increases the yield by 48-61%. The increased level of vine productivity after gibberellin treatment of plants no negative effect</w:t>
      </w:r>
      <w:r>
        <w:rPr>
          <w:i/>
          <w:spacing w:val="-18"/>
          <w:sz w:val="28"/>
        </w:rPr>
        <w:t> </w:t>
      </w:r>
      <w:r>
        <w:rPr>
          <w:i/>
          <w:sz w:val="28"/>
        </w:rPr>
        <w:t>on</w:t>
      </w:r>
      <w:r>
        <w:rPr>
          <w:i/>
          <w:spacing w:val="-18"/>
          <w:sz w:val="28"/>
        </w:rPr>
        <w:t> </w:t>
      </w:r>
      <w:r>
        <w:rPr>
          <w:i/>
          <w:sz w:val="28"/>
        </w:rPr>
        <w:t>the</w:t>
      </w:r>
      <w:r>
        <w:rPr>
          <w:i/>
          <w:spacing w:val="-17"/>
          <w:sz w:val="28"/>
        </w:rPr>
        <w:t> </w:t>
      </w:r>
      <w:r>
        <w:rPr>
          <w:i/>
          <w:sz w:val="28"/>
        </w:rPr>
        <w:t>shoot</w:t>
      </w:r>
      <w:r>
        <w:rPr>
          <w:i/>
          <w:spacing w:val="-18"/>
          <w:sz w:val="28"/>
        </w:rPr>
        <w:t> </w:t>
      </w:r>
      <w:r>
        <w:rPr>
          <w:i/>
          <w:sz w:val="28"/>
        </w:rPr>
        <w:t>maturation,</w:t>
      </w:r>
      <w:r>
        <w:rPr>
          <w:i/>
          <w:spacing w:val="-16"/>
          <w:sz w:val="28"/>
        </w:rPr>
        <w:t> </w:t>
      </w:r>
      <w:r>
        <w:rPr>
          <w:i/>
          <w:sz w:val="28"/>
        </w:rPr>
        <w:t>especially</w:t>
      </w:r>
      <w:r>
        <w:rPr>
          <w:i/>
          <w:spacing w:val="-17"/>
          <w:sz w:val="28"/>
        </w:rPr>
        <w:t> </w:t>
      </w:r>
      <w:r>
        <w:rPr>
          <w:i/>
          <w:sz w:val="28"/>
        </w:rPr>
        <w:t>the</w:t>
      </w:r>
      <w:r>
        <w:rPr>
          <w:i/>
          <w:spacing w:val="-17"/>
          <w:sz w:val="28"/>
        </w:rPr>
        <w:t> </w:t>
      </w:r>
      <w:r>
        <w:rPr>
          <w:i/>
          <w:sz w:val="28"/>
        </w:rPr>
        <w:t>accumulation</w:t>
      </w:r>
      <w:r>
        <w:rPr>
          <w:i/>
          <w:spacing w:val="-18"/>
          <w:sz w:val="28"/>
        </w:rPr>
        <w:t> </w:t>
      </w:r>
      <w:r>
        <w:rPr>
          <w:i/>
          <w:sz w:val="28"/>
        </w:rPr>
        <w:t>of</w:t>
      </w:r>
      <w:r>
        <w:rPr>
          <w:i/>
          <w:spacing w:val="-18"/>
          <w:sz w:val="28"/>
        </w:rPr>
        <w:t> </w:t>
      </w:r>
      <w:r>
        <w:rPr>
          <w:i/>
          <w:sz w:val="28"/>
        </w:rPr>
        <w:t>carbohydrates.</w:t>
      </w:r>
      <w:r>
        <w:rPr>
          <w:i/>
          <w:spacing w:val="-16"/>
          <w:sz w:val="28"/>
        </w:rPr>
        <w:t> </w:t>
      </w:r>
      <w:r>
        <w:rPr>
          <w:i/>
          <w:sz w:val="28"/>
        </w:rPr>
        <w:t>After</w:t>
      </w:r>
      <w:r>
        <w:rPr>
          <w:i/>
          <w:spacing w:val="-16"/>
          <w:sz w:val="28"/>
        </w:rPr>
        <w:t> </w:t>
      </w:r>
      <w:r>
        <w:rPr>
          <w:i/>
          <w:sz w:val="28"/>
        </w:rPr>
        <w:t>leaf fall in the shoots of the experimental variants, </w:t>
      </w:r>
      <w:r>
        <w:rPr>
          <w:i/>
          <w:spacing w:val="3"/>
          <w:sz w:val="28"/>
        </w:rPr>
        <w:t>in </w:t>
      </w:r>
      <w:r>
        <w:rPr>
          <w:i/>
          <w:sz w:val="28"/>
        </w:rPr>
        <w:t>comparison with the control, the content of soluble sugars increases by 0.5-1.2%, starch – 0.6-2.2% of dry</w:t>
      </w:r>
      <w:r>
        <w:rPr>
          <w:i/>
          <w:spacing w:val="-17"/>
          <w:sz w:val="28"/>
        </w:rPr>
        <w:t> </w:t>
      </w:r>
      <w:r>
        <w:rPr>
          <w:i/>
          <w:sz w:val="28"/>
        </w:rPr>
        <w:t>weight.</w:t>
      </w:r>
    </w:p>
    <w:p>
      <w:pPr>
        <w:spacing w:line="240" w:lineRule="auto" w:before="0"/>
        <w:ind w:left="193" w:right="617" w:firstLine="710"/>
        <w:jc w:val="both"/>
        <w:rPr>
          <w:i/>
          <w:sz w:val="28"/>
        </w:rPr>
      </w:pPr>
      <w:r>
        <w:rPr>
          <w:b/>
          <w:i/>
          <w:sz w:val="28"/>
        </w:rPr>
        <w:t>Key words: </w:t>
      </w:r>
      <w:r>
        <w:rPr>
          <w:i/>
          <w:sz w:val="28"/>
        </w:rPr>
        <w:t>grape, shoot maturation, vine productivity, carbohydrates, </w:t>
      </w:r>
      <w:r>
        <w:rPr>
          <w:i/>
          <w:sz w:val="28"/>
        </w:rPr>
        <w:t>gibberellin, yield.</w:t>
      </w:r>
    </w:p>
    <w:p>
      <w:pPr>
        <w:spacing w:after="0" w:line="240" w:lineRule="auto"/>
        <w:jc w:val="both"/>
        <w:rPr>
          <w:sz w:val="28"/>
        </w:rPr>
        <w:sectPr>
          <w:pgSz w:w="11910" w:h="16840"/>
          <w:pgMar w:header="713" w:footer="778" w:top="1140" w:bottom="960" w:left="940" w:right="520"/>
        </w:sectPr>
      </w:pPr>
    </w:p>
    <w:p>
      <w:pPr>
        <w:pStyle w:val="Heading1"/>
        <w:spacing w:before="96"/>
        <w:ind w:left="891"/>
      </w:pPr>
      <w:r>
        <w:rPr/>
        <w:t>ТЕХНІЧНІ НАУКИ</w:t>
      </w:r>
    </w:p>
    <w:p>
      <w:pPr>
        <w:pStyle w:val="BodyText"/>
        <w:spacing w:before="5"/>
        <w:ind w:left="0"/>
        <w:jc w:val="left"/>
        <w:rPr>
          <w:b/>
          <w:sz w:val="27"/>
        </w:rPr>
      </w:pPr>
    </w:p>
    <w:p>
      <w:pPr>
        <w:tabs>
          <w:tab w:pos="5859" w:val="left" w:leader="none"/>
        </w:tabs>
        <w:spacing w:line="650" w:lineRule="atLeast" w:before="0"/>
        <w:ind w:left="1317" w:right="799" w:hanging="1124"/>
        <w:jc w:val="left"/>
        <w:rPr>
          <w:b/>
          <w:sz w:val="28"/>
        </w:rPr>
      </w:pPr>
      <w:r>
        <w:rPr>
          <w:b/>
          <w:sz w:val="28"/>
        </w:rPr>
        <w:t>УДК</w:t>
      </w:r>
      <w:r>
        <w:rPr>
          <w:b/>
          <w:spacing w:val="-3"/>
          <w:sz w:val="28"/>
        </w:rPr>
        <w:t> </w:t>
      </w:r>
      <w:r>
        <w:rPr>
          <w:b/>
          <w:sz w:val="28"/>
        </w:rPr>
        <w:t>631.115:65.011</w:t>
        <w:tab/>
        <w:t>DOI: 10.37000/abbsl.2020.96.15 ПІДВИЩЕННЯ ЕФЕКТИВНОСТІ</w:t>
      </w:r>
      <w:r>
        <w:rPr>
          <w:b/>
          <w:spacing w:val="1"/>
          <w:sz w:val="28"/>
        </w:rPr>
        <w:t> </w:t>
      </w:r>
      <w:r>
        <w:rPr>
          <w:b/>
          <w:sz w:val="28"/>
        </w:rPr>
        <w:t>ФУНКЦІОНУВАННЯ</w:t>
      </w:r>
    </w:p>
    <w:p>
      <w:pPr>
        <w:spacing w:line="320" w:lineRule="exact" w:before="0"/>
        <w:ind w:left="188" w:right="603" w:firstLine="0"/>
        <w:jc w:val="center"/>
        <w:rPr>
          <w:b/>
          <w:sz w:val="28"/>
        </w:rPr>
      </w:pPr>
      <w:r>
        <w:rPr>
          <w:b/>
          <w:sz w:val="28"/>
        </w:rPr>
        <w:t>ФЕРМЕРСЬКИХ ГОСПОДАРСТВ</w:t>
      </w:r>
    </w:p>
    <w:p>
      <w:pPr>
        <w:spacing w:line="319" w:lineRule="exact" w:before="0"/>
        <w:ind w:left="186" w:right="603" w:firstLine="0"/>
        <w:jc w:val="center"/>
        <w:rPr>
          <w:b/>
          <w:sz w:val="28"/>
        </w:rPr>
      </w:pPr>
      <w:r>
        <w:rPr>
          <w:b/>
          <w:sz w:val="28"/>
        </w:rPr>
        <w:t>Г. Дідур</w:t>
      </w:r>
    </w:p>
    <w:p>
      <w:pPr>
        <w:spacing w:line="319" w:lineRule="exact" w:before="0"/>
        <w:ind w:left="182" w:right="603" w:firstLine="0"/>
        <w:jc w:val="center"/>
        <w:rPr>
          <w:i/>
          <w:sz w:val="28"/>
        </w:rPr>
      </w:pPr>
      <w:r>
        <w:rPr>
          <w:i/>
          <w:sz w:val="28"/>
        </w:rPr>
        <w:t>Одеський державний аграрний університет</w:t>
      </w:r>
    </w:p>
    <w:p>
      <w:pPr>
        <w:spacing w:before="0"/>
        <w:ind w:left="193" w:right="613" w:firstLine="720"/>
        <w:jc w:val="both"/>
        <w:rPr>
          <w:i/>
          <w:sz w:val="28"/>
        </w:rPr>
      </w:pPr>
      <w:r>
        <w:rPr>
          <w:i/>
          <w:color w:val="0E0E0E"/>
          <w:sz w:val="28"/>
        </w:rPr>
        <w:t>В статті розглядаються тенденції розвитку фермерських господарств </w:t>
      </w:r>
      <w:r>
        <w:rPr>
          <w:i/>
          <w:color w:val="0E0E0E"/>
          <w:sz w:val="28"/>
        </w:rPr>
        <w:t>України за період з 2010 по 2017 роки. </w:t>
      </w:r>
      <w:r>
        <w:rPr>
          <w:i/>
          <w:sz w:val="28"/>
        </w:rPr>
        <w:t>Проаналізовано динаміку та структуру виробництва</w:t>
      </w:r>
      <w:r>
        <w:rPr>
          <w:i/>
          <w:spacing w:val="-10"/>
          <w:sz w:val="28"/>
        </w:rPr>
        <w:t> </w:t>
      </w:r>
      <w:r>
        <w:rPr>
          <w:i/>
          <w:sz w:val="28"/>
        </w:rPr>
        <w:t>сільськогосподарської</w:t>
      </w:r>
      <w:r>
        <w:rPr>
          <w:i/>
          <w:spacing w:val="-12"/>
          <w:sz w:val="28"/>
        </w:rPr>
        <w:t> </w:t>
      </w:r>
      <w:r>
        <w:rPr>
          <w:i/>
          <w:sz w:val="28"/>
        </w:rPr>
        <w:t>продукції.</w:t>
      </w:r>
      <w:r>
        <w:rPr>
          <w:i/>
          <w:spacing w:val="-9"/>
          <w:sz w:val="28"/>
        </w:rPr>
        <w:t> </w:t>
      </w:r>
      <w:r>
        <w:rPr>
          <w:i/>
          <w:sz w:val="28"/>
        </w:rPr>
        <w:t>Досліджено</w:t>
      </w:r>
      <w:r>
        <w:rPr>
          <w:i/>
          <w:spacing w:val="-10"/>
          <w:sz w:val="28"/>
        </w:rPr>
        <w:t> </w:t>
      </w:r>
      <w:r>
        <w:rPr>
          <w:i/>
          <w:sz w:val="28"/>
        </w:rPr>
        <w:t>рівень</w:t>
      </w:r>
      <w:r>
        <w:rPr>
          <w:i/>
          <w:spacing w:val="-12"/>
          <w:sz w:val="28"/>
        </w:rPr>
        <w:t> </w:t>
      </w:r>
      <w:r>
        <w:rPr>
          <w:i/>
          <w:sz w:val="28"/>
        </w:rPr>
        <w:t>ефективності сільськогосподарського виробництва в фермерських господарствах. Виявлено проблеми, з якими стикаються сучасні фермерські господарства. Дано оцінку рівню</w:t>
      </w:r>
      <w:r>
        <w:rPr>
          <w:i/>
          <w:spacing w:val="-14"/>
          <w:sz w:val="28"/>
        </w:rPr>
        <w:t> </w:t>
      </w:r>
      <w:r>
        <w:rPr>
          <w:i/>
          <w:sz w:val="28"/>
        </w:rPr>
        <w:t>державної</w:t>
      </w:r>
      <w:r>
        <w:rPr>
          <w:i/>
          <w:spacing w:val="-14"/>
          <w:sz w:val="28"/>
        </w:rPr>
        <w:t> </w:t>
      </w:r>
      <w:r>
        <w:rPr>
          <w:i/>
          <w:sz w:val="28"/>
        </w:rPr>
        <w:t>підтримки</w:t>
      </w:r>
      <w:r>
        <w:rPr>
          <w:i/>
          <w:spacing w:val="-14"/>
          <w:sz w:val="28"/>
        </w:rPr>
        <w:t> </w:t>
      </w:r>
      <w:r>
        <w:rPr>
          <w:i/>
          <w:sz w:val="28"/>
        </w:rPr>
        <w:t>фермерських</w:t>
      </w:r>
      <w:r>
        <w:rPr>
          <w:i/>
          <w:spacing w:val="-13"/>
          <w:sz w:val="28"/>
        </w:rPr>
        <w:t> </w:t>
      </w:r>
      <w:r>
        <w:rPr>
          <w:i/>
          <w:sz w:val="28"/>
        </w:rPr>
        <w:t>господарств</w:t>
      </w:r>
      <w:r>
        <w:rPr>
          <w:i/>
          <w:spacing w:val="-14"/>
          <w:sz w:val="28"/>
        </w:rPr>
        <w:t> </w:t>
      </w:r>
      <w:r>
        <w:rPr>
          <w:i/>
          <w:sz w:val="28"/>
        </w:rPr>
        <w:t>та</w:t>
      </w:r>
      <w:r>
        <w:rPr>
          <w:i/>
          <w:spacing w:val="-14"/>
          <w:sz w:val="28"/>
        </w:rPr>
        <w:t> </w:t>
      </w:r>
      <w:r>
        <w:rPr>
          <w:i/>
          <w:sz w:val="28"/>
        </w:rPr>
        <w:t>визначено</w:t>
      </w:r>
      <w:r>
        <w:rPr>
          <w:i/>
          <w:spacing w:val="-13"/>
          <w:sz w:val="28"/>
        </w:rPr>
        <w:t> </w:t>
      </w:r>
      <w:r>
        <w:rPr>
          <w:i/>
          <w:sz w:val="28"/>
        </w:rPr>
        <w:t>напрямки</w:t>
      </w:r>
      <w:r>
        <w:rPr>
          <w:i/>
          <w:spacing w:val="-14"/>
          <w:sz w:val="28"/>
        </w:rPr>
        <w:t> </w:t>
      </w:r>
      <w:r>
        <w:rPr>
          <w:i/>
          <w:sz w:val="28"/>
        </w:rPr>
        <w:t>її удосконалення. Обґрунтована необхідність розробки системних заходів щодо підвищення ефективності функціонування фермерських</w:t>
      </w:r>
      <w:r>
        <w:rPr>
          <w:i/>
          <w:spacing w:val="-4"/>
          <w:sz w:val="28"/>
        </w:rPr>
        <w:t> </w:t>
      </w:r>
      <w:r>
        <w:rPr>
          <w:i/>
          <w:sz w:val="28"/>
        </w:rPr>
        <w:t>господарств.</w:t>
      </w:r>
    </w:p>
    <w:p>
      <w:pPr>
        <w:spacing w:line="242" w:lineRule="auto" w:before="0"/>
        <w:ind w:left="193" w:right="615" w:firstLine="720"/>
        <w:jc w:val="both"/>
        <w:rPr>
          <w:i/>
          <w:sz w:val="28"/>
        </w:rPr>
      </w:pPr>
      <w:r>
        <w:rPr>
          <w:b/>
          <w:i/>
          <w:sz w:val="28"/>
        </w:rPr>
        <w:t>Ключові слова: </w:t>
      </w:r>
      <w:r>
        <w:rPr>
          <w:i/>
          <w:sz w:val="28"/>
        </w:rPr>
        <w:t>фермерські господарства; ефективність; </w:t>
      </w:r>
      <w:r>
        <w:rPr>
          <w:i/>
          <w:sz w:val="28"/>
        </w:rPr>
        <w:t>рентабельність; державна підтримка.</w:t>
      </w:r>
    </w:p>
    <w:p>
      <w:pPr>
        <w:pStyle w:val="BodyText"/>
        <w:spacing w:before="6"/>
        <w:ind w:left="0"/>
        <w:jc w:val="left"/>
        <w:rPr>
          <w:i/>
          <w:sz w:val="27"/>
        </w:rPr>
      </w:pPr>
    </w:p>
    <w:p>
      <w:pPr>
        <w:pStyle w:val="BodyText"/>
        <w:ind w:right="617" w:firstLine="720"/>
      </w:pPr>
      <w:r>
        <w:rPr>
          <w:b/>
        </w:rPr>
        <w:t>Вступ. </w:t>
      </w:r>
      <w:r>
        <w:rPr/>
        <w:t>Для України підвищення ефективності виробництва сільськогосподарської продукції має стратегічне значення для росту національної економіки, тому що при успішному його функціонуванні створюються умови для подолання кризового стану ряду суміжних галузей. Минуло вже майже 20 років від початку аграрної реформи в України, але в наукових колах ще досі продовжуються дискусії щодо ефективності функціонування різних форм господарювання, що отримали розвиток в сільському господарстві. На нашу думку, практично немає ідеальної форми господарювання, кожна з них має свої переваги і недоліки. Тому, однобічний підхід до оцінки будь-якої форми господарювання в аграрному виробництві не дає об’єктивної оцінки економічних процесів, що тут відбуваються.</w:t>
      </w:r>
    </w:p>
    <w:p>
      <w:pPr>
        <w:pStyle w:val="BodyText"/>
        <w:spacing w:before="2"/>
        <w:ind w:right="611" w:firstLine="720"/>
      </w:pPr>
      <w:r>
        <w:rPr/>
        <w:t>Одним з критерії оцінки діяльності різних організаційно-правових форм, що отримали свій розвиток в аграрній сфері, може стати рівень ефективності їх функціонування.</w:t>
      </w:r>
    </w:p>
    <w:p>
      <w:pPr>
        <w:pStyle w:val="BodyText"/>
        <w:ind w:right="617" w:firstLine="720"/>
      </w:pPr>
      <w:r>
        <w:rPr>
          <w:b/>
        </w:rPr>
        <w:t>Аналіз останніх досліджень </w:t>
      </w:r>
      <w:r>
        <w:rPr/>
        <w:t>свідчить, що основу сучасного підприємництва у сільськогосподарському виробництві становлять фермерські господарства.</w:t>
      </w:r>
    </w:p>
    <w:p>
      <w:pPr>
        <w:pStyle w:val="BodyText"/>
        <w:ind w:right="611" w:firstLine="720"/>
      </w:pPr>
      <w:r>
        <w:rPr/>
        <w:t>Дослідженню проблем організації, розвитку та ефективності діяльності фермерських господарств присвячено наукові праці таких провідних економістів-аграріїв, як Ю.О.Лупенко, В.Я. Мессель-Веселяк [1], П.М. Макаренко [2], Л.Ю. Мельник [3], М.Й. Малік [4], Г.В. Спаський Г.В. [5] та багатьох інших. Проведені дослідження свідчать про перспективність, високу ефективність та необхідність використання досвіду функціонування</w:t>
      </w:r>
      <w:r>
        <w:rPr>
          <w:spacing w:val="-51"/>
        </w:rPr>
        <w:t> </w:t>
      </w:r>
      <w:r>
        <w:rPr/>
        <w:t>фермерства провідних держав світу у сільському господарстві України.</w:t>
      </w:r>
    </w:p>
    <w:p>
      <w:pPr>
        <w:spacing w:after="0"/>
        <w:sectPr>
          <w:pgSz w:w="11910" w:h="16840"/>
          <w:pgMar w:header="713" w:footer="778" w:top="1140" w:bottom="960" w:left="940" w:right="520"/>
        </w:sectPr>
      </w:pPr>
    </w:p>
    <w:p>
      <w:pPr>
        <w:pStyle w:val="BodyText"/>
        <w:spacing w:before="92"/>
        <w:ind w:right="619" w:firstLine="720"/>
      </w:pPr>
      <w:r>
        <w:rPr/>
        <w:t>Головною перевагою фермерського господарства над іншими формами господарювання відзначається те, що в них основним мотивом трудової активності працівника є особистий інтерес фермера [5,с.51].</w:t>
      </w:r>
    </w:p>
    <w:p>
      <w:pPr>
        <w:pStyle w:val="BodyText"/>
        <w:ind w:right="611" w:firstLine="720"/>
      </w:pPr>
      <w:r>
        <w:rPr/>
        <w:t>Фермерські господарства функціонують на засадах залучення переважно власної праці, цим і обумовлена специфіка мотиваційної системи працівників цієї підприємницької структури, оскільки основною причиною участі в економічній діяльності є не отримання доходів у вигляді заробітної плати, а максимізація</w:t>
      </w:r>
      <w:r>
        <w:rPr>
          <w:spacing w:val="-11"/>
        </w:rPr>
        <w:t> </w:t>
      </w:r>
      <w:r>
        <w:rPr/>
        <w:t>грошових</w:t>
      </w:r>
      <w:r>
        <w:rPr>
          <w:spacing w:val="-14"/>
        </w:rPr>
        <w:t> </w:t>
      </w:r>
      <w:r>
        <w:rPr/>
        <w:t>надходжень</w:t>
      </w:r>
      <w:r>
        <w:rPr>
          <w:spacing w:val="-9"/>
        </w:rPr>
        <w:t> </w:t>
      </w:r>
      <w:r>
        <w:rPr>
          <w:spacing w:val="-3"/>
        </w:rPr>
        <w:t>із</w:t>
      </w:r>
      <w:r>
        <w:rPr>
          <w:spacing w:val="-10"/>
        </w:rPr>
        <w:t> </w:t>
      </w:r>
      <w:r>
        <w:rPr/>
        <w:t>зростання</w:t>
      </w:r>
      <w:r>
        <w:rPr>
          <w:spacing w:val="-10"/>
        </w:rPr>
        <w:t> </w:t>
      </w:r>
      <w:r>
        <w:rPr/>
        <w:t>добробуту</w:t>
      </w:r>
      <w:r>
        <w:rPr>
          <w:spacing w:val="-15"/>
        </w:rPr>
        <w:t> </w:t>
      </w:r>
      <w:r>
        <w:rPr/>
        <w:t>самого</w:t>
      </w:r>
      <w:r>
        <w:rPr>
          <w:spacing w:val="-10"/>
        </w:rPr>
        <w:t> </w:t>
      </w:r>
      <w:r>
        <w:rPr/>
        <w:t>господарства і його членів як єдиної соціально-економічної спільноти (6,</w:t>
      </w:r>
      <w:r>
        <w:rPr>
          <w:spacing w:val="-14"/>
        </w:rPr>
        <w:t> </w:t>
      </w:r>
      <w:r>
        <w:rPr/>
        <w:t>с.272).</w:t>
      </w:r>
    </w:p>
    <w:p>
      <w:pPr>
        <w:pStyle w:val="BodyText"/>
        <w:spacing w:before="2"/>
        <w:ind w:right="621" w:firstLine="720"/>
      </w:pPr>
      <w:r>
        <w:rPr/>
        <w:t>Довівши свою спроможність і конкурентоспроможність, вони стійко зайняли свою нішу в сільськогосподарському виробництві нашої держави. Ефективне функціонування вищезазначених суб'єктів аграрного бізнесу сприяє підвищенню рівня життя сільського населення: появі робочих місць на селі, отримання додаткового заробітку, раціонального використання сільськогосподарських угідь.</w:t>
      </w:r>
    </w:p>
    <w:p>
      <w:pPr>
        <w:pStyle w:val="BodyText"/>
        <w:ind w:right="617" w:firstLine="720"/>
      </w:pPr>
      <w:r>
        <w:rPr/>
        <w:t>Однак, як відзначають Биба В.А., Корінець Р.Я. [7, с. 89] </w:t>
      </w:r>
      <w:r>
        <w:rPr>
          <w:spacing w:val="-3"/>
        </w:rPr>
        <w:t>існує </w:t>
      </w:r>
      <w:r>
        <w:rPr/>
        <w:t>безліч невирішених</w:t>
      </w:r>
      <w:r>
        <w:rPr>
          <w:spacing w:val="-10"/>
        </w:rPr>
        <w:t> </w:t>
      </w:r>
      <w:r>
        <w:rPr/>
        <w:t>проблем,</w:t>
      </w:r>
      <w:r>
        <w:rPr>
          <w:spacing w:val="-3"/>
        </w:rPr>
        <w:t> </w:t>
      </w:r>
      <w:r>
        <w:rPr/>
        <w:t>найгострішими</w:t>
      </w:r>
      <w:r>
        <w:rPr>
          <w:spacing w:val="-6"/>
        </w:rPr>
        <w:t> </w:t>
      </w:r>
      <w:r>
        <w:rPr/>
        <w:t>з</w:t>
      </w:r>
      <w:r>
        <w:rPr>
          <w:spacing w:val="-5"/>
        </w:rPr>
        <w:t> </w:t>
      </w:r>
      <w:r>
        <w:rPr/>
        <w:t>яких</w:t>
      </w:r>
      <w:r>
        <w:rPr>
          <w:spacing w:val="-9"/>
        </w:rPr>
        <w:t> </w:t>
      </w:r>
      <w:r>
        <w:rPr/>
        <w:t>є:</w:t>
      </w:r>
      <w:r>
        <w:rPr>
          <w:spacing w:val="-10"/>
        </w:rPr>
        <w:t> </w:t>
      </w:r>
      <w:r>
        <w:rPr/>
        <w:t>загальне</w:t>
      </w:r>
      <w:r>
        <w:rPr>
          <w:spacing w:val="-4"/>
        </w:rPr>
        <w:t> </w:t>
      </w:r>
      <w:r>
        <w:rPr/>
        <w:t>технічне</w:t>
      </w:r>
      <w:r>
        <w:rPr>
          <w:spacing w:val="-5"/>
        </w:rPr>
        <w:t> </w:t>
      </w:r>
      <w:r>
        <w:rPr/>
        <w:t>і</w:t>
      </w:r>
      <w:r>
        <w:rPr>
          <w:spacing w:val="-11"/>
        </w:rPr>
        <w:t> </w:t>
      </w:r>
      <w:r>
        <w:rPr/>
        <w:t>технологічне відставання зазначених суб'єктів господарювання; низькі ціни реалізації сільськогосподарської продукції по відношенню до цін на продукцію інших галузей; неможливість постійного збуту виробленої продукції; інфляція і зростання цін на засоби виробництва, мінеральні добрива, енергоносії; недостатній рівень забезпеченості власними оборотними засобами;</w:t>
      </w:r>
      <w:r>
        <w:rPr>
          <w:spacing w:val="-14"/>
        </w:rPr>
        <w:t> </w:t>
      </w:r>
      <w:r>
        <w:rPr/>
        <w:t>тощо.</w:t>
      </w:r>
    </w:p>
    <w:p>
      <w:pPr>
        <w:pStyle w:val="BodyText"/>
        <w:spacing w:before="1"/>
        <w:ind w:right="608" w:firstLine="720"/>
      </w:pPr>
      <w:r>
        <w:rPr/>
        <w:t>Серед</w:t>
      </w:r>
      <w:r>
        <w:rPr>
          <w:spacing w:val="-20"/>
        </w:rPr>
        <w:t> </w:t>
      </w:r>
      <w:r>
        <w:rPr/>
        <w:t>проблем,</w:t>
      </w:r>
      <w:r>
        <w:rPr>
          <w:spacing w:val="-23"/>
        </w:rPr>
        <w:t> </w:t>
      </w:r>
      <w:r>
        <w:rPr/>
        <w:t>з</w:t>
      </w:r>
      <w:r>
        <w:rPr>
          <w:spacing w:val="-25"/>
        </w:rPr>
        <w:t> </w:t>
      </w:r>
      <w:r>
        <w:rPr/>
        <w:t>якими</w:t>
      </w:r>
      <w:r>
        <w:rPr>
          <w:spacing w:val="-22"/>
        </w:rPr>
        <w:t> </w:t>
      </w:r>
      <w:r>
        <w:rPr/>
        <w:t>доводиться</w:t>
      </w:r>
      <w:r>
        <w:rPr>
          <w:spacing w:val="-19"/>
        </w:rPr>
        <w:t> </w:t>
      </w:r>
      <w:r>
        <w:rPr/>
        <w:t>стикатися</w:t>
      </w:r>
      <w:r>
        <w:rPr>
          <w:spacing w:val="-20"/>
        </w:rPr>
        <w:t> </w:t>
      </w:r>
      <w:r>
        <w:rPr/>
        <w:t>фермерським</w:t>
      </w:r>
      <w:r>
        <w:rPr>
          <w:spacing w:val="-21"/>
        </w:rPr>
        <w:t> </w:t>
      </w:r>
      <w:r>
        <w:rPr/>
        <w:t>господарствам особливе місце, як відзначають дослідники, займає проблема недостатньої державної підтримки фермерських господарств [7,</w:t>
      </w:r>
      <w:r>
        <w:rPr>
          <w:spacing w:val="2"/>
        </w:rPr>
        <w:t> </w:t>
      </w:r>
      <w:r>
        <w:rPr/>
        <w:t>8].</w:t>
      </w:r>
    </w:p>
    <w:p>
      <w:pPr>
        <w:pStyle w:val="BodyText"/>
        <w:ind w:right="616" w:firstLine="720"/>
      </w:pPr>
      <w:r>
        <w:rPr/>
        <w:t>Осіпова М.М. та Доброва Н.В. [8] звертають увагу на низку проблем, що гальмують розвиток фермерських господарств: відставання від сучасних тенденцій запровадження інноваційних технологій ведення сільського господарства (нові технології та технічне забезпечення є недоступним для більшості</w:t>
      </w:r>
      <w:r>
        <w:rPr>
          <w:spacing w:val="-18"/>
        </w:rPr>
        <w:t> </w:t>
      </w:r>
      <w:r>
        <w:rPr/>
        <w:t>фермерів</w:t>
      </w:r>
      <w:r>
        <w:rPr>
          <w:spacing w:val="-11"/>
        </w:rPr>
        <w:t> </w:t>
      </w:r>
      <w:r>
        <w:rPr/>
        <w:t>через</w:t>
      </w:r>
      <w:r>
        <w:rPr>
          <w:spacing w:val="-8"/>
        </w:rPr>
        <w:t> </w:t>
      </w:r>
      <w:r>
        <w:rPr/>
        <w:t>їх</w:t>
      </w:r>
      <w:r>
        <w:rPr>
          <w:spacing w:val="-17"/>
        </w:rPr>
        <w:t> </w:t>
      </w:r>
      <w:r>
        <w:rPr/>
        <w:t>високу</w:t>
      </w:r>
      <w:r>
        <w:rPr>
          <w:spacing w:val="-18"/>
        </w:rPr>
        <w:t> </w:t>
      </w:r>
      <w:r>
        <w:rPr/>
        <w:t>вартість);</w:t>
      </w:r>
      <w:r>
        <w:rPr>
          <w:spacing w:val="-13"/>
        </w:rPr>
        <w:t> </w:t>
      </w:r>
      <w:r>
        <w:rPr/>
        <w:t>відсутність</w:t>
      </w:r>
      <w:r>
        <w:rPr>
          <w:spacing w:val="-15"/>
        </w:rPr>
        <w:t> </w:t>
      </w:r>
      <w:r>
        <w:rPr/>
        <w:t>стартового</w:t>
      </w:r>
      <w:r>
        <w:rPr>
          <w:spacing w:val="-13"/>
        </w:rPr>
        <w:t> </w:t>
      </w:r>
      <w:r>
        <w:rPr/>
        <w:t>капіталу,</w:t>
      </w:r>
      <w:r>
        <w:rPr>
          <w:spacing w:val="-10"/>
        </w:rPr>
        <w:t> </w:t>
      </w:r>
      <w:r>
        <w:rPr/>
        <w:t>на основі якого можна було б побудувати ефективне</w:t>
      </w:r>
      <w:r>
        <w:rPr>
          <w:spacing w:val="-3"/>
        </w:rPr>
        <w:t> </w:t>
      </w:r>
      <w:r>
        <w:rPr/>
        <w:t>виробництво.</w:t>
      </w:r>
    </w:p>
    <w:p>
      <w:pPr>
        <w:pStyle w:val="BodyText"/>
        <w:spacing w:before="2"/>
        <w:ind w:right="619" w:firstLine="720"/>
      </w:pPr>
      <w:r>
        <w:rPr/>
        <w:t>Незважаючи на багатоаспектні дослідження вітчизняних науковців відносно визначення проблем ефективності функціонування фермерських господарств, подальшого наукового обґрунтування вимагають питання щодо пошуку основних напрямків забезпечення ефективного розвитку фермерських господарств з урахуванням сучасних викликів зовнішнього середовища їх функціонування.</w:t>
      </w:r>
    </w:p>
    <w:p>
      <w:pPr>
        <w:pStyle w:val="BodyText"/>
        <w:ind w:right="611" w:firstLine="720"/>
      </w:pPr>
      <w:r>
        <w:rPr>
          <w:b/>
        </w:rPr>
        <w:t>Метою дослідження </w:t>
      </w:r>
      <w:r>
        <w:rPr/>
        <w:t>є аналіз рівня розвитку і ефективності господарювання фермерських господарств в Україні та визначення напрямків її підвищення.</w:t>
      </w:r>
    </w:p>
    <w:p>
      <w:pPr>
        <w:pStyle w:val="BodyText"/>
        <w:ind w:right="614" w:firstLine="720"/>
      </w:pPr>
      <w:r>
        <w:rPr>
          <w:b/>
        </w:rPr>
        <w:t>Результати досліджень</w:t>
      </w:r>
      <w:r>
        <w:rPr/>
        <w:t>. Фермерське господарство - це сучасна форма організації сільськогосподарської діяльності, вільного підприємництва на землі, що</w:t>
      </w:r>
      <w:r>
        <w:rPr>
          <w:spacing w:val="-15"/>
        </w:rPr>
        <w:t> </w:t>
      </w:r>
      <w:r>
        <w:rPr/>
        <w:t>здійснюється</w:t>
      </w:r>
      <w:r>
        <w:rPr>
          <w:spacing w:val="-14"/>
        </w:rPr>
        <w:t> </w:t>
      </w:r>
      <w:r>
        <w:rPr/>
        <w:t>на</w:t>
      </w:r>
      <w:r>
        <w:rPr>
          <w:spacing w:val="-14"/>
        </w:rPr>
        <w:t> </w:t>
      </w:r>
      <w:r>
        <w:rPr/>
        <w:t>принципах</w:t>
      </w:r>
      <w:r>
        <w:rPr>
          <w:spacing w:val="-19"/>
        </w:rPr>
        <w:t> </w:t>
      </w:r>
      <w:r>
        <w:rPr/>
        <w:t>економічної</w:t>
      </w:r>
      <w:r>
        <w:rPr>
          <w:spacing w:val="-20"/>
        </w:rPr>
        <w:t> </w:t>
      </w:r>
      <w:r>
        <w:rPr/>
        <w:t>вигоди.</w:t>
      </w:r>
      <w:r>
        <w:rPr>
          <w:spacing w:val="-13"/>
        </w:rPr>
        <w:t> </w:t>
      </w:r>
      <w:r>
        <w:rPr/>
        <w:t>Воно</w:t>
      </w:r>
      <w:r>
        <w:rPr>
          <w:spacing w:val="-15"/>
        </w:rPr>
        <w:t> </w:t>
      </w:r>
      <w:r>
        <w:rPr/>
        <w:t>базується</w:t>
      </w:r>
      <w:r>
        <w:rPr>
          <w:spacing w:val="-13"/>
        </w:rPr>
        <w:t> </w:t>
      </w:r>
      <w:r>
        <w:rPr/>
        <w:t>на</w:t>
      </w:r>
      <w:r>
        <w:rPr>
          <w:spacing w:val="-14"/>
        </w:rPr>
        <w:t> </w:t>
      </w:r>
      <w:r>
        <w:rPr/>
        <w:t>приватній (індивідуальної) власності на засоби виробництва, включаючи землю</w:t>
      </w:r>
      <w:r>
        <w:rPr>
          <w:spacing w:val="25"/>
        </w:rPr>
        <w:t> </w:t>
      </w:r>
      <w:r>
        <w:rPr/>
        <w:t>(частина</w:t>
      </w:r>
    </w:p>
    <w:p>
      <w:pPr>
        <w:spacing w:after="0"/>
        <w:sectPr>
          <w:pgSz w:w="11910" w:h="16840"/>
          <w:pgMar w:header="713" w:footer="778" w:top="1140" w:bottom="960" w:left="940" w:right="520"/>
        </w:sectPr>
      </w:pPr>
    </w:p>
    <w:p>
      <w:pPr>
        <w:pStyle w:val="BodyText"/>
        <w:spacing w:before="92"/>
        <w:ind w:right="625"/>
      </w:pPr>
      <w:r>
        <w:rPr/>
        <w:t>коштів може перебувати в користуванні, в тому числі в оренді), і на дрібногруповій, переважно родинній, формі використання праці.</w:t>
      </w:r>
    </w:p>
    <w:p>
      <w:pPr>
        <w:pStyle w:val="BodyText"/>
        <w:ind w:right="620" w:firstLine="720"/>
      </w:pPr>
      <w:r>
        <w:rPr/>
        <w:t>Фермерські господарства є невід'ємною частиною вітчизняного агропромислового комплексу України і займають важливе місце в забезпеченні продовольчої безпеки. У структурі вітчизняного сільського господарства вони виробляють 15,5% валової продукції сільського господарства (табл. 1).</w:t>
      </w:r>
    </w:p>
    <w:p>
      <w:pPr>
        <w:pStyle w:val="BodyText"/>
        <w:spacing w:before="3" w:after="6"/>
        <w:ind w:right="618" w:firstLine="720"/>
      </w:pPr>
      <w:r>
        <w:rPr/>
        <w:t>Таблиця 1. Динаміка виробництва сільськогосподарської продукції в постійних цінах 2010 року, млн. грн.</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1"/>
        <w:gridCol w:w="797"/>
        <w:gridCol w:w="836"/>
        <w:gridCol w:w="835"/>
        <w:gridCol w:w="831"/>
        <w:gridCol w:w="836"/>
        <w:gridCol w:w="836"/>
        <w:gridCol w:w="837"/>
        <w:gridCol w:w="1010"/>
        <w:gridCol w:w="1029"/>
      </w:tblGrid>
      <w:tr>
        <w:trPr>
          <w:trHeight w:val="969" w:hRule="atLeast"/>
        </w:trPr>
        <w:tc>
          <w:tcPr>
            <w:tcW w:w="1791" w:type="dxa"/>
          </w:tcPr>
          <w:p>
            <w:pPr>
              <w:pStyle w:val="TableParagraph"/>
              <w:rPr>
                <w:sz w:val="24"/>
              </w:rPr>
            </w:pPr>
          </w:p>
        </w:tc>
        <w:tc>
          <w:tcPr>
            <w:tcW w:w="797" w:type="dxa"/>
          </w:tcPr>
          <w:p>
            <w:pPr>
              <w:pStyle w:val="TableParagraph"/>
              <w:spacing w:before="8"/>
              <w:rPr>
                <w:sz w:val="31"/>
              </w:rPr>
            </w:pPr>
          </w:p>
          <w:p>
            <w:pPr>
              <w:pStyle w:val="TableParagraph"/>
              <w:ind w:right="106"/>
              <w:jc w:val="right"/>
              <w:rPr>
                <w:sz w:val="20"/>
              </w:rPr>
            </w:pPr>
            <w:r>
              <w:rPr>
                <w:sz w:val="20"/>
              </w:rPr>
              <w:t>2010р.</w:t>
            </w:r>
          </w:p>
        </w:tc>
        <w:tc>
          <w:tcPr>
            <w:tcW w:w="836" w:type="dxa"/>
          </w:tcPr>
          <w:p>
            <w:pPr>
              <w:pStyle w:val="TableParagraph"/>
              <w:spacing w:before="8"/>
              <w:rPr>
                <w:sz w:val="31"/>
              </w:rPr>
            </w:pPr>
          </w:p>
          <w:p>
            <w:pPr>
              <w:pStyle w:val="TableParagraph"/>
              <w:ind w:right="125"/>
              <w:jc w:val="right"/>
              <w:rPr>
                <w:sz w:val="20"/>
              </w:rPr>
            </w:pPr>
            <w:r>
              <w:rPr>
                <w:sz w:val="20"/>
              </w:rPr>
              <w:t>2012р.</w:t>
            </w:r>
          </w:p>
        </w:tc>
        <w:tc>
          <w:tcPr>
            <w:tcW w:w="835" w:type="dxa"/>
          </w:tcPr>
          <w:p>
            <w:pPr>
              <w:pStyle w:val="TableParagraph"/>
              <w:spacing w:before="8"/>
              <w:rPr>
                <w:sz w:val="31"/>
              </w:rPr>
            </w:pPr>
          </w:p>
          <w:p>
            <w:pPr>
              <w:pStyle w:val="TableParagraph"/>
              <w:ind w:right="129"/>
              <w:jc w:val="right"/>
              <w:rPr>
                <w:sz w:val="20"/>
              </w:rPr>
            </w:pPr>
            <w:r>
              <w:rPr>
                <w:sz w:val="20"/>
              </w:rPr>
              <w:t>2013р.</w:t>
            </w:r>
          </w:p>
        </w:tc>
        <w:tc>
          <w:tcPr>
            <w:tcW w:w="831" w:type="dxa"/>
          </w:tcPr>
          <w:p>
            <w:pPr>
              <w:pStyle w:val="TableParagraph"/>
              <w:spacing w:before="8"/>
              <w:rPr>
                <w:sz w:val="31"/>
              </w:rPr>
            </w:pPr>
          </w:p>
          <w:p>
            <w:pPr>
              <w:pStyle w:val="TableParagraph"/>
              <w:ind w:right="125"/>
              <w:jc w:val="right"/>
              <w:rPr>
                <w:sz w:val="20"/>
              </w:rPr>
            </w:pPr>
            <w:r>
              <w:rPr>
                <w:sz w:val="20"/>
              </w:rPr>
              <w:t>2014р.</w:t>
            </w:r>
          </w:p>
        </w:tc>
        <w:tc>
          <w:tcPr>
            <w:tcW w:w="836" w:type="dxa"/>
          </w:tcPr>
          <w:p>
            <w:pPr>
              <w:pStyle w:val="TableParagraph"/>
              <w:spacing w:before="8"/>
              <w:rPr>
                <w:sz w:val="31"/>
              </w:rPr>
            </w:pPr>
          </w:p>
          <w:p>
            <w:pPr>
              <w:pStyle w:val="TableParagraph"/>
              <w:ind w:left="143"/>
              <w:rPr>
                <w:sz w:val="20"/>
              </w:rPr>
            </w:pPr>
            <w:r>
              <w:rPr>
                <w:sz w:val="20"/>
              </w:rPr>
              <w:t>2015р.</w:t>
            </w:r>
          </w:p>
        </w:tc>
        <w:tc>
          <w:tcPr>
            <w:tcW w:w="836" w:type="dxa"/>
          </w:tcPr>
          <w:p>
            <w:pPr>
              <w:pStyle w:val="TableParagraph"/>
              <w:spacing w:before="8"/>
              <w:rPr>
                <w:sz w:val="31"/>
              </w:rPr>
            </w:pPr>
          </w:p>
          <w:p>
            <w:pPr>
              <w:pStyle w:val="TableParagraph"/>
              <w:ind w:left="143"/>
              <w:rPr>
                <w:sz w:val="20"/>
              </w:rPr>
            </w:pPr>
            <w:r>
              <w:rPr>
                <w:sz w:val="20"/>
              </w:rPr>
              <w:t>2016р.</w:t>
            </w:r>
          </w:p>
        </w:tc>
        <w:tc>
          <w:tcPr>
            <w:tcW w:w="837" w:type="dxa"/>
          </w:tcPr>
          <w:p>
            <w:pPr>
              <w:pStyle w:val="TableParagraph"/>
              <w:spacing w:before="8"/>
              <w:rPr>
                <w:sz w:val="31"/>
              </w:rPr>
            </w:pPr>
          </w:p>
          <w:p>
            <w:pPr>
              <w:pStyle w:val="TableParagraph"/>
              <w:ind w:right="132"/>
              <w:jc w:val="right"/>
              <w:rPr>
                <w:sz w:val="20"/>
              </w:rPr>
            </w:pPr>
            <w:r>
              <w:rPr>
                <w:sz w:val="20"/>
              </w:rPr>
              <w:t>2017р.</w:t>
            </w:r>
          </w:p>
        </w:tc>
        <w:tc>
          <w:tcPr>
            <w:tcW w:w="1010" w:type="dxa"/>
          </w:tcPr>
          <w:p>
            <w:pPr>
              <w:pStyle w:val="TableParagraph"/>
              <w:spacing w:before="19"/>
              <w:ind w:left="205" w:right="205"/>
              <w:jc w:val="center"/>
              <w:rPr>
                <w:sz w:val="20"/>
              </w:rPr>
            </w:pPr>
            <w:r>
              <w:rPr>
                <w:sz w:val="20"/>
              </w:rPr>
              <w:t>2017р.</w:t>
            </w:r>
          </w:p>
          <w:p>
            <w:pPr>
              <w:pStyle w:val="TableParagraph"/>
              <w:spacing w:before="1"/>
              <w:ind w:left="150" w:right="141" w:hanging="5"/>
              <w:jc w:val="center"/>
              <w:rPr>
                <w:sz w:val="20"/>
              </w:rPr>
            </w:pPr>
            <w:r>
              <w:rPr>
                <w:sz w:val="20"/>
              </w:rPr>
              <w:t>до  2010р.</w:t>
            </w:r>
            <w:r>
              <w:rPr>
                <w:spacing w:val="6"/>
                <w:sz w:val="20"/>
              </w:rPr>
              <w:t> </w:t>
            </w:r>
            <w:r>
              <w:rPr>
                <w:spacing w:val="-17"/>
                <w:sz w:val="20"/>
              </w:rPr>
              <w:t>у</w:t>
            </w:r>
          </w:p>
          <w:p>
            <w:pPr>
              <w:pStyle w:val="TableParagraph"/>
              <w:spacing w:before="1"/>
              <w:jc w:val="center"/>
              <w:rPr>
                <w:sz w:val="20"/>
              </w:rPr>
            </w:pPr>
            <w:r>
              <w:rPr>
                <w:w w:val="100"/>
                <w:sz w:val="20"/>
              </w:rPr>
              <w:t>%</w:t>
            </w:r>
          </w:p>
        </w:tc>
        <w:tc>
          <w:tcPr>
            <w:tcW w:w="1029" w:type="dxa"/>
          </w:tcPr>
          <w:p>
            <w:pPr>
              <w:pStyle w:val="TableParagraph"/>
              <w:spacing w:before="134"/>
              <w:ind w:left="106" w:right="104"/>
              <w:jc w:val="center"/>
              <w:rPr>
                <w:sz w:val="20"/>
              </w:rPr>
            </w:pPr>
            <w:r>
              <w:rPr>
                <w:sz w:val="20"/>
              </w:rPr>
              <w:t>2017р. до 2015р. у</w:t>
            </w:r>
          </w:p>
          <w:p>
            <w:pPr>
              <w:pStyle w:val="TableParagraph"/>
              <w:spacing w:before="2"/>
              <w:ind w:right="3"/>
              <w:jc w:val="center"/>
              <w:rPr>
                <w:sz w:val="20"/>
              </w:rPr>
            </w:pPr>
            <w:r>
              <w:rPr>
                <w:w w:val="100"/>
                <w:sz w:val="20"/>
              </w:rPr>
              <w:t>%</w:t>
            </w:r>
          </w:p>
        </w:tc>
      </w:tr>
      <w:tr>
        <w:trPr>
          <w:trHeight w:val="277" w:hRule="atLeast"/>
        </w:trPr>
        <w:tc>
          <w:tcPr>
            <w:tcW w:w="9638" w:type="dxa"/>
            <w:gridSpan w:val="10"/>
          </w:tcPr>
          <w:p>
            <w:pPr>
              <w:pStyle w:val="TableParagraph"/>
              <w:spacing w:line="258" w:lineRule="exact"/>
              <w:ind w:left="1645" w:right="1646"/>
              <w:jc w:val="center"/>
              <w:rPr>
                <w:sz w:val="24"/>
              </w:rPr>
            </w:pPr>
            <w:r>
              <w:rPr>
                <w:sz w:val="24"/>
              </w:rPr>
              <w:t>Сільськогосподарські</w:t>
            </w:r>
            <w:r>
              <w:rPr>
                <w:spacing w:val="-8"/>
                <w:sz w:val="24"/>
              </w:rPr>
              <w:t> </w:t>
            </w:r>
            <w:r>
              <w:rPr>
                <w:sz w:val="24"/>
              </w:rPr>
              <w:t>підприємства</w:t>
            </w:r>
          </w:p>
        </w:tc>
      </w:tr>
      <w:tr>
        <w:trPr>
          <w:trHeight w:val="757" w:hRule="atLeast"/>
        </w:trPr>
        <w:tc>
          <w:tcPr>
            <w:tcW w:w="1791" w:type="dxa"/>
          </w:tcPr>
          <w:p>
            <w:pPr>
              <w:pStyle w:val="TableParagraph"/>
              <w:spacing w:line="249" w:lineRule="exact"/>
              <w:ind w:left="110"/>
              <w:rPr>
                <w:sz w:val="22"/>
              </w:rPr>
            </w:pPr>
            <w:r>
              <w:rPr>
                <w:sz w:val="22"/>
              </w:rPr>
              <w:t>Продукція</w:t>
            </w:r>
          </w:p>
          <w:p>
            <w:pPr>
              <w:pStyle w:val="TableParagraph"/>
              <w:spacing w:line="250" w:lineRule="exact" w:before="7"/>
              <w:ind w:left="110" w:right="410"/>
              <w:rPr>
                <w:sz w:val="22"/>
              </w:rPr>
            </w:pPr>
            <w:r>
              <w:rPr>
                <w:sz w:val="22"/>
              </w:rPr>
              <w:t>сільського господарства</w:t>
            </w:r>
          </w:p>
        </w:tc>
        <w:tc>
          <w:tcPr>
            <w:tcW w:w="797" w:type="dxa"/>
          </w:tcPr>
          <w:p>
            <w:pPr>
              <w:pStyle w:val="TableParagraph"/>
              <w:spacing w:before="8"/>
              <w:rPr>
                <w:sz w:val="23"/>
              </w:rPr>
            </w:pPr>
          </w:p>
          <w:p>
            <w:pPr>
              <w:pStyle w:val="TableParagraph"/>
              <w:spacing w:before="1"/>
              <w:ind w:left="201"/>
              <w:rPr>
                <w:sz w:val="18"/>
              </w:rPr>
            </w:pPr>
            <w:r>
              <w:rPr>
                <w:sz w:val="18"/>
              </w:rPr>
              <w:t>90792</w:t>
            </w:r>
          </w:p>
        </w:tc>
        <w:tc>
          <w:tcPr>
            <w:tcW w:w="836" w:type="dxa"/>
          </w:tcPr>
          <w:p>
            <w:pPr>
              <w:pStyle w:val="TableParagraph"/>
              <w:spacing w:before="8"/>
              <w:rPr>
                <w:sz w:val="23"/>
              </w:rPr>
            </w:pPr>
          </w:p>
          <w:p>
            <w:pPr>
              <w:pStyle w:val="TableParagraph"/>
              <w:spacing w:before="1"/>
              <w:ind w:right="94"/>
              <w:jc w:val="right"/>
              <w:rPr>
                <w:sz w:val="18"/>
              </w:rPr>
            </w:pPr>
            <w:r>
              <w:rPr>
                <w:sz w:val="18"/>
              </w:rPr>
              <w:t>110071,7</w:t>
            </w:r>
          </w:p>
        </w:tc>
        <w:tc>
          <w:tcPr>
            <w:tcW w:w="835" w:type="dxa"/>
          </w:tcPr>
          <w:p>
            <w:pPr>
              <w:pStyle w:val="TableParagraph"/>
              <w:spacing w:before="8"/>
              <w:rPr>
                <w:sz w:val="23"/>
              </w:rPr>
            </w:pPr>
          </w:p>
          <w:p>
            <w:pPr>
              <w:pStyle w:val="TableParagraph"/>
              <w:spacing w:before="1"/>
              <w:ind w:right="98"/>
              <w:jc w:val="right"/>
              <w:rPr>
                <w:sz w:val="18"/>
              </w:rPr>
            </w:pPr>
            <w:r>
              <w:rPr>
                <w:sz w:val="18"/>
              </w:rPr>
              <w:t>133683,1</w:t>
            </w:r>
          </w:p>
        </w:tc>
        <w:tc>
          <w:tcPr>
            <w:tcW w:w="831" w:type="dxa"/>
          </w:tcPr>
          <w:p>
            <w:pPr>
              <w:pStyle w:val="TableParagraph"/>
              <w:spacing w:before="8"/>
              <w:rPr>
                <w:sz w:val="23"/>
              </w:rPr>
            </w:pPr>
          </w:p>
          <w:p>
            <w:pPr>
              <w:pStyle w:val="TableParagraph"/>
              <w:spacing w:before="1"/>
              <w:ind w:right="94"/>
              <w:jc w:val="right"/>
              <w:rPr>
                <w:sz w:val="18"/>
              </w:rPr>
            </w:pPr>
            <w:r>
              <w:rPr>
                <w:sz w:val="18"/>
              </w:rPr>
              <w:t>139058,4</w:t>
            </w:r>
          </w:p>
        </w:tc>
        <w:tc>
          <w:tcPr>
            <w:tcW w:w="836" w:type="dxa"/>
          </w:tcPr>
          <w:p>
            <w:pPr>
              <w:pStyle w:val="TableParagraph"/>
              <w:spacing w:before="8"/>
              <w:rPr>
                <w:sz w:val="23"/>
              </w:rPr>
            </w:pPr>
          </w:p>
          <w:p>
            <w:pPr>
              <w:pStyle w:val="TableParagraph"/>
              <w:spacing w:before="1"/>
              <w:ind w:left="119"/>
              <w:rPr>
                <w:sz w:val="18"/>
              </w:rPr>
            </w:pPr>
            <w:r>
              <w:rPr>
                <w:sz w:val="18"/>
              </w:rPr>
              <w:t>131918,6</w:t>
            </w:r>
          </w:p>
        </w:tc>
        <w:tc>
          <w:tcPr>
            <w:tcW w:w="836" w:type="dxa"/>
          </w:tcPr>
          <w:p>
            <w:pPr>
              <w:pStyle w:val="TableParagraph"/>
              <w:spacing w:before="8"/>
              <w:rPr>
                <w:sz w:val="23"/>
              </w:rPr>
            </w:pPr>
          </w:p>
          <w:p>
            <w:pPr>
              <w:pStyle w:val="TableParagraph"/>
              <w:spacing w:before="1"/>
              <w:ind w:left="176"/>
              <w:rPr>
                <w:sz w:val="18"/>
              </w:rPr>
            </w:pPr>
            <w:r>
              <w:rPr>
                <w:sz w:val="18"/>
              </w:rPr>
              <w:t>145119</w:t>
            </w:r>
          </w:p>
        </w:tc>
        <w:tc>
          <w:tcPr>
            <w:tcW w:w="837" w:type="dxa"/>
          </w:tcPr>
          <w:p>
            <w:pPr>
              <w:pStyle w:val="TableParagraph"/>
              <w:spacing w:before="8"/>
              <w:rPr>
                <w:sz w:val="23"/>
              </w:rPr>
            </w:pPr>
          </w:p>
          <w:p>
            <w:pPr>
              <w:pStyle w:val="TableParagraph"/>
              <w:spacing w:before="1"/>
              <w:ind w:right="101"/>
              <w:jc w:val="right"/>
              <w:rPr>
                <w:sz w:val="18"/>
              </w:rPr>
            </w:pPr>
            <w:r>
              <w:rPr>
                <w:sz w:val="18"/>
              </w:rPr>
              <w:t>140535,2</w:t>
            </w:r>
          </w:p>
        </w:tc>
        <w:tc>
          <w:tcPr>
            <w:tcW w:w="1010" w:type="dxa"/>
          </w:tcPr>
          <w:p>
            <w:pPr>
              <w:pStyle w:val="TableParagraph"/>
              <w:spacing w:before="8"/>
              <w:rPr>
                <w:sz w:val="23"/>
              </w:rPr>
            </w:pPr>
          </w:p>
          <w:p>
            <w:pPr>
              <w:pStyle w:val="TableParagraph"/>
              <w:spacing w:before="1"/>
              <w:ind w:left="294"/>
              <w:rPr>
                <w:sz w:val="18"/>
              </w:rPr>
            </w:pPr>
            <w:r>
              <w:rPr>
                <w:sz w:val="18"/>
              </w:rPr>
              <w:t>154,8</w:t>
            </w:r>
          </w:p>
        </w:tc>
        <w:tc>
          <w:tcPr>
            <w:tcW w:w="1029" w:type="dxa"/>
          </w:tcPr>
          <w:p>
            <w:pPr>
              <w:pStyle w:val="TableParagraph"/>
              <w:spacing w:before="8"/>
              <w:rPr>
                <w:sz w:val="23"/>
              </w:rPr>
            </w:pPr>
          </w:p>
          <w:p>
            <w:pPr>
              <w:pStyle w:val="TableParagraph"/>
              <w:spacing w:before="1"/>
              <w:ind w:left="302"/>
              <w:rPr>
                <w:sz w:val="18"/>
              </w:rPr>
            </w:pPr>
            <w:r>
              <w:rPr>
                <w:sz w:val="18"/>
              </w:rPr>
              <w:t>106,5</w:t>
            </w:r>
          </w:p>
        </w:tc>
      </w:tr>
      <w:tr>
        <w:trPr>
          <w:trHeight w:val="600" w:hRule="atLeast"/>
        </w:trPr>
        <w:tc>
          <w:tcPr>
            <w:tcW w:w="1791" w:type="dxa"/>
          </w:tcPr>
          <w:p>
            <w:pPr>
              <w:pStyle w:val="TableParagraph"/>
              <w:spacing w:line="242" w:lineRule="auto" w:before="44"/>
              <w:ind w:left="110" w:right="337"/>
              <w:rPr>
                <w:sz w:val="22"/>
              </w:rPr>
            </w:pPr>
            <w:r>
              <w:rPr>
                <w:sz w:val="22"/>
              </w:rPr>
              <w:t>продукція рослинництва</w:t>
            </w:r>
          </w:p>
        </w:tc>
        <w:tc>
          <w:tcPr>
            <w:tcW w:w="797" w:type="dxa"/>
          </w:tcPr>
          <w:p>
            <w:pPr>
              <w:pStyle w:val="TableParagraph"/>
              <w:spacing w:before="8"/>
              <w:rPr>
                <w:sz w:val="16"/>
              </w:rPr>
            </w:pPr>
          </w:p>
          <w:p>
            <w:pPr>
              <w:pStyle w:val="TableParagraph"/>
              <w:ind w:right="113"/>
              <w:jc w:val="right"/>
              <w:rPr>
                <w:sz w:val="18"/>
              </w:rPr>
            </w:pPr>
            <w:r>
              <w:rPr>
                <w:sz w:val="18"/>
              </w:rPr>
              <w:t>64860,6</w:t>
            </w:r>
          </w:p>
        </w:tc>
        <w:tc>
          <w:tcPr>
            <w:tcW w:w="836" w:type="dxa"/>
          </w:tcPr>
          <w:p>
            <w:pPr>
              <w:pStyle w:val="TableParagraph"/>
              <w:spacing w:before="8"/>
              <w:rPr>
                <w:sz w:val="16"/>
              </w:rPr>
            </w:pPr>
          </w:p>
          <w:p>
            <w:pPr>
              <w:pStyle w:val="TableParagraph"/>
              <w:ind w:right="133"/>
              <w:jc w:val="right"/>
              <w:rPr>
                <w:sz w:val="18"/>
              </w:rPr>
            </w:pPr>
            <w:r>
              <w:rPr>
                <w:sz w:val="18"/>
              </w:rPr>
              <w:t>80462,6</w:t>
            </w:r>
          </w:p>
        </w:tc>
        <w:tc>
          <w:tcPr>
            <w:tcW w:w="835" w:type="dxa"/>
          </w:tcPr>
          <w:p>
            <w:pPr>
              <w:pStyle w:val="TableParagraph"/>
              <w:spacing w:before="8"/>
              <w:rPr>
                <w:sz w:val="16"/>
              </w:rPr>
            </w:pPr>
          </w:p>
          <w:p>
            <w:pPr>
              <w:pStyle w:val="TableParagraph"/>
              <w:ind w:left="172"/>
              <w:rPr>
                <w:sz w:val="18"/>
              </w:rPr>
            </w:pPr>
            <w:r>
              <w:rPr>
                <w:sz w:val="18"/>
              </w:rPr>
              <w:t>101297</w:t>
            </w:r>
          </w:p>
        </w:tc>
        <w:tc>
          <w:tcPr>
            <w:tcW w:w="831" w:type="dxa"/>
          </w:tcPr>
          <w:p>
            <w:pPr>
              <w:pStyle w:val="TableParagraph"/>
              <w:spacing w:before="8"/>
              <w:rPr>
                <w:sz w:val="16"/>
              </w:rPr>
            </w:pPr>
          </w:p>
          <w:p>
            <w:pPr>
              <w:pStyle w:val="TableParagraph"/>
              <w:ind w:right="94"/>
              <w:jc w:val="right"/>
              <w:rPr>
                <w:sz w:val="18"/>
              </w:rPr>
            </w:pPr>
            <w:r>
              <w:rPr>
                <w:sz w:val="18"/>
              </w:rPr>
              <w:t>105529,5</w:t>
            </w:r>
          </w:p>
        </w:tc>
        <w:tc>
          <w:tcPr>
            <w:tcW w:w="836" w:type="dxa"/>
          </w:tcPr>
          <w:p>
            <w:pPr>
              <w:pStyle w:val="TableParagraph"/>
              <w:spacing w:before="8"/>
              <w:rPr>
                <w:sz w:val="16"/>
              </w:rPr>
            </w:pPr>
          </w:p>
          <w:p>
            <w:pPr>
              <w:pStyle w:val="TableParagraph"/>
              <w:ind w:left="162"/>
              <w:rPr>
                <w:sz w:val="18"/>
              </w:rPr>
            </w:pPr>
            <w:r>
              <w:rPr>
                <w:sz w:val="18"/>
              </w:rPr>
              <w:t>99584,7</w:t>
            </w:r>
          </w:p>
        </w:tc>
        <w:tc>
          <w:tcPr>
            <w:tcW w:w="836" w:type="dxa"/>
          </w:tcPr>
          <w:p>
            <w:pPr>
              <w:pStyle w:val="TableParagraph"/>
              <w:spacing w:before="8"/>
              <w:rPr>
                <w:sz w:val="16"/>
              </w:rPr>
            </w:pPr>
          </w:p>
          <w:p>
            <w:pPr>
              <w:pStyle w:val="TableParagraph"/>
              <w:ind w:left="119"/>
              <w:rPr>
                <w:sz w:val="18"/>
              </w:rPr>
            </w:pPr>
            <w:r>
              <w:rPr>
                <w:sz w:val="18"/>
              </w:rPr>
              <w:t>113392,6</w:t>
            </w:r>
          </w:p>
        </w:tc>
        <w:tc>
          <w:tcPr>
            <w:tcW w:w="837" w:type="dxa"/>
          </w:tcPr>
          <w:p>
            <w:pPr>
              <w:pStyle w:val="TableParagraph"/>
              <w:spacing w:before="8"/>
              <w:rPr>
                <w:sz w:val="16"/>
              </w:rPr>
            </w:pPr>
          </w:p>
          <w:p>
            <w:pPr>
              <w:pStyle w:val="TableParagraph"/>
              <w:ind w:right="101"/>
              <w:jc w:val="right"/>
              <w:rPr>
                <w:sz w:val="18"/>
              </w:rPr>
            </w:pPr>
            <w:r>
              <w:rPr>
                <w:sz w:val="18"/>
              </w:rPr>
              <w:t>108601,1</w:t>
            </w:r>
          </w:p>
        </w:tc>
        <w:tc>
          <w:tcPr>
            <w:tcW w:w="1010" w:type="dxa"/>
          </w:tcPr>
          <w:p>
            <w:pPr>
              <w:pStyle w:val="TableParagraph"/>
              <w:spacing w:before="8"/>
              <w:rPr>
                <w:sz w:val="16"/>
              </w:rPr>
            </w:pPr>
          </w:p>
          <w:p>
            <w:pPr>
              <w:pStyle w:val="TableParagraph"/>
              <w:ind w:left="294"/>
              <w:rPr>
                <w:sz w:val="18"/>
              </w:rPr>
            </w:pPr>
            <w:r>
              <w:rPr>
                <w:sz w:val="18"/>
              </w:rPr>
              <w:t>167,4</w:t>
            </w:r>
          </w:p>
        </w:tc>
        <w:tc>
          <w:tcPr>
            <w:tcW w:w="1029" w:type="dxa"/>
          </w:tcPr>
          <w:p>
            <w:pPr>
              <w:pStyle w:val="TableParagraph"/>
              <w:spacing w:before="8"/>
              <w:rPr>
                <w:sz w:val="16"/>
              </w:rPr>
            </w:pPr>
          </w:p>
          <w:p>
            <w:pPr>
              <w:pStyle w:val="TableParagraph"/>
              <w:ind w:left="302"/>
              <w:rPr>
                <w:sz w:val="18"/>
              </w:rPr>
            </w:pPr>
            <w:r>
              <w:rPr>
                <w:sz w:val="18"/>
              </w:rPr>
              <w:t>109,1</w:t>
            </w:r>
          </w:p>
        </w:tc>
      </w:tr>
      <w:tr>
        <w:trPr>
          <w:trHeight w:val="604" w:hRule="atLeast"/>
        </w:trPr>
        <w:tc>
          <w:tcPr>
            <w:tcW w:w="1791" w:type="dxa"/>
          </w:tcPr>
          <w:p>
            <w:pPr>
              <w:pStyle w:val="TableParagraph"/>
              <w:spacing w:before="44"/>
              <w:ind w:left="110" w:right="357"/>
              <w:rPr>
                <w:sz w:val="22"/>
              </w:rPr>
            </w:pPr>
            <w:r>
              <w:rPr>
                <w:sz w:val="22"/>
              </w:rPr>
              <w:t>продукція тваринництва</w:t>
            </w:r>
          </w:p>
        </w:tc>
        <w:tc>
          <w:tcPr>
            <w:tcW w:w="797" w:type="dxa"/>
          </w:tcPr>
          <w:p>
            <w:pPr>
              <w:pStyle w:val="TableParagraph"/>
              <w:spacing w:before="7"/>
              <w:rPr>
                <w:sz w:val="16"/>
              </w:rPr>
            </w:pPr>
          </w:p>
          <w:p>
            <w:pPr>
              <w:pStyle w:val="TableParagraph"/>
              <w:ind w:right="113"/>
              <w:jc w:val="right"/>
              <w:rPr>
                <w:sz w:val="18"/>
              </w:rPr>
            </w:pPr>
            <w:r>
              <w:rPr>
                <w:sz w:val="18"/>
              </w:rPr>
              <w:t>25931,4</w:t>
            </w:r>
          </w:p>
        </w:tc>
        <w:tc>
          <w:tcPr>
            <w:tcW w:w="836" w:type="dxa"/>
          </w:tcPr>
          <w:p>
            <w:pPr>
              <w:pStyle w:val="TableParagraph"/>
              <w:spacing w:before="7"/>
              <w:rPr>
                <w:sz w:val="16"/>
              </w:rPr>
            </w:pPr>
          </w:p>
          <w:p>
            <w:pPr>
              <w:pStyle w:val="TableParagraph"/>
              <w:ind w:right="133"/>
              <w:jc w:val="right"/>
              <w:rPr>
                <w:sz w:val="18"/>
              </w:rPr>
            </w:pPr>
            <w:r>
              <w:rPr>
                <w:sz w:val="18"/>
              </w:rPr>
              <w:t>29609,1</w:t>
            </w:r>
          </w:p>
        </w:tc>
        <w:tc>
          <w:tcPr>
            <w:tcW w:w="835" w:type="dxa"/>
          </w:tcPr>
          <w:p>
            <w:pPr>
              <w:pStyle w:val="TableParagraph"/>
              <w:spacing w:before="7"/>
              <w:rPr>
                <w:sz w:val="16"/>
              </w:rPr>
            </w:pPr>
          </w:p>
          <w:p>
            <w:pPr>
              <w:pStyle w:val="TableParagraph"/>
              <w:ind w:right="137"/>
              <w:jc w:val="right"/>
              <w:rPr>
                <w:sz w:val="18"/>
              </w:rPr>
            </w:pPr>
            <w:r>
              <w:rPr>
                <w:sz w:val="18"/>
              </w:rPr>
              <w:t>32386,1</w:t>
            </w:r>
          </w:p>
        </w:tc>
        <w:tc>
          <w:tcPr>
            <w:tcW w:w="831" w:type="dxa"/>
          </w:tcPr>
          <w:p>
            <w:pPr>
              <w:pStyle w:val="TableParagraph"/>
              <w:spacing w:before="7"/>
              <w:rPr>
                <w:sz w:val="16"/>
              </w:rPr>
            </w:pPr>
          </w:p>
          <w:p>
            <w:pPr>
              <w:pStyle w:val="TableParagraph"/>
              <w:ind w:right="134"/>
              <w:jc w:val="right"/>
              <w:rPr>
                <w:sz w:val="18"/>
              </w:rPr>
            </w:pPr>
            <w:r>
              <w:rPr>
                <w:sz w:val="18"/>
              </w:rPr>
              <w:t>33528,9</w:t>
            </w:r>
          </w:p>
        </w:tc>
        <w:tc>
          <w:tcPr>
            <w:tcW w:w="836" w:type="dxa"/>
          </w:tcPr>
          <w:p>
            <w:pPr>
              <w:pStyle w:val="TableParagraph"/>
              <w:spacing w:before="7"/>
              <w:rPr>
                <w:sz w:val="16"/>
              </w:rPr>
            </w:pPr>
          </w:p>
          <w:p>
            <w:pPr>
              <w:pStyle w:val="TableParagraph"/>
              <w:ind w:left="162"/>
              <w:rPr>
                <w:sz w:val="18"/>
              </w:rPr>
            </w:pPr>
            <w:r>
              <w:rPr>
                <w:sz w:val="18"/>
              </w:rPr>
              <w:t>32333,9</w:t>
            </w:r>
          </w:p>
        </w:tc>
        <w:tc>
          <w:tcPr>
            <w:tcW w:w="836" w:type="dxa"/>
          </w:tcPr>
          <w:p>
            <w:pPr>
              <w:pStyle w:val="TableParagraph"/>
              <w:spacing w:before="7"/>
              <w:rPr>
                <w:sz w:val="16"/>
              </w:rPr>
            </w:pPr>
          </w:p>
          <w:p>
            <w:pPr>
              <w:pStyle w:val="TableParagraph"/>
              <w:ind w:left="162"/>
              <w:rPr>
                <w:sz w:val="18"/>
              </w:rPr>
            </w:pPr>
            <w:r>
              <w:rPr>
                <w:sz w:val="18"/>
              </w:rPr>
              <w:t>31726,4</w:t>
            </w:r>
          </w:p>
        </w:tc>
        <w:tc>
          <w:tcPr>
            <w:tcW w:w="837" w:type="dxa"/>
          </w:tcPr>
          <w:p>
            <w:pPr>
              <w:pStyle w:val="TableParagraph"/>
              <w:spacing w:before="7"/>
              <w:rPr>
                <w:sz w:val="16"/>
              </w:rPr>
            </w:pPr>
          </w:p>
          <w:p>
            <w:pPr>
              <w:pStyle w:val="TableParagraph"/>
              <w:ind w:right="140"/>
              <w:jc w:val="right"/>
              <w:rPr>
                <w:sz w:val="18"/>
              </w:rPr>
            </w:pPr>
            <w:r>
              <w:rPr>
                <w:sz w:val="18"/>
              </w:rPr>
              <w:t>31934,1</w:t>
            </w:r>
          </w:p>
        </w:tc>
        <w:tc>
          <w:tcPr>
            <w:tcW w:w="1010" w:type="dxa"/>
          </w:tcPr>
          <w:p>
            <w:pPr>
              <w:pStyle w:val="TableParagraph"/>
              <w:spacing w:before="7"/>
              <w:rPr>
                <w:sz w:val="16"/>
              </w:rPr>
            </w:pPr>
          </w:p>
          <w:p>
            <w:pPr>
              <w:pStyle w:val="TableParagraph"/>
              <w:ind w:left="294"/>
              <w:rPr>
                <w:sz w:val="18"/>
              </w:rPr>
            </w:pPr>
            <w:r>
              <w:rPr>
                <w:sz w:val="18"/>
              </w:rPr>
              <w:t>123,1</w:t>
            </w:r>
          </w:p>
        </w:tc>
        <w:tc>
          <w:tcPr>
            <w:tcW w:w="1029" w:type="dxa"/>
          </w:tcPr>
          <w:p>
            <w:pPr>
              <w:pStyle w:val="TableParagraph"/>
              <w:spacing w:before="7"/>
              <w:rPr>
                <w:sz w:val="16"/>
              </w:rPr>
            </w:pPr>
          </w:p>
          <w:p>
            <w:pPr>
              <w:pStyle w:val="TableParagraph"/>
              <w:ind w:left="346"/>
              <w:rPr>
                <w:sz w:val="18"/>
              </w:rPr>
            </w:pPr>
            <w:r>
              <w:rPr>
                <w:sz w:val="18"/>
              </w:rPr>
              <w:t>98,8</w:t>
            </w:r>
          </w:p>
        </w:tc>
      </w:tr>
      <w:tr>
        <w:trPr>
          <w:trHeight w:val="297" w:hRule="atLeast"/>
        </w:trPr>
        <w:tc>
          <w:tcPr>
            <w:tcW w:w="9638" w:type="dxa"/>
            <w:gridSpan w:val="10"/>
          </w:tcPr>
          <w:p>
            <w:pPr>
              <w:pStyle w:val="TableParagraph"/>
              <w:spacing w:before="1"/>
              <w:ind w:left="1645" w:right="1636"/>
              <w:jc w:val="center"/>
              <w:rPr>
                <w:sz w:val="24"/>
              </w:rPr>
            </w:pPr>
            <w:r>
              <w:rPr>
                <w:sz w:val="24"/>
              </w:rPr>
              <w:t>в т. ч. фермерські господарства</w:t>
            </w:r>
          </w:p>
        </w:tc>
      </w:tr>
      <w:tr>
        <w:trPr>
          <w:trHeight w:val="758" w:hRule="atLeast"/>
        </w:trPr>
        <w:tc>
          <w:tcPr>
            <w:tcW w:w="1791" w:type="dxa"/>
          </w:tcPr>
          <w:p>
            <w:pPr>
              <w:pStyle w:val="TableParagraph"/>
              <w:spacing w:line="249" w:lineRule="exact"/>
              <w:ind w:left="110"/>
              <w:rPr>
                <w:sz w:val="22"/>
              </w:rPr>
            </w:pPr>
            <w:r>
              <w:rPr>
                <w:sz w:val="22"/>
              </w:rPr>
              <w:t>Продукція</w:t>
            </w:r>
          </w:p>
          <w:p>
            <w:pPr>
              <w:pStyle w:val="TableParagraph"/>
              <w:spacing w:line="250" w:lineRule="exact" w:before="7"/>
              <w:ind w:left="110" w:right="410"/>
              <w:rPr>
                <w:sz w:val="22"/>
              </w:rPr>
            </w:pPr>
            <w:r>
              <w:rPr>
                <w:sz w:val="22"/>
              </w:rPr>
              <w:t>сільського господарства</w:t>
            </w:r>
          </w:p>
        </w:tc>
        <w:tc>
          <w:tcPr>
            <w:tcW w:w="797" w:type="dxa"/>
          </w:tcPr>
          <w:p>
            <w:pPr>
              <w:pStyle w:val="TableParagraph"/>
              <w:spacing w:before="8"/>
              <w:rPr>
                <w:sz w:val="23"/>
              </w:rPr>
            </w:pPr>
          </w:p>
          <w:p>
            <w:pPr>
              <w:pStyle w:val="TableParagraph"/>
              <w:spacing w:before="1"/>
              <w:ind w:right="98"/>
              <w:jc w:val="right"/>
              <w:rPr>
                <w:sz w:val="18"/>
              </w:rPr>
            </w:pPr>
            <w:r>
              <w:rPr>
                <w:sz w:val="18"/>
              </w:rPr>
              <w:t>11726,1</w:t>
            </w:r>
          </w:p>
        </w:tc>
        <w:tc>
          <w:tcPr>
            <w:tcW w:w="836" w:type="dxa"/>
          </w:tcPr>
          <w:p>
            <w:pPr>
              <w:pStyle w:val="TableParagraph"/>
              <w:spacing w:before="8"/>
              <w:rPr>
                <w:sz w:val="23"/>
              </w:rPr>
            </w:pPr>
          </w:p>
          <w:p>
            <w:pPr>
              <w:pStyle w:val="TableParagraph"/>
              <w:spacing w:before="1"/>
              <w:ind w:right="118"/>
              <w:jc w:val="right"/>
              <w:rPr>
                <w:sz w:val="18"/>
              </w:rPr>
            </w:pPr>
            <w:r>
              <w:rPr>
                <w:sz w:val="18"/>
              </w:rPr>
              <w:t>13906,5</w:t>
            </w:r>
          </w:p>
        </w:tc>
        <w:tc>
          <w:tcPr>
            <w:tcW w:w="835" w:type="dxa"/>
          </w:tcPr>
          <w:p>
            <w:pPr>
              <w:pStyle w:val="TableParagraph"/>
              <w:spacing w:before="8"/>
              <w:rPr>
                <w:sz w:val="23"/>
              </w:rPr>
            </w:pPr>
          </w:p>
          <w:p>
            <w:pPr>
              <w:pStyle w:val="TableParagraph"/>
              <w:spacing w:before="1"/>
              <w:ind w:right="122"/>
              <w:jc w:val="right"/>
              <w:rPr>
                <w:sz w:val="18"/>
              </w:rPr>
            </w:pPr>
            <w:r>
              <w:rPr>
                <w:sz w:val="18"/>
              </w:rPr>
              <w:t>18903,4</w:t>
            </w:r>
          </w:p>
        </w:tc>
        <w:tc>
          <w:tcPr>
            <w:tcW w:w="831" w:type="dxa"/>
          </w:tcPr>
          <w:p>
            <w:pPr>
              <w:pStyle w:val="TableParagraph"/>
              <w:spacing w:before="8"/>
              <w:rPr>
                <w:sz w:val="23"/>
              </w:rPr>
            </w:pPr>
          </w:p>
          <w:p>
            <w:pPr>
              <w:pStyle w:val="TableParagraph"/>
              <w:spacing w:before="1"/>
              <w:ind w:right="134"/>
              <w:jc w:val="right"/>
              <w:rPr>
                <w:sz w:val="18"/>
              </w:rPr>
            </w:pPr>
            <w:r>
              <w:rPr>
                <w:sz w:val="18"/>
              </w:rPr>
              <w:t>19188,8</w:t>
            </w:r>
          </w:p>
        </w:tc>
        <w:tc>
          <w:tcPr>
            <w:tcW w:w="836" w:type="dxa"/>
          </w:tcPr>
          <w:p>
            <w:pPr>
              <w:pStyle w:val="TableParagraph"/>
              <w:spacing w:before="8"/>
              <w:rPr>
                <w:sz w:val="23"/>
              </w:rPr>
            </w:pPr>
          </w:p>
          <w:p>
            <w:pPr>
              <w:pStyle w:val="TableParagraph"/>
              <w:spacing w:before="1"/>
              <w:ind w:left="162"/>
              <w:rPr>
                <w:sz w:val="18"/>
              </w:rPr>
            </w:pPr>
            <w:r>
              <w:rPr>
                <w:sz w:val="18"/>
              </w:rPr>
              <w:t>18909,3</w:t>
            </w:r>
          </w:p>
        </w:tc>
        <w:tc>
          <w:tcPr>
            <w:tcW w:w="836" w:type="dxa"/>
          </w:tcPr>
          <w:p>
            <w:pPr>
              <w:pStyle w:val="TableParagraph"/>
              <w:spacing w:before="8"/>
              <w:rPr>
                <w:sz w:val="23"/>
              </w:rPr>
            </w:pPr>
          </w:p>
          <w:p>
            <w:pPr>
              <w:pStyle w:val="TableParagraph"/>
              <w:spacing w:before="1"/>
              <w:ind w:left="162"/>
              <w:rPr>
                <w:sz w:val="18"/>
              </w:rPr>
            </w:pPr>
            <w:r>
              <w:rPr>
                <w:sz w:val="18"/>
              </w:rPr>
              <w:t>22101,4</w:t>
            </w:r>
          </w:p>
        </w:tc>
        <w:tc>
          <w:tcPr>
            <w:tcW w:w="837" w:type="dxa"/>
          </w:tcPr>
          <w:p>
            <w:pPr>
              <w:pStyle w:val="TableParagraph"/>
              <w:spacing w:before="8"/>
              <w:rPr>
                <w:sz w:val="23"/>
              </w:rPr>
            </w:pPr>
          </w:p>
          <w:p>
            <w:pPr>
              <w:pStyle w:val="TableParagraph"/>
              <w:spacing w:before="1"/>
              <w:ind w:right="140"/>
              <w:jc w:val="right"/>
              <w:rPr>
                <w:sz w:val="18"/>
              </w:rPr>
            </w:pPr>
            <w:r>
              <w:rPr>
                <w:sz w:val="18"/>
              </w:rPr>
              <w:t>21743,1</w:t>
            </w:r>
          </w:p>
        </w:tc>
        <w:tc>
          <w:tcPr>
            <w:tcW w:w="1010" w:type="dxa"/>
          </w:tcPr>
          <w:p>
            <w:pPr>
              <w:pStyle w:val="TableParagraph"/>
              <w:spacing w:before="8"/>
              <w:rPr>
                <w:sz w:val="23"/>
              </w:rPr>
            </w:pPr>
          </w:p>
          <w:p>
            <w:pPr>
              <w:pStyle w:val="TableParagraph"/>
              <w:spacing w:before="1"/>
              <w:ind w:left="294"/>
              <w:rPr>
                <w:sz w:val="18"/>
              </w:rPr>
            </w:pPr>
            <w:r>
              <w:rPr>
                <w:sz w:val="18"/>
              </w:rPr>
              <w:t>185,4</w:t>
            </w:r>
          </w:p>
        </w:tc>
        <w:tc>
          <w:tcPr>
            <w:tcW w:w="1029" w:type="dxa"/>
          </w:tcPr>
          <w:p>
            <w:pPr>
              <w:pStyle w:val="TableParagraph"/>
              <w:spacing w:before="8"/>
              <w:rPr>
                <w:sz w:val="23"/>
              </w:rPr>
            </w:pPr>
          </w:p>
          <w:p>
            <w:pPr>
              <w:pStyle w:val="TableParagraph"/>
              <w:spacing w:before="1"/>
              <w:ind w:left="302"/>
              <w:rPr>
                <w:sz w:val="18"/>
              </w:rPr>
            </w:pPr>
            <w:r>
              <w:rPr>
                <w:sz w:val="18"/>
              </w:rPr>
              <w:t>115,0</w:t>
            </w:r>
          </w:p>
        </w:tc>
      </w:tr>
      <w:tr>
        <w:trPr>
          <w:trHeight w:val="599" w:hRule="atLeast"/>
        </w:trPr>
        <w:tc>
          <w:tcPr>
            <w:tcW w:w="1791" w:type="dxa"/>
          </w:tcPr>
          <w:p>
            <w:pPr>
              <w:pStyle w:val="TableParagraph"/>
              <w:spacing w:before="44"/>
              <w:ind w:left="110" w:right="337"/>
              <w:rPr>
                <w:sz w:val="22"/>
              </w:rPr>
            </w:pPr>
            <w:r>
              <w:rPr>
                <w:sz w:val="22"/>
              </w:rPr>
              <w:t>продукція рослинництва</w:t>
            </w:r>
          </w:p>
        </w:tc>
        <w:tc>
          <w:tcPr>
            <w:tcW w:w="797" w:type="dxa"/>
          </w:tcPr>
          <w:p>
            <w:pPr>
              <w:pStyle w:val="TableParagraph"/>
              <w:spacing w:before="7"/>
              <w:rPr>
                <w:sz w:val="16"/>
              </w:rPr>
            </w:pPr>
          </w:p>
          <w:p>
            <w:pPr>
              <w:pStyle w:val="TableParagraph"/>
              <w:ind w:right="98"/>
              <w:jc w:val="right"/>
              <w:rPr>
                <w:sz w:val="18"/>
              </w:rPr>
            </w:pPr>
            <w:r>
              <w:rPr>
                <w:sz w:val="18"/>
              </w:rPr>
              <w:t>10617,4</w:t>
            </w:r>
          </w:p>
        </w:tc>
        <w:tc>
          <w:tcPr>
            <w:tcW w:w="836" w:type="dxa"/>
          </w:tcPr>
          <w:p>
            <w:pPr>
              <w:pStyle w:val="TableParagraph"/>
              <w:spacing w:before="7"/>
              <w:rPr>
                <w:sz w:val="16"/>
              </w:rPr>
            </w:pPr>
          </w:p>
          <w:p>
            <w:pPr>
              <w:pStyle w:val="TableParagraph"/>
              <w:ind w:right="118"/>
              <w:jc w:val="right"/>
              <w:rPr>
                <w:sz w:val="18"/>
              </w:rPr>
            </w:pPr>
            <w:r>
              <w:rPr>
                <w:sz w:val="18"/>
              </w:rPr>
              <w:t>12651,2</w:t>
            </w:r>
          </w:p>
        </w:tc>
        <w:tc>
          <w:tcPr>
            <w:tcW w:w="835" w:type="dxa"/>
          </w:tcPr>
          <w:p>
            <w:pPr>
              <w:pStyle w:val="TableParagraph"/>
              <w:spacing w:before="7"/>
              <w:rPr>
                <w:sz w:val="16"/>
              </w:rPr>
            </w:pPr>
          </w:p>
          <w:p>
            <w:pPr>
              <w:pStyle w:val="TableParagraph"/>
              <w:ind w:right="122"/>
              <w:jc w:val="right"/>
              <w:rPr>
                <w:sz w:val="18"/>
              </w:rPr>
            </w:pPr>
            <w:r>
              <w:rPr>
                <w:sz w:val="18"/>
              </w:rPr>
              <w:t>17517,9</w:t>
            </w:r>
          </w:p>
        </w:tc>
        <w:tc>
          <w:tcPr>
            <w:tcW w:w="831" w:type="dxa"/>
          </w:tcPr>
          <w:p>
            <w:pPr>
              <w:pStyle w:val="TableParagraph"/>
              <w:spacing w:before="7"/>
              <w:rPr>
                <w:sz w:val="16"/>
              </w:rPr>
            </w:pPr>
          </w:p>
          <w:p>
            <w:pPr>
              <w:pStyle w:val="TableParagraph"/>
              <w:ind w:left="215"/>
              <w:rPr>
                <w:sz w:val="18"/>
              </w:rPr>
            </w:pPr>
            <w:r>
              <w:rPr>
                <w:sz w:val="18"/>
              </w:rPr>
              <w:t>17847</w:t>
            </w:r>
          </w:p>
        </w:tc>
        <w:tc>
          <w:tcPr>
            <w:tcW w:w="836" w:type="dxa"/>
          </w:tcPr>
          <w:p>
            <w:pPr>
              <w:pStyle w:val="TableParagraph"/>
              <w:spacing w:before="7"/>
              <w:rPr>
                <w:sz w:val="16"/>
              </w:rPr>
            </w:pPr>
          </w:p>
          <w:p>
            <w:pPr>
              <w:pStyle w:val="TableParagraph"/>
              <w:ind w:left="162"/>
              <w:rPr>
                <w:sz w:val="18"/>
              </w:rPr>
            </w:pPr>
            <w:r>
              <w:rPr>
                <w:sz w:val="18"/>
              </w:rPr>
              <w:t>17565,4</w:t>
            </w:r>
          </w:p>
        </w:tc>
        <w:tc>
          <w:tcPr>
            <w:tcW w:w="836" w:type="dxa"/>
          </w:tcPr>
          <w:p>
            <w:pPr>
              <w:pStyle w:val="TableParagraph"/>
              <w:spacing w:before="7"/>
              <w:rPr>
                <w:sz w:val="16"/>
              </w:rPr>
            </w:pPr>
          </w:p>
          <w:p>
            <w:pPr>
              <w:pStyle w:val="TableParagraph"/>
              <w:ind w:left="162"/>
              <w:rPr>
                <w:sz w:val="18"/>
              </w:rPr>
            </w:pPr>
            <w:r>
              <w:rPr>
                <w:sz w:val="18"/>
              </w:rPr>
              <w:t>20705,3</w:t>
            </w:r>
          </w:p>
        </w:tc>
        <w:tc>
          <w:tcPr>
            <w:tcW w:w="837" w:type="dxa"/>
          </w:tcPr>
          <w:p>
            <w:pPr>
              <w:pStyle w:val="TableParagraph"/>
              <w:spacing w:before="7"/>
              <w:rPr>
                <w:sz w:val="16"/>
              </w:rPr>
            </w:pPr>
          </w:p>
          <w:p>
            <w:pPr>
              <w:pStyle w:val="TableParagraph"/>
              <w:ind w:right="140"/>
              <w:jc w:val="right"/>
              <w:rPr>
                <w:sz w:val="18"/>
              </w:rPr>
            </w:pPr>
            <w:r>
              <w:rPr>
                <w:sz w:val="18"/>
              </w:rPr>
              <w:t>20338,8</w:t>
            </w:r>
          </w:p>
        </w:tc>
        <w:tc>
          <w:tcPr>
            <w:tcW w:w="1010" w:type="dxa"/>
          </w:tcPr>
          <w:p>
            <w:pPr>
              <w:pStyle w:val="TableParagraph"/>
              <w:spacing w:before="7"/>
              <w:rPr>
                <w:sz w:val="16"/>
              </w:rPr>
            </w:pPr>
          </w:p>
          <w:p>
            <w:pPr>
              <w:pStyle w:val="TableParagraph"/>
              <w:ind w:left="294"/>
              <w:rPr>
                <w:sz w:val="18"/>
              </w:rPr>
            </w:pPr>
            <w:r>
              <w:rPr>
                <w:sz w:val="18"/>
              </w:rPr>
              <w:t>191,6</w:t>
            </w:r>
          </w:p>
        </w:tc>
        <w:tc>
          <w:tcPr>
            <w:tcW w:w="1029" w:type="dxa"/>
          </w:tcPr>
          <w:p>
            <w:pPr>
              <w:pStyle w:val="TableParagraph"/>
              <w:spacing w:before="7"/>
              <w:rPr>
                <w:sz w:val="16"/>
              </w:rPr>
            </w:pPr>
          </w:p>
          <w:p>
            <w:pPr>
              <w:pStyle w:val="TableParagraph"/>
              <w:ind w:left="302"/>
              <w:rPr>
                <w:sz w:val="18"/>
              </w:rPr>
            </w:pPr>
            <w:r>
              <w:rPr>
                <w:sz w:val="18"/>
              </w:rPr>
              <w:t>115,8</w:t>
            </w:r>
          </w:p>
        </w:tc>
      </w:tr>
      <w:tr>
        <w:trPr>
          <w:trHeight w:val="599" w:hRule="atLeast"/>
        </w:trPr>
        <w:tc>
          <w:tcPr>
            <w:tcW w:w="1791" w:type="dxa"/>
          </w:tcPr>
          <w:p>
            <w:pPr>
              <w:pStyle w:val="TableParagraph"/>
              <w:spacing w:before="44"/>
              <w:ind w:left="110" w:right="357"/>
              <w:rPr>
                <w:sz w:val="22"/>
              </w:rPr>
            </w:pPr>
            <w:r>
              <w:rPr>
                <w:sz w:val="22"/>
              </w:rPr>
              <w:t>продукція тваринництва</w:t>
            </w:r>
          </w:p>
        </w:tc>
        <w:tc>
          <w:tcPr>
            <w:tcW w:w="797" w:type="dxa"/>
          </w:tcPr>
          <w:p>
            <w:pPr>
              <w:pStyle w:val="TableParagraph"/>
              <w:spacing w:before="7"/>
              <w:rPr>
                <w:sz w:val="16"/>
              </w:rPr>
            </w:pPr>
          </w:p>
          <w:p>
            <w:pPr>
              <w:pStyle w:val="TableParagraph"/>
              <w:ind w:right="141"/>
              <w:jc w:val="right"/>
              <w:rPr>
                <w:sz w:val="18"/>
              </w:rPr>
            </w:pPr>
            <w:r>
              <w:rPr>
                <w:sz w:val="18"/>
              </w:rPr>
              <w:t>1108,7</w:t>
            </w:r>
          </w:p>
        </w:tc>
        <w:tc>
          <w:tcPr>
            <w:tcW w:w="836" w:type="dxa"/>
          </w:tcPr>
          <w:p>
            <w:pPr>
              <w:pStyle w:val="TableParagraph"/>
              <w:spacing w:before="7"/>
              <w:rPr>
                <w:sz w:val="16"/>
              </w:rPr>
            </w:pPr>
          </w:p>
          <w:p>
            <w:pPr>
              <w:pStyle w:val="TableParagraph"/>
              <w:ind w:right="161"/>
              <w:jc w:val="right"/>
              <w:rPr>
                <w:sz w:val="18"/>
              </w:rPr>
            </w:pPr>
            <w:r>
              <w:rPr>
                <w:sz w:val="18"/>
              </w:rPr>
              <w:t>1255,3</w:t>
            </w:r>
          </w:p>
        </w:tc>
        <w:tc>
          <w:tcPr>
            <w:tcW w:w="835" w:type="dxa"/>
          </w:tcPr>
          <w:p>
            <w:pPr>
              <w:pStyle w:val="TableParagraph"/>
              <w:spacing w:before="7"/>
              <w:rPr>
                <w:sz w:val="16"/>
              </w:rPr>
            </w:pPr>
          </w:p>
          <w:p>
            <w:pPr>
              <w:pStyle w:val="TableParagraph"/>
              <w:ind w:left="177"/>
              <w:rPr>
                <w:sz w:val="18"/>
              </w:rPr>
            </w:pPr>
            <w:r>
              <w:rPr>
                <w:sz w:val="18"/>
              </w:rPr>
              <w:t>1385,5</w:t>
            </w:r>
          </w:p>
        </w:tc>
        <w:tc>
          <w:tcPr>
            <w:tcW w:w="831" w:type="dxa"/>
          </w:tcPr>
          <w:p>
            <w:pPr>
              <w:pStyle w:val="TableParagraph"/>
              <w:spacing w:before="7"/>
              <w:rPr>
                <w:sz w:val="16"/>
              </w:rPr>
            </w:pPr>
          </w:p>
          <w:p>
            <w:pPr>
              <w:pStyle w:val="TableParagraph"/>
              <w:ind w:right="171"/>
              <w:jc w:val="right"/>
              <w:rPr>
                <w:sz w:val="18"/>
              </w:rPr>
            </w:pPr>
            <w:r>
              <w:rPr>
                <w:sz w:val="18"/>
              </w:rPr>
              <w:t>1341,8</w:t>
            </w:r>
          </w:p>
        </w:tc>
        <w:tc>
          <w:tcPr>
            <w:tcW w:w="836" w:type="dxa"/>
          </w:tcPr>
          <w:p>
            <w:pPr>
              <w:pStyle w:val="TableParagraph"/>
              <w:spacing w:before="7"/>
              <w:rPr>
                <w:sz w:val="16"/>
              </w:rPr>
            </w:pPr>
          </w:p>
          <w:p>
            <w:pPr>
              <w:pStyle w:val="TableParagraph"/>
              <w:ind w:left="201"/>
              <w:rPr>
                <w:sz w:val="18"/>
              </w:rPr>
            </w:pPr>
            <w:r>
              <w:rPr>
                <w:sz w:val="18"/>
              </w:rPr>
              <w:t>1343,9</w:t>
            </w:r>
          </w:p>
        </w:tc>
        <w:tc>
          <w:tcPr>
            <w:tcW w:w="836" w:type="dxa"/>
          </w:tcPr>
          <w:p>
            <w:pPr>
              <w:pStyle w:val="TableParagraph"/>
              <w:spacing w:before="7"/>
              <w:rPr>
                <w:sz w:val="16"/>
              </w:rPr>
            </w:pPr>
          </w:p>
          <w:p>
            <w:pPr>
              <w:pStyle w:val="TableParagraph"/>
              <w:ind w:left="200"/>
              <w:rPr>
                <w:sz w:val="18"/>
              </w:rPr>
            </w:pPr>
            <w:r>
              <w:rPr>
                <w:sz w:val="18"/>
              </w:rPr>
              <w:t>1396,1</w:t>
            </w:r>
          </w:p>
        </w:tc>
        <w:tc>
          <w:tcPr>
            <w:tcW w:w="837" w:type="dxa"/>
          </w:tcPr>
          <w:p>
            <w:pPr>
              <w:pStyle w:val="TableParagraph"/>
              <w:spacing w:before="7"/>
              <w:rPr>
                <w:sz w:val="16"/>
              </w:rPr>
            </w:pPr>
          </w:p>
          <w:p>
            <w:pPr>
              <w:pStyle w:val="TableParagraph"/>
              <w:ind w:right="178"/>
              <w:jc w:val="right"/>
              <w:rPr>
                <w:sz w:val="18"/>
              </w:rPr>
            </w:pPr>
            <w:r>
              <w:rPr>
                <w:sz w:val="18"/>
              </w:rPr>
              <w:t>1404,3</w:t>
            </w:r>
          </w:p>
        </w:tc>
        <w:tc>
          <w:tcPr>
            <w:tcW w:w="1010" w:type="dxa"/>
          </w:tcPr>
          <w:p>
            <w:pPr>
              <w:pStyle w:val="TableParagraph"/>
              <w:spacing w:before="7"/>
              <w:rPr>
                <w:sz w:val="16"/>
              </w:rPr>
            </w:pPr>
          </w:p>
          <w:p>
            <w:pPr>
              <w:pStyle w:val="TableParagraph"/>
              <w:ind w:left="294"/>
              <w:rPr>
                <w:sz w:val="18"/>
              </w:rPr>
            </w:pPr>
            <w:r>
              <w:rPr>
                <w:sz w:val="18"/>
              </w:rPr>
              <w:t>126,7</w:t>
            </w:r>
          </w:p>
        </w:tc>
        <w:tc>
          <w:tcPr>
            <w:tcW w:w="1029" w:type="dxa"/>
          </w:tcPr>
          <w:p>
            <w:pPr>
              <w:pStyle w:val="TableParagraph"/>
              <w:spacing w:before="7"/>
              <w:rPr>
                <w:sz w:val="16"/>
              </w:rPr>
            </w:pPr>
          </w:p>
          <w:p>
            <w:pPr>
              <w:pStyle w:val="TableParagraph"/>
              <w:ind w:left="302"/>
              <w:rPr>
                <w:sz w:val="18"/>
              </w:rPr>
            </w:pPr>
            <w:r>
              <w:rPr>
                <w:sz w:val="18"/>
              </w:rPr>
              <w:t>104,5</w:t>
            </w:r>
          </w:p>
        </w:tc>
      </w:tr>
      <w:tr>
        <w:trPr>
          <w:trHeight w:val="412" w:hRule="atLeast"/>
        </w:trPr>
        <w:tc>
          <w:tcPr>
            <w:tcW w:w="9638" w:type="dxa"/>
            <w:gridSpan w:val="10"/>
          </w:tcPr>
          <w:p>
            <w:pPr>
              <w:pStyle w:val="TableParagraph"/>
              <w:spacing w:before="73"/>
              <w:ind w:left="1645" w:right="1646"/>
              <w:jc w:val="center"/>
              <w:rPr>
                <w:sz w:val="22"/>
              </w:rPr>
            </w:pPr>
            <w:r>
              <w:rPr>
                <w:sz w:val="22"/>
              </w:rPr>
              <w:t>Питома вага фермерських господарств у виробництві продукції,%:</w:t>
            </w:r>
          </w:p>
        </w:tc>
      </w:tr>
      <w:tr>
        <w:trPr>
          <w:trHeight w:val="758" w:hRule="atLeast"/>
        </w:trPr>
        <w:tc>
          <w:tcPr>
            <w:tcW w:w="1791" w:type="dxa"/>
          </w:tcPr>
          <w:p>
            <w:pPr>
              <w:pStyle w:val="TableParagraph"/>
              <w:spacing w:line="242" w:lineRule="auto"/>
              <w:ind w:left="110" w:right="355"/>
              <w:rPr>
                <w:sz w:val="22"/>
              </w:rPr>
            </w:pPr>
            <w:r>
              <w:rPr>
                <w:sz w:val="22"/>
              </w:rPr>
              <w:t>сільського господарства,</w:t>
            </w:r>
          </w:p>
          <w:p>
            <w:pPr>
              <w:pStyle w:val="TableParagraph"/>
              <w:spacing w:line="236" w:lineRule="exact"/>
              <w:ind w:left="110"/>
              <w:rPr>
                <w:sz w:val="22"/>
              </w:rPr>
            </w:pPr>
            <w:r>
              <w:rPr>
                <w:sz w:val="22"/>
              </w:rPr>
              <w:t>всього</w:t>
            </w:r>
          </w:p>
        </w:tc>
        <w:tc>
          <w:tcPr>
            <w:tcW w:w="797" w:type="dxa"/>
          </w:tcPr>
          <w:p>
            <w:pPr>
              <w:pStyle w:val="TableParagraph"/>
              <w:rPr>
                <w:sz w:val="22"/>
              </w:rPr>
            </w:pPr>
          </w:p>
          <w:p>
            <w:pPr>
              <w:pStyle w:val="TableParagraph"/>
              <w:spacing w:before="6"/>
              <w:rPr>
                <w:sz w:val="23"/>
              </w:rPr>
            </w:pPr>
          </w:p>
          <w:p>
            <w:pPr>
              <w:pStyle w:val="TableParagraph"/>
              <w:spacing w:line="215" w:lineRule="exact"/>
              <w:ind w:right="89"/>
              <w:jc w:val="right"/>
              <w:rPr>
                <w:sz w:val="20"/>
              </w:rPr>
            </w:pPr>
            <w:r>
              <w:rPr>
                <w:sz w:val="20"/>
              </w:rPr>
              <w:t>12,9</w:t>
            </w:r>
          </w:p>
        </w:tc>
        <w:tc>
          <w:tcPr>
            <w:tcW w:w="836" w:type="dxa"/>
          </w:tcPr>
          <w:p>
            <w:pPr>
              <w:pStyle w:val="TableParagraph"/>
              <w:rPr>
                <w:sz w:val="22"/>
              </w:rPr>
            </w:pPr>
          </w:p>
          <w:p>
            <w:pPr>
              <w:pStyle w:val="TableParagraph"/>
              <w:spacing w:before="6"/>
              <w:rPr>
                <w:sz w:val="23"/>
              </w:rPr>
            </w:pPr>
          </w:p>
          <w:p>
            <w:pPr>
              <w:pStyle w:val="TableParagraph"/>
              <w:spacing w:line="215" w:lineRule="exact"/>
              <w:ind w:right="89"/>
              <w:jc w:val="right"/>
              <w:rPr>
                <w:sz w:val="20"/>
              </w:rPr>
            </w:pPr>
            <w:r>
              <w:rPr>
                <w:sz w:val="20"/>
              </w:rPr>
              <w:t>12,6</w:t>
            </w:r>
          </w:p>
        </w:tc>
        <w:tc>
          <w:tcPr>
            <w:tcW w:w="835" w:type="dxa"/>
          </w:tcPr>
          <w:p>
            <w:pPr>
              <w:pStyle w:val="TableParagraph"/>
              <w:rPr>
                <w:sz w:val="22"/>
              </w:rPr>
            </w:pPr>
          </w:p>
          <w:p>
            <w:pPr>
              <w:pStyle w:val="TableParagraph"/>
              <w:spacing w:before="6"/>
              <w:rPr>
                <w:sz w:val="23"/>
              </w:rPr>
            </w:pPr>
          </w:p>
          <w:p>
            <w:pPr>
              <w:pStyle w:val="TableParagraph"/>
              <w:spacing w:line="215" w:lineRule="exact"/>
              <w:ind w:right="93"/>
              <w:jc w:val="right"/>
              <w:rPr>
                <w:sz w:val="20"/>
              </w:rPr>
            </w:pPr>
            <w:r>
              <w:rPr>
                <w:sz w:val="20"/>
              </w:rPr>
              <w:t>14,1</w:t>
            </w:r>
          </w:p>
        </w:tc>
        <w:tc>
          <w:tcPr>
            <w:tcW w:w="831" w:type="dxa"/>
          </w:tcPr>
          <w:p>
            <w:pPr>
              <w:pStyle w:val="TableParagraph"/>
              <w:rPr>
                <w:sz w:val="22"/>
              </w:rPr>
            </w:pPr>
          </w:p>
          <w:p>
            <w:pPr>
              <w:pStyle w:val="TableParagraph"/>
              <w:spacing w:before="6"/>
              <w:rPr>
                <w:sz w:val="23"/>
              </w:rPr>
            </w:pPr>
          </w:p>
          <w:p>
            <w:pPr>
              <w:pStyle w:val="TableParagraph"/>
              <w:spacing w:line="215" w:lineRule="exact"/>
              <w:ind w:right="89"/>
              <w:jc w:val="right"/>
              <w:rPr>
                <w:sz w:val="20"/>
              </w:rPr>
            </w:pPr>
            <w:r>
              <w:rPr>
                <w:sz w:val="20"/>
              </w:rPr>
              <w:t>13,8</w:t>
            </w:r>
          </w:p>
        </w:tc>
        <w:tc>
          <w:tcPr>
            <w:tcW w:w="836" w:type="dxa"/>
          </w:tcPr>
          <w:p>
            <w:pPr>
              <w:pStyle w:val="TableParagraph"/>
              <w:rPr>
                <w:sz w:val="22"/>
              </w:rPr>
            </w:pPr>
          </w:p>
          <w:p>
            <w:pPr>
              <w:pStyle w:val="TableParagraph"/>
              <w:spacing w:before="6"/>
              <w:rPr>
                <w:sz w:val="23"/>
              </w:rPr>
            </w:pPr>
          </w:p>
          <w:p>
            <w:pPr>
              <w:pStyle w:val="TableParagraph"/>
              <w:spacing w:line="215" w:lineRule="exact"/>
              <w:ind w:right="90"/>
              <w:jc w:val="right"/>
              <w:rPr>
                <w:sz w:val="20"/>
              </w:rPr>
            </w:pPr>
            <w:r>
              <w:rPr>
                <w:sz w:val="20"/>
              </w:rPr>
              <w:t>14,3</w:t>
            </w:r>
          </w:p>
        </w:tc>
        <w:tc>
          <w:tcPr>
            <w:tcW w:w="836" w:type="dxa"/>
          </w:tcPr>
          <w:p>
            <w:pPr>
              <w:pStyle w:val="TableParagraph"/>
              <w:rPr>
                <w:sz w:val="22"/>
              </w:rPr>
            </w:pPr>
          </w:p>
          <w:p>
            <w:pPr>
              <w:pStyle w:val="TableParagraph"/>
              <w:spacing w:before="6"/>
              <w:rPr>
                <w:sz w:val="23"/>
              </w:rPr>
            </w:pPr>
          </w:p>
          <w:p>
            <w:pPr>
              <w:pStyle w:val="TableParagraph"/>
              <w:spacing w:line="215" w:lineRule="exact"/>
              <w:ind w:right="90"/>
              <w:jc w:val="right"/>
              <w:rPr>
                <w:sz w:val="20"/>
              </w:rPr>
            </w:pPr>
            <w:r>
              <w:rPr>
                <w:sz w:val="20"/>
              </w:rPr>
              <w:t>15,2</w:t>
            </w:r>
          </w:p>
        </w:tc>
        <w:tc>
          <w:tcPr>
            <w:tcW w:w="837" w:type="dxa"/>
          </w:tcPr>
          <w:p>
            <w:pPr>
              <w:pStyle w:val="TableParagraph"/>
              <w:rPr>
                <w:sz w:val="22"/>
              </w:rPr>
            </w:pPr>
          </w:p>
          <w:p>
            <w:pPr>
              <w:pStyle w:val="TableParagraph"/>
              <w:spacing w:before="6"/>
              <w:rPr>
                <w:sz w:val="23"/>
              </w:rPr>
            </w:pPr>
          </w:p>
          <w:p>
            <w:pPr>
              <w:pStyle w:val="TableParagraph"/>
              <w:spacing w:line="215" w:lineRule="exact"/>
              <w:ind w:right="96"/>
              <w:jc w:val="right"/>
              <w:rPr>
                <w:sz w:val="20"/>
              </w:rPr>
            </w:pPr>
            <w:r>
              <w:rPr>
                <w:sz w:val="20"/>
              </w:rPr>
              <w:t>15,5</w:t>
            </w:r>
          </w:p>
        </w:tc>
        <w:tc>
          <w:tcPr>
            <w:tcW w:w="1010" w:type="dxa"/>
          </w:tcPr>
          <w:p>
            <w:pPr>
              <w:pStyle w:val="TableParagraph"/>
              <w:rPr>
                <w:sz w:val="22"/>
              </w:rPr>
            </w:pPr>
          </w:p>
          <w:p>
            <w:pPr>
              <w:pStyle w:val="TableParagraph"/>
              <w:spacing w:before="6"/>
              <w:rPr>
                <w:sz w:val="23"/>
              </w:rPr>
            </w:pPr>
          </w:p>
          <w:p>
            <w:pPr>
              <w:pStyle w:val="TableParagraph"/>
              <w:spacing w:line="215" w:lineRule="exact"/>
              <w:ind w:right="98"/>
              <w:jc w:val="right"/>
              <w:rPr>
                <w:sz w:val="20"/>
              </w:rPr>
            </w:pPr>
            <w:r>
              <w:rPr>
                <w:sz w:val="20"/>
              </w:rPr>
              <w:t>2,6*</w:t>
            </w:r>
          </w:p>
        </w:tc>
        <w:tc>
          <w:tcPr>
            <w:tcW w:w="1029" w:type="dxa"/>
          </w:tcPr>
          <w:p>
            <w:pPr>
              <w:pStyle w:val="TableParagraph"/>
              <w:rPr>
                <w:sz w:val="22"/>
              </w:rPr>
            </w:pPr>
          </w:p>
          <w:p>
            <w:pPr>
              <w:pStyle w:val="TableParagraph"/>
              <w:spacing w:before="6"/>
              <w:rPr>
                <w:sz w:val="23"/>
              </w:rPr>
            </w:pPr>
          </w:p>
          <w:p>
            <w:pPr>
              <w:pStyle w:val="TableParagraph"/>
              <w:spacing w:line="215" w:lineRule="exact"/>
              <w:ind w:right="99"/>
              <w:jc w:val="right"/>
              <w:rPr>
                <w:sz w:val="20"/>
              </w:rPr>
            </w:pPr>
            <w:r>
              <w:rPr>
                <w:sz w:val="20"/>
              </w:rPr>
              <w:t>1,1*</w:t>
            </w:r>
          </w:p>
        </w:tc>
      </w:tr>
      <w:tr>
        <w:trPr>
          <w:trHeight w:val="599" w:hRule="atLeast"/>
        </w:trPr>
        <w:tc>
          <w:tcPr>
            <w:tcW w:w="1791" w:type="dxa"/>
          </w:tcPr>
          <w:p>
            <w:pPr>
              <w:pStyle w:val="TableParagraph"/>
              <w:spacing w:before="39"/>
              <w:ind w:left="110" w:right="337"/>
              <w:rPr>
                <w:sz w:val="22"/>
              </w:rPr>
            </w:pPr>
            <w:r>
              <w:rPr>
                <w:sz w:val="22"/>
              </w:rPr>
              <w:t>продукції рослинництва</w:t>
            </w:r>
          </w:p>
        </w:tc>
        <w:tc>
          <w:tcPr>
            <w:tcW w:w="797" w:type="dxa"/>
          </w:tcPr>
          <w:p>
            <w:pPr>
              <w:pStyle w:val="TableParagraph"/>
              <w:spacing w:before="8"/>
              <w:rPr>
                <w:sz w:val="31"/>
              </w:rPr>
            </w:pPr>
          </w:p>
          <w:p>
            <w:pPr>
              <w:pStyle w:val="TableParagraph"/>
              <w:spacing w:line="215" w:lineRule="exact"/>
              <w:ind w:right="89"/>
              <w:jc w:val="right"/>
              <w:rPr>
                <w:sz w:val="20"/>
              </w:rPr>
            </w:pPr>
            <w:r>
              <w:rPr>
                <w:sz w:val="20"/>
              </w:rPr>
              <w:t>16,4</w:t>
            </w:r>
          </w:p>
        </w:tc>
        <w:tc>
          <w:tcPr>
            <w:tcW w:w="836" w:type="dxa"/>
          </w:tcPr>
          <w:p>
            <w:pPr>
              <w:pStyle w:val="TableParagraph"/>
              <w:spacing w:before="8"/>
              <w:rPr>
                <w:sz w:val="31"/>
              </w:rPr>
            </w:pPr>
          </w:p>
          <w:p>
            <w:pPr>
              <w:pStyle w:val="TableParagraph"/>
              <w:spacing w:line="215" w:lineRule="exact"/>
              <w:ind w:right="89"/>
              <w:jc w:val="right"/>
              <w:rPr>
                <w:sz w:val="20"/>
              </w:rPr>
            </w:pPr>
            <w:r>
              <w:rPr>
                <w:sz w:val="20"/>
              </w:rPr>
              <w:t>15,7</w:t>
            </w:r>
          </w:p>
        </w:tc>
        <w:tc>
          <w:tcPr>
            <w:tcW w:w="835" w:type="dxa"/>
          </w:tcPr>
          <w:p>
            <w:pPr>
              <w:pStyle w:val="TableParagraph"/>
              <w:spacing w:before="8"/>
              <w:rPr>
                <w:sz w:val="31"/>
              </w:rPr>
            </w:pPr>
          </w:p>
          <w:p>
            <w:pPr>
              <w:pStyle w:val="TableParagraph"/>
              <w:spacing w:line="215" w:lineRule="exact"/>
              <w:ind w:right="93"/>
              <w:jc w:val="right"/>
              <w:rPr>
                <w:sz w:val="20"/>
              </w:rPr>
            </w:pPr>
            <w:r>
              <w:rPr>
                <w:sz w:val="20"/>
              </w:rPr>
              <w:t>17,3</w:t>
            </w:r>
          </w:p>
        </w:tc>
        <w:tc>
          <w:tcPr>
            <w:tcW w:w="831" w:type="dxa"/>
          </w:tcPr>
          <w:p>
            <w:pPr>
              <w:pStyle w:val="TableParagraph"/>
              <w:spacing w:before="8"/>
              <w:rPr>
                <w:sz w:val="31"/>
              </w:rPr>
            </w:pPr>
          </w:p>
          <w:p>
            <w:pPr>
              <w:pStyle w:val="TableParagraph"/>
              <w:spacing w:line="215" w:lineRule="exact"/>
              <w:ind w:right="89"/>
              <w:jc w:val="right"/>
              <w:rPr>
                <w:sz w:val="20"/>
              </w:rPr>
            </w:pPr>
            <w:r>
              <w:rPr>
                <w:sz w:val="20"/>
              </w:rPr>
              <w:t>16,9</w:t>
            </w:r>
          </w:p>
        </w:tc>
        <w:tc>
          <w:tcPr>
            <w:tcW w:w="836" w:type="dxa"/>
          </w:tcPr>
          <w:p>
            <w:pPr>
              <w:pStyle w:val="TableParagraph"/>
              <w:spacing w:before="8"/>
              <w:rPr>
                <w:sz w:val="31"/>
              </w:rPr>
            </w:pPr>
          </w:p>
          <w:p>
            <w:pPr>
              <w:pStyle w:val="TableParagraph"/>
              <w:spacing w:line="215" w:lineRule="exact"/>
              <w:ind w:right="90"/>
              <w:jc w:val="right"/>
              <w:rPr>
                <w:sz w:val="20"/>
              </w:rPr>
            </w:pPr>
            <w:r>
              <w:rPr>
                <w:sz w:val="20"/>
              </w:rPr>
              <w:t>17,6</w:t>
            </w:r>
          </w:p>
        </w:tc>
        <w:tc>
          <w:tcPr>
            <w:tcW w:w="836" w:type="dxa"/>
          </w:tcPr>
          <w:p>
            <w:pPr>
              <w:pStyle w:val="TableParagraph"/>
              <w:spacing w:before="8"/>
              <w:rPr>
                <w:sz w:val="31"/>
              </w:rPr>
            </w:pPr>
          </w:p>
          <w:p>
            <w:pPr>
              <w:pStyle w:val="TableParagraph"/>
              <w:spacing w:line="215" w:lineRule="exact"/>
              <w:ind w:right="90"/>
              <w:jc w:val="right"/>
              <w:rPr>
                <w:sz w:val="20"/>
              </w:rPr>
            </w:pPr>
            <w:r>
              <w:rPr>
                <w:sz w:val="20"/>
              </w:rPr>
              <w:t>18,3</w:t>
            </w:r>
          </w:p>
        </w:tc>
        <w:tc>
          <w:tcPr>
            <w:tcW w:w="837" w:type="dxa"/>
          </w:tcPr>
          <w:p>
            <w:pPr>
              <w:pStyle w:val="TableParagraph"/>
              <w:spacing w:before="8"/>
              <w:rPr>
                <w:sz w:val="31"/>
              </w:rPr>
            </w:pPr>
          </w:p>
          <w:p>
            <w:pPr>
              <w:pStyle w:val="TableParagraph"/>
              <w:spacing w:line="215" w:lineRule="exact"/>
              <w:ind w:right="96"/>
              <w:jc w:val="right"/>
              <w:rPr>
                <w:sz w:val="20"/>
              </w:rPr>
            </w:pPr>
            <w:r>
              <w:rPr>
                <w:sz w:val="20"/>
              </w:rPr>
              <w:t>18,7</w:t>
            </w:r>
          </w:p>
        </w:tc>
        <w:tc>
          <w:tcPr>
            <w:tcW w:w="1010" w:type="dxa"/>
          </w:tcPr>
          <w:p>
            <w:pPr>
              <w:pStyle w:val="TableParagraph"/>
              <w:spacing w:before="8"/>
              <w:rPr>
                <w:sz w:val="31"/>
              </w:rPr>
            </w:pPr>
          </w:p>
          <w:p>
            <w:pPr>
              <w:pStyle w:val="TableParagraph"/>
              <w:spacing w:line="215" w:lineRule="exact"/>
              <w:ind w:right="98"/>
              <w:jc w:val="right"/>
              <w:rPr>
                <w:sz w:val="20"/>
              </w:rPr>
            </w:pPr>
            <w:r>
              <w:rPr>
                <w:sz w:val="20"/>
              </w:rPr>
              <w:t>2,4*</w:t>
            </w:r>
          </w:p>
        </w:tc>
        <w:tc>
          <w:tcPr>
            <w:tcW w:w="1029" w:type="dxa"/>
          </w:tcPr>
          <w:p>
            <w:pPr>
              <w:pStyle w:val="TableParagraph"/>
              <w:spacing w:before="8"/>
              <w:rPr>
                <w:sz w:val="31"/>
              </w:rPr>
            </w:pPr>
          </w:p>
          <w:p>
            <w:pPr>
              <w:pStyle w:val="TableParagraph"/>
              <w:spacing w:line="215" w:lineRule="exact"/>
              <w:ind w:right="99"/>
              <w:jc w:val="right"/>
              <w:rPr>
                <w:sz w:val="20"/>
              </w:rPr>
            </w:pPr>
            <w:r>
              <w:rPr>
                <w:sz w:val="20"/>
              </w:rPr>
              <w:t>1,1*</w:t>
            </w:r>
          </w:p>
        </w:tc>
      </w:tr>
      <w:tr>
        <w:trPr>
          <w:trHeight w:val="600" w:hRule="atLeast"/>
        </w:trPr>
        <w:tc>
          <w:tcPr>
            <w:tcW w:w="1791" w:type="dxa"/>
          </w:tcPr>
          <w:p>
            <w:pPr>
              <w:pStyle w:val="TableParagraph"/>
              <w:spacing w:line="242" w:lineRule="auto" w:before="39"/>
              <w:ind w:left="110" w:right="357"/>
              <w:rPr>
                <w:sz w:val="22"/>
              </w:rPr>
            </w:pPr>
            <w:r>
              <w:rPr>
                <w:sz w:val="22"/>
              </w:rPr>
              <w:t>продукції тваринництва</w:t>
            </w:r>
          </w:p>
        </w:tc>
        <w:tc>
          <w:tcPr>
            <w:tcW w:w="797" w:type="dxa"/>
          </w:tcPr>
          <w:p>
            <w:pPr>
              <w:pStyle w:val="TableParagraph"/>
              <w:spacing w:before="9"/>
              <w:rPr>
                <w:sz w:val="31"/>
              </w:rPr>
            </w:pPr>
          </w:p>
          <w:p>
            <w:pPr>
              <w:pStyle w:val="TableParagraph"/>
              <w:spacing w:line="215" w:lineRule="exact"/>
              <w:ind w:right="89"/>
              <w:jc w:val="right"/>
              <w:rPr>
                <w:sz w:val="20"/>
              </w:rPr>
            </w:pPr>
            <w:r>
              <w:rPr>
                <w:sz w:val="20"/>
              </w:rPr>
              <w:t>4,3</w:t>
            </w:r>
          </w:p>
        </w:tc>
        <w:tc>
          <w:tcPr>
            <w:tcW w:w="836" w:type="dxa"/>
          </w:tcPr>
          <w:p>
            <w:pPr>
              <w:pStyle w:val="TableParagraph"/>
              <w:spacing w:before="9"/>
              <w:rPr>
                <w:sz w:val="31"/>
              </w:rPr>
            </w:pPr>
          </w:p>
          <w:p>
            <w:pPr>
              <w:pStyle w:val="TableParagraph"/>
              <w:spacing w:line="215" w:lineRule="exact"/>
              <w:ind w:right="89"/>
              <w:jc w:val="right"/>
              <w:rPr>
                <w:sz w:val="20"/>
              </w:rPr>
            </w:pPr>
            <w:r>
              <w:rPr>
                <w:sz w:val="20"/>
              </w:rPr>
              <w:t>4,2</w:t>
            </w:r>
          </w:p>
        </w:tc>
        <w:tc>
          <w:tcPr>
            <w:tcW w:w="835" w:type="dxa"/>
          </w:tcPr>
          <w:p>
            <w:pPr>
              <w:pStyle w:val="TableParagraph"/>
              <w:spacing w:before="9"/>
              <w:rPr>
                <w:sz w:val="31"/>
              </w:rPr>
            </w:pPr>
          </w:p>
          <w:p>
            <w:pPr>
              <w:pStyle w:val="TableParagraph"/>
              <w:spacing w:line="215" w:lineRule="exact"/>
              <w:ind w:right="93"/>
              <w:jc w:val="right"/>
              <w:rPr>
                <w:sz w:val="20"/>
              </w:rPr>
            </w:pPr>
            <w:r>
              <w:rPr>
                <w:sz w:val="20"/>
              </w:rPr>
              <w:t>4,3</w:t>
            </w:r>
          </w:p>
        </w:tc>
        <w:tc>
          <w:tcPr>
            <w:tcW w:w="831" w:type="dxa"/>
          </w:tcPr>
          <w:p>
            <w:pPr>
              <w:pStyle w:val="TableParagraph"/>
              <w:spacing w:before="9"/>
              <w:rPr>
                <w:sz w:val="31"/>
              </w:rPr>
            </w:pPr>
          </w:p>
          <w:p>
            <w:pPr>
              <w:pStyle w:val="TableParagraph"/>
              <w:spacing w:line="215" w:lineRule="exact"/>
              <w:ind w:right="89"/>
              <w:jc w:val="right"/>
              <w:rPr>
                <w:sz w:val="20"/>
              </w:rPr>
            </w:pPr>
            <w:r>
              <w:rPr>
                <w:sz w:val="20"/>
              </w:rPr>
              <w:t>4,0</w:t>
            </w:r>
          </w:p>
        </w:tc>
        <w:tc>
          <w:tcPr>
            <w:tcW w:w="836" w:type="dxa"/>
          </w:tcPr>
          <w:p>
            <w:pPr>
              <w:pStyle w:val="TableParagraph"/>
              <w:spacing w:before="9"/>
              <w:rPr>
                <w:sz w:val="31"/>
              </w:rPr>
            </w:pPr>
          </w:p>
          <w:p>
            <w:pPr>
              <w:pStyle w:val="TableParagraph"/>
              <w:spacing w:line="215" w:lineRule="exact"/>
              <w:ind w:right="90"/>
              <w:jc w:val="right"/>
              <w:rPr>
                <w:sz w:val="20"/>
              </w:rPr>
            </w:pPr>
            <w:r>
              <w:rPr>
                <w:sz w:val="20"/>
              </w:rPr>
              <w:t>4,2</w:t>
            </w:r>
          </w:p>
        </w:tc>
        <w:tc>
          <w:tcPr>
            <w:tcW w:w="836" w:type="dxa"/>
          </w:tcPr>
          <w:p>
            <w:pPr>
              <w:pStyle w:val="TableParagraph"/>
              <w:spacing w:before="9"/>
              <w:rPr>
                <w:sz w:val="31"/>
              </w:rPr>
            </w:pPr>
          </w:p>
          <w:p>
            <w:pPr>
              <w:pStyle w:val="TableParagraph"/>
              <w:spacing w:line="215" w:lineRule="exact"/>
              <w:ind w:right="90"/>
              <w:jc w:val="right"/>
              <w:rPr>
                <w:sz w:val="20"/>
              </w:rPr>
            </w:pPr>
            <w:r>
              <w:rPr>
                <w:sz w:val="20"/>
              </w:rPr>
              <w:t>4,4</w:t>
            </w:r>
          </w:p>
        </w:tc>
        <w:tc>
          <w:tcPr>
            <w:tcW w:w="837" w:type="dxa"/>
          </w:tcPr>
          <w:p>
            <w:pPr>
              <w:pStyle w:val="TableParagraph"/>
              <w:spacing w:before="9"/>
              <w:rPr>
                <w:sz w:val="31"/>
              </w:rPr>
            </w:pPr>
          </w:p>
          <w:p>
            <w:pPr>
              <w:pStyle w:val="TableParagraph"/>
              <w:spacing w:line="215" w:lineRule="exact"/>
              <w:ind w:right="96"/>
              <w:jc w:val="right"/>
              <w:rPr>
                <w:sz w:val="20"/>
              </w:rPr>
            </w:pPr>
            <w:r>
              <w:rPr>
                <w:sz w:val="20"/>
              </w:rPr>
              <w:t>4,4</w:t>
            </w:r>
          </w:p>
        </w:tc>
        <w:tc>
          <w:tcPr>
            <w:tcW w:w="1010" w:type="dxa"/>
          </w:tcPr>
          <w:p>
            <w:pPr>
              <w:pStyle w:val="TableParagraph"/>
              <w:spacing w:before="9"/>
              <w:rPr>
                <w:sz w:val="31"/>
              </w:rPr>
            </w:pPr>
          </w:p>
          <w:p>
            <w:pPr>
              <w:pStyle w:val="TableParagraph"/>
              <w:spacing w:line="215" w:lineRule="exact"/>
              <w:ind w:right="98"/>
              <w:jc w:val="right"/>
              <w:rPr>
                <w:sz w:val="20"/>
              </w:rPr>
            </w:pPr>
            <w:r>
              <w:rPr>
                <w:sz w:val="20"/>
              </w:rPr>
              <w:t>0,1*</w:t>
            </w:r>
          </w:p>
        </w:tc>
        <w:tc>
          <w:tcPr>
            <w:tcW w:w="1029" w:type="dxa"/>
          </w:tcPr>
          <w:p>
            <w:pPr>
              <w:pStyle w:val="TableParagraph"/>
              <w:spacing w:before="9"/>
              <w:rPr>
                <w:sz w:val="31"/>
              </w:rPr>
            </w:pPr>
          </w:p>
          <w:p>
            <w:pPr>
              <w:pStyle w:val="TableParagraph"/>
              <w:spacing w:line="215" w:lineRule="exact"/>
              <w:ind w:right="99"/>
              <w:jc w:val="right"/>
              <w:rPr>
                <w:sz w:val="20"/>
              </w:rPr>
            </w:pPr>
            <w:r>
              <w:rPr>
                <w:sz w:val="20"/>
              </w:rPr>
              <w:t>0,2*</w:t>
            </w:r>
          </w:p>
        </w:tc>
      </w:tr>
    </w:tbl>
    <w:p>
      <w:pPr>
        <w:spacing w:line="237" w:lineRule="auto" w:before="0"/>
        <w:ind w:left="193" w:right="616" w:firstLine="0"/>
        <w:jc w:val="both"/>
        <w:rPr>
          <w:i/>
          <w:sz w:val="24"/>
        </w:rPr>
      </w:pPr>
      <w:r>
        <w:rPr>
          <w:i/>
          <w:sz w:val="24"/>
        </w:rPr>
        <w:t>Джерело: Розраховано автором з використанням даних Державної служби статистики </w:t>
      </w:r>
      <w:r>
        <w:rPr>
          <w:i/>
          <w:sz w:val="24"/>
        </w:rPr>
        <w:t>України.</w:t>
      </w:r>
    </w:p>
    <w:p>
      <w:pPr>
        <w:spacing w:before="3"/>
        <w:ind w:left="193" w:right="0" w:firstLine="0"/>
        <w:jc w:val="both"/>
        <w:rPr>
          <w:i/>
          <w:sz w:val="24"/>
        </w:rPr>
      </w:pPr>
      <w:r>
        <w:rPr>
          <w:i/>
          <w:sz w:val="24"/>
        </w:rPr>
        <w:t>* - відхилення %-х пунктів, +,-</w:t>
      </w:r>
    </w:p>
    <w:p>
      <w:pPr>
        <w:pStyle w:val="BodyText"/>
        <w:spacing w:before="3"/>
        <w:ind w:left="0"/>
        <w:jc w:val="left"/>
        <w:rPr>
          <w:i/>
        </w:rPr>
      </w:pPr>
    </w:p>
    <w:p>
      <w:pPr>
        <w:pStyle w:val="BodyText"/>
        <w:ind w:right="615" w:firstLine="710"/>
      </w:pPr>
      <w:r>
        <w:rPr/>
        <w:t>Переважна частина у структурі виробництва валової продукції сільськогосподарських підприємств (77,3 %) належить продукції рослинництва. Як</w:t>
      </w:r>
      <w:r>
        <w:rPr>
          <w:spacing w:val="-8"/>
        </w:rPr>
        <w:t> </w:t>
      </w:r>
      <w:r>
        <w:rPr/>
        <w:t>видно</w:t>
      </w:r>
      <w:r>
        <w:rPr>
          <w:spacing w:val="-6"/>
        </w:rPr>
        <w:t> </w:t>
      </w:r>
      <w:r>
        <w:rPr/>
        <w:t>з</w:t>
      </w:r>
      <w:r>
        <w:rPr>
          <w:spacing w:val="-6"/>
        </w:rPr>
        <w:t> </w:t>
      </w:r>
      <w:r>
        <w:rPr/>
        <w:t>наведених</w:t>
      </w:r>
      <w:r>
        <w:rPr>
          <w:spacing w:val="-11"/>
        </w:rPr>
        <w:t> </w:t>
      </w:r>
      <w:r>
        <w:rPr/>
        <w:t>даних</w:t>
      </w:r>
      <w:r>
        <w:rPr>
          <w:spacing w:val="-10"/>
        </w:rPr>
        <w:t> </w:t>
      </w:r>
      <w:r>
        <w:rPr/>
        <w:t>за</w:t>
      </w:r>
      <w:r>
        <w:rPr>
          <w:spacing w:val="-6"/>
        </w:rPr>
        <w:t> </w:t>
      </w:r>
      <w:r>
        <w:rPr/>
        <w:t>останні</w:t>
      </w:r>
      <w:r>
        <w:rPr>
          <w:spacing w:val="-11"/>
        </w:rPr>
        <w:t> </w:t>
      </w:r>
      <w:r>
        <w:rPr/>
        <w:t>роки</w:t>
      </w:r>
      <w:r>
        <w:rPr>
          <w:spacing w:val="-7"/>
        </w:rPr>
        <w:t> </w:t>
      </w:r>
      <w:r>
        <w:rPr/>
        <w:t>її</w:t>
      </w:r>
      <w:r>
        <w:rPr>
          <w:spacing w:val="-11"/>
        </w:rPr>
        <w:t> </w:t>
      </w:r>
      <w:r>
        <w:rPr/>
        <w:t>обсяги</w:t>
      </w:r>
      <w:r>
        <w:rPr>
          <w:spacing w:val="-6"/>
        </w:rPr>
        <w:t> </w:t>
      </w:r>
      <w:r>
        <w:rPr/>
        <w:t>постійно</w:t>
      </w:r>
      <w:r>
        <w:rPr>
          <w:spacing w:val="-7"/>
        </w:rPr>
        <w:t> </w:t>
      </w:r>
      <w:r>
        <w:rPr/>
        <w:t>зростають,</w:t>
      </w:r>
      <w:r>
        <w:rPr>
          <w:spacing w:val="-4"/>
        </w:rPr>
        <w:t> </w:t>
      </w:r>
      <w:r>
        <w:rPr/>
        <w:t>в</w:t>
      </w:r>
      <w:r>
        <w:rPr>
          <w:spacing w:val="-8"/>
        </w:rPr>
        <w:t> </w:t>
      </w:r>
      <w:r>
        <w:rPr/>
        <w:t>тому числі обсяги виробництва валової продукції в постійних цінах 2010 року, що вироблялася у фермерських</w:t>
      </w:r>
      <w:r>
        <w:rPr>
          <w:spacing w:val="-5"/>
        </w:rPr>
        <w:t> </w:t>
      </w:r>
      <w:r>
        <w:rPr/>
        <w:t>господарствах.</w:t>
      </w:r>
    </w:p>
    <w:p>
      <w:pPr>
        <w:pStyle w:val="BodyText"/>
        <w:ind w:right="615" w:firstLine="710"/>
      </w:pPr>
      <w:r>
        <w:rPr/>
        <w:t>Слід відзначити, що зростання обсягів виробництва в фермерських господарства відбувається більш швидкими темпами, ніж у сільськогосподарських підприємствах в цілому, особливо в рослинництві.</w:t>
      </w:r>
    </w:p>
    <w:p>
      <w:pPr>
        <w:spacing w:after="0"/>
        <w:sectPr>
          <w:pgSz w:w="11910" w:h="16840"/>
          <w:pgMar w:header="713" w:footer="778" w:top="1140" w:bottom="960" w:left="940" w:right="520"/>
        </w:sectPr>
      </w:pPr>
    </w:p>
    <w:p>
      <w:pPr>
        <w:pStyle w:val="BodyText"/>
        <w:spacing w:before="92"/>
        <w:ind w:right="618"/>
      </w:pPr>
      <w:r>
        <w:rPr/>
        <w:t>Динаміка росту обсягів виробництва продукції тваринництва є повільнішою і складає 23,1 % та 26,7 % відповідно.</w:t>
      </w:r>
    </w:p>
    <w:p>
      <w:pPr>
        <w:pStyle w:val="BodyText"/>
        <w:ind w:right="616" w:firstLine="710"/>
      </w:pPr>
      <w:r>
        <w:rPr/>
        <w:t>Отже, фермерські господарства показують стабільне зростання питомої ваги у виробництві сільськогосподарської продукції в Україні. В таких умовах, одним із найважливішим завдань є підвищення рівня ефективності виробництва сільськогосподарської продукції, від рішення якого залежить продовольча безпека країни.</w:t>
      </w:r>
    </w:p>
    <w:p>
      <w:pPr>
        <w:pStyle w:val="BodyText"/>
        <w:spacing w:before="2"/>
        <w:ind w:right="616" w:firstLine="710"/>
      </w:pPr>
      <w:r>
        <w:rPr/>
        <w:t>У комплексі заходів підвищення економічної ефективності сільськогосподарського виробництва найважливішим є раціональне використання землі на основі підвищення її родючості і зростання врожайності сільськогосподарських культур (табл. 2).</w:t>
      </w:r>
    </w:p>
    <w:p>
      <w:pPr>
        <w:pStyle w:val="BodyText"/>
        <w:spacing w:line="321" w:lineRule="exact" w:after="7"/>
        <w:ind w:left="903"/>
      </w:pPr>
      <w:r>
        <w:rPr/>
        <w:t>Таблиця 2. Урожайність сільськогосподарських культур, ц з 1 га</w:t>
      </w:r>
    </w:p>
    <w:tbl>
      <w:tblPr>
        <w:tblW w:w="0" w:type="auto"/>
        <w:jc w:val="left"/>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3"/>
        <w:gridCol w:w="769"/>
        <w:gridCol w:w="764"/>
        <w:gridCol w:w="768"/>
        <w:gridCol w:w="764"/>
        <w:gridCol w:w="768"/>
        <w:gridCol w:w="768"/>
        <w:gridCol w:w="763"/>
        <w:gridCol w:w="1166"/>
        <w:gridCol w:w="1166"/>
      </w:tblGrid>
      <w:tr>
        <w:trPr>
          <w:trHeight w:val="503" w:hRule="atLeast"/>
        </w:trPr>
        <w:tc>
          <w:tcPr>
            <w:tcW w:w="1873" w:type="dxa"/>
          </w:tcPr>
          <w:p>
            <w:pPr>
              <w:pStyle w:val="TableParagraph"/>
              <w:spacing w:before="4"/>
              <w:rPr>
                <w:sz w:val="23"/>
              </w:rPr>
            </w:pPr>
          </w:p>
          <w:p>
            <w:pPr>
              <w:pStyle w:val="TableParagraph"/>
              <w:spacing w:line="215" w:lineRule="exact"/>
              <w:ind w:left="158"/>
              <w:rPr>
                <w:sz w:val="20"/>
              </w:rPr>
            </w:pPr>
            <w:r>
              <w:rPr>
                <w:sz w:val="20"/>
              </w:rPr>
              <w:t>Культури</w:t>
            </w:r>
          </w:p>
        </w:tc>
        <w:tc>
          <w:tcPr>
            <w:tcW w:w="769" w:type="dxa"/>
          </w:tcPr>
          <w:p>
            <w:pPr>
              <w:pStyle w:val="TableParagraph"/>
              <w:spacing w:before="130"/>
              <w:ind w:left="105"/>
              <w:rPr>
                <w:sz w:val="20"/>
              </w:rPr>
            </w:pPr>
            <w:r>
              <w:rPr>
                <w:sz w:val="20"/>
              </w:rPr>
              <w:t>2010р.</w:t>
            </w:r>
          </w:p>
        </w:tc>
        <w:tc>
          <w:tcPr>
            <w:tcW w:w="764" w:type="dxa"/>
          </w:tcPr>
          <w:p>
            <w:pPr>
              <w:pStyle w:val="TableParagraph"/>
              <w:spacing w:before="130"/>
              <w:ind w:right="93"/>
              <w:jc w:val="right"/>
              <w:rPr>
                <w:sz w:val="20"/>
              </w:rPr>
            </w:pPr>
            <w:r>
              <w:rPr>
                <w:sz w:val="20"/>
              </w:rPr>
              <w:t>2012р.</w:t>
            </w:r>
          </w:p>
        </w:tc>
        <w:tc>
          <w:tcPr>
            <w:tcW w:w="768" w:type="dxa"/>
          </w:tcPr>
          <w:p>
            <w:pPr>
              <w:pStyle w:val="TableParagraph"/>
              <w:spacing w:before="130"/>
              <w:ind w:left="108"/>
              <w:rPr>
                <w:sz w:val="20"/>
              </w:rPr>
            </w:pPr>
            <w:r>
              <w:rPr>
                <w:sz w:val="20"/>
              </w:rPr>
              <w:t>2013р.</w:t>
            </w:r>
          </w:p>
        </w:tc>
        <w:tc>
          <w:tcPr>
            <w:tcW w:w="764" w:type="dxa"/>
          </w:tcPr>
          <w:p>
            <w:pPr>
              <w:pStyle w:val="TableParagraph"/>
              <w:spacing w:before="130"/>
              <w:ind w:left="86" w:right="78"/>
              <w:jc w:val="center"/>
              <w:rPr>
                <w:sz w:val="20"/>
              </w:rPr>
            </w:pPr>
            <w:r>
              <w:rPr>
                <w:sz w:val="20"/>
              </w:rPr>
              <w:t>2014р.</w:t>
            </w:r>
          </w:p>
        </w:tc>
        <w:tc>
          <w:tcPr>
            <w:tcW w:w="768" w:type="dxa"/>
          </w:tcPr>
          <w:p>
            <w:pPr>
              <w:pStyle w:val="TableParagraph"/>
              <w:spacing w:before="130"/>
              <w:ind w:left="86" w:right="73"/>
              <w:jc w:val="center"/>
              <w:rPr>
                <w:sz w:val="20"/>
              </w:rPr>
            </w:pPr>
            <w:r>
              <w:rPr>
                <w:sz w:val="20"/>
              </w:rPr>
              <w:t>2015р.</w:t>
            </w:r>
          </w:p>
        </w:tc>
        <w:tc>
          <w:tcPr>
            <w:tcW w:w="768" w:type="dxa"/>
          </w:tcPr>
          <w:p>
            <w:pPr>
              <w:pStyle w:val="TableParagraph"/>
              <w:spacing w:before="130"/>
              <w:ind w:left="81" w:right="77"/>
              <w:jc w:val="center"/>
              <w:rPr>
                <w:sz w:val="20"/>
              </w:rPr>
            </w:pPr>
            <w:r>
              <w:rPr>
                <w:sz w:val="20"/>
              </w:rPr>
              <w:t>2016р.</w:t>
            </w:r>
          </w:p>
        </w:tc>
        <w:tc>
          <w:tcPr>
            <w:tcW w:w="763" w:type="dxa"/>
          </w:tcPr>
          <w:p>
            <w:pPr>
              <w:pStyle w:val="TableParagraph"/>
              <w:spacing w:before="130"/>
              <w:ind w:right="92"/>
              <w:jc w:val="right"/>
              <w:rPr>
                <w:sz w:val="20"/>
              </w:rPr>
            </w:pPr>
            <w:r>
              <w:rPr>
                <w:sz w:val="20"/>
              </w:rPr>
              <w:t>2017р.</w:t>
            </w:r>
          </w:p>
        </w:tc>
        <w:tc>
          <w:tcPr>
            <w:tcW w:w="1166" w:type="dxa"/>
          </w:tcPr>
          <w:p>
            <w:pPr>
              <w:pStyle w:val="TableParagraph"/>
              <w:spacing w:before="14"/>
              <w:ind w:left="124" w:right="95" w:firstLine="57"/>
              <w:rPr>
                <w:sz w:val="20"/>
              </w:rPr>
            </w:pPr>
            <w:r>
              <w:rPr>
                <w:sz w:val="20"/>
              </w:rPr>
              <w:t>2017р. до 2010р. у %</w:t>
            </w:r>
          </w:p>
        </w:tc>
        <w:tc>
          <w:tcPr>
            <w:tcW w:w="1166" w:type="dxa"/>
          </w:tcPr>
          <w:p>
            <w:pPr>
              <w:pStyle w:val="TableParagraph"/>
              <w:spacing w:before="14"/>
              <w:ind w:left="120" w:right="99" w:firstLine="57"/>
              <w:rPr>
                <w:sz w:val="20"/>
              </w:rPr>
            </w:pPr>
            <w:r>
              <w:rPr>
                <w:sz w:val="20"/>
              </w:rPr>
              <w:t>2017р. до 2015р. у %</w:t>
            </w:r>
          </w:p>
        </w:tc>
      </w:tr>
      <w:tr>
        <w:trPr>
          <w:trHeight w:val="282" w:hRule="atLeast"/>
        </w:trPr>
        <w:tc>
          <w:tcPr>
            <w:tcW w:w="1873" w:type="dxa"/>
          </w:tcPr>
          <w:p>
            <w:pPr>
              <w:pStyle w:val="TableParagraph"/>
              <w:rPr>
                <w:sz w:val="20"/>
              </w:rPr>
            </w:pPr>
          </w:p>
        </w:tc>
        <w:tc>
          <w:tcPr>
            <w:tcW w:w="5364" w:type="dxa"/>
            <w:gridSpan w:val="7"/>
          </w:tcPr>
          <w:p>
            <w:pPr>
              <w:pStyle w:val="TableParagraph"/>
              <w:spacing w:before="19"/>
              <w:ind w:left="772"/>
              <w:rPr>
                <w:sz w:val="20"/>
              </w:rPr>
            </w:pPr>
            <w:r>
              <w:rPr>
                <w:sz w:val="20"/>
              </w:rPr>
              <w:t>Сільськогосподарські підприємства України</w:t>
            </w:r>
          </w:p>
        </w:tc>
        <w:tc>
          <w:tcPr>
            <w:tcW w:w="1166" w:type="dxa"/>
          </w:tcPr>
          <w:p>
            <w:pPr>
              <w:pStyle w:val="TableParagraph"/>
              <w:rPr>
                <w:sz w:val="20"/>
              </w:rPr>
            </w:pPr>
          </w:p>
        </w:tc>
        <w:tc>
          <w:tcPr>
            <w:tcW w:w="1166" w:type="dxa"/>
          </w:tcPr>
          <w:p>
            <w:pPr>
              <w:pStyle w:val="TableParagraph"/>
              <w:rPr>
                <w:sz w:val="20"/>
              </w:rPr>
            </w:pPr>
          </w:p>
        </w:tc>
      </w:tr>
      <w:tr>
        <w:trPr>
          <w:trHeight w:val="504" w:hRule="atLeast"/>
        </w:trPr>
        <w:tc>
          <w:tcPr>
            <w:tcW w:w="1873" w:type="dxa"/>
          </w:tcPr>
          <w:p>
            <w:pPr>
              <w:pStyle w:val="TableParagraph"/>
              <w:tabs>
                <w:tab w:pos="1564" w:val="left" w:leader="none"/>
              </w:tabs>
              <w:spacing w:line="250" w:lineRule="exact" w:before="1"/>
              <w:ind w:left="105" w:right="102"/>
              <w:rPr>
                <w:sz w:val="22"/>
              </w:rPr>
            </w:pPr>
            <w:r>
              <w:rPr>
                <w:sz w:val="22"/>
              </w:rPr>
              <w:t>Зернові</w:t>
              <w:tab/>
            </w:r>
            <w:r>
              <w:rPr>
                <w:spacing w:val="-9"/>
                <w:sz w:val="22"/>
              </w:rPr>
              <w:t>та </w:t>
            </w:r>
            <w:r>
              <w:rPr>
                <w:sz w:val="22"/>
              </w:rPr>
              <w:t>зернобобові</w:t>
            </w:r>
          </w:p>
        </w:tc>
        <w:tc>
          <w:tcPr>
            <w:tcW w:w="769" w:type="dxa"/>
          </w:tcPr>
          <w:p>
            <w:pPr>
              <w:pStyle w:val="TableParagraph"/>
              <w:spacing w:before="135"/>
              <w:ind w:left="206"/>
              <w:rPr>
                <w:sz w:val="20"/>
              </w:rPr>
            </w:pPr>
            <w:r>
              <w:rPr>
                <w:sz w:val="20"/>
              </w:rPr>
              <w:t>27,9</w:t>
            </w:r>
          </w:p>
        </w:tc>
        <w:tc>
          <w:tcPr>
            <w:tcW w:w="764" w:type="dxa"/>
          </w:tcPr>
          <w:p>
            <w:pPr>
              <w:pStyle w:val="TableParagraph"/>
              <w:spacing w:before="135"/>
              <w:ind w:right="191"/>
              <w:jc w:val="right"/>
              <w:rPr>
                <w:sz w:val="20"/>
              </w:rPr>
            </w:pPr>
            <w:r>
              <w:rPr>
                <w:sz w:val="20"/>
              </w:rPr>
              <w:t>34,0</w:t>
            </w:r>
          </w:p>
        </w:tc>
        <w:tc>
          <w:tcPr>
            <w:tcW w:w="768" w:type="dxa"/>
          </w:tcPr>
          <w:p>
            <w:pPr>
              <w:pStyle w:val="TableParagraph"/>
              <w:spacing w:before="135"/>
              <w:ind w:left="209"/>
              <w:rPr>
                <w:sz w:val="20"/>
              </w:rPr>
            </w:pPr>
            <w:r>
              <w:rPr>
                <w:sz w:val="20"/>
              </w:rPr>
              <w:t>43,7</w:t>
            </w:r>
          </w:p>
        </w:tc>
        <w:tc>
          <w:tcPr>
            <w:tcW w:w="764" w:type="dxa"/>
          </w:tcPr>
          <w:p>
            <w:pPr>
              <w:pStyle w:val="TableParagraph"/>
              <w:spacing w:before="135"/>
              <w:ind w:left="86" w:right="76"/>
              <w:jc w:val="center"/>
              <w:rPr>
                <w:sz w:val="20"/>
              </w:rPr>
            </w:pPr>
            <w:r>
              <w:rPr>
                <w:sz w:val="20"/>
              </w:rPr>
              <w:t>47,5</w:t>
            </w:r>
          </w:p>
        </w:tc>
        <w:tc>
          <w:tcPr>
            <w:tcW w:w="768" w:type="dxa"/>
          </w:tcPr>
          <w:p>
            <w:pPr>
              <w:pStyle w:val="TableParagraph"/>
              <w:spacing w:before="135"/>
              <w:ind w:left="86" w:right="71"/>
              <w:jc w:val="center"/>
              <w:rPr>
                <w:sz w:val="20"/>
              </w:rPr>
            </w:pPr>
            <w:r>
              <w:rPr>
                <w:sz w:val="20"/>
              </w:rPr>
              <w:t>43,8</w:t>
            </w:r>
          </w:p>
        </w:tc>
        <w:tc>
          <w:tcPr>
            <w:tcW w:w="768" w:type="dxa"/>
          </w:tcPr>
          <w:p>
            <w:pPr>
              <w:pStyle w:val="TableParagraph"/>
              <w:spacing w:before="135"/>
              <w:ind w:left="83" w:right="77"/>
              <w:jc w:val="center"/>
              <w:rPr>
                <w:sz w:val="20"/>
              </w:rPr>
            </w:pPr>
            <w:r>
              <w:rPr>
                <w:sz w:val="20"/>
              </w:rPr>
              <w:t>50,0</w:t>
            </w:r>
          </w:p>
        </w:tc>
        <w:tc>
          <w:tcPr>
            <w:tcW w:w="763" w:type="dxa"/>
          </w:tcPr>
          <w:p>
            <w:pPr>
              <w:pStyle w:val="TableParagraph"/>
              <w:spacing w:before="135"/>
              <w:ind w:right="191"/>
              <w:jc w:val="right"/>
              <w:rPr>
                <w:sz w:val="20"/>
              </w:rPr>
            </w:pPr>
            <w:r>
              <w:rPr>
                <w:sz w:val="20"/>
              </w:rPr>
              <w:t>45,6</w:t>
            </w:r>
          </w:p>
        </w:tc>
        <w:tc>
          <w:tcPr>
            <w:tcW w:w="1166" w:type="dxa"/>
          </w:tcPr>
          <w:p>
            <w:pPr>
              <w:pStyle w:val="TableParagraph"/>
              <w:spacing w:before="135"/>
              <w:ind w:left="342" w:right="324"/>
              <w:jc w:val="center"/>
              <w:rPr>
                <w:sz w:val="20"/>
              </w:rPr>
            </w:pPr>
            <w:r>
              <w:rPr>
                <w:sz w:val="20"/>
              </w:rPr>
              <w:t>163,4</w:t>
            </w:r>
          </w:p>
        </w:tc>
        <w:tc>
          <w:tcPr>
            <w:tcW w:w="1166" w:type="dxa"/>
          </w:tcPr>
          <w:p>
            <w:pPr>
              <w:pStyle w:val="TableParagraph"/>
              <w:spacing w:before="135"/>
              <w:ind w:left="355"/>
              <w:rPr>
                <w:sz w:val="20"/>
              </w:rPr>
            </w:pPr>
            <w:r>
              <w:rPr>
                <w:sz w:val="20"/>
              </w:rPr>
              <w:t>104,1</w:t>
            </w:r>
          </w:p>
        </w:tc>
      </w:tr>
      <w:tr>
        <w:trPr>
          <w:trHeight w:val="508" w:hRule="atLeast"/>
        </w:trPr>
        <w:tc>
          <w:tcPr>
            <w:tcW w:w="1873" w:type="dxa"/>
          </w:tcPr>
          <w:p>
            <w:pPr>
              <w:pStyle w:val="TableParagraph"/>
              <w:tabs>
                <w:tab w:pos="863" w:val="left" w:leader="none"/>
              </w:tabs>
              <w:spacing w:line="249" w:lineRule="exact"/>
              <w:ind w:left="105"/>
              <w:rPr>
                <w:sz w:val="22"/>
              </w:rPr>
            </w:pPr>
            <w:r>
              <w:rPr>
                <w:sz w:val="22"/>
              </w:rPr>
              <w:t>Буряк</w:t>
              <w:tab/>
              <w:t>цукровий</w:t>
            </w:r>
          </w:p>
          <w:p>
            <w:pPr>
              <w:pStyle w:val="TableParagraph"/>
              <w:spacing w:line="238" w:lineRule="exact" w:before="1"/>
              <w:ind w:left="105"/>
              <w:rPr>
                <w:sz w:val="22"/>
              </w:rPr>
            </w:pPr>
            <w:r>
              <w:rPr>
                <w:sz w:val="22"/>
              </w:rPr>
              <w:t>фабричний</w:t>
            </w:r>
          </w:p>
        </w:tc>
        <w:tc>
          <w:tcPr>
            <w:tcW w:w="769" w:type="dxa"/>
          </w:tcPr>
          <w:p>
            <w:pPr>
              <w:pStyle w:val="TableParagraph"/>
              <w:spacing w:before="134"/>
              <w:ind w:left="153"/>
              <w:rPr>
                <w:sz w:val="20"/>
              </w:rPr>
            </w:pPr>
            <w:r>
              <w:rPr>
                <w:sz w:val="20"/>
              </w:rPr>
              <w:t>281,5</w:t>
            </w:r>
          </w:p>
        </w:tc>
        <w:tc>
          <w:tcPr>
            <w:tcW w:w="764" w:type="dxa"/>
          </w:tcPr>
          <w:p>
            <w:pPr>
              <w:pStyle w:val="TableParagraph"/>
              <w:spacing w:before="134"/>
              <w:ind w:right="143"/>
              <w:jc w:val="right"/>
              <w:rPr>
                <w:sz w:val="20"/>
              </w:rPr>
            </w:pPr>
            <w:r>
              <w:rPr>
                <w:sz w:val="20"/>
              </w:rPr>
              <w:t>420,6</w:t>
            </w:r>
          </w:p>
        </w:tc>
        <w:tc>
          <w:tcPr>
            <w:tcW w:w="768" w:type="dxa"/>
          </w:tcPr>
          <w:p>
            <w:pPr>
              <w:pStyle w:val="TableParagraph"/>
              <w:spacing w:before="134"/>
              <w:ind w:left="156"/>
              <w:rPr>
                <w:sz w:val="20"/>
              </w:rPr>
            </w:pPr>
            <w:r>
              <w:rPr>
                <w:sz w:val="20"/>
              </w:rPr>
              <w:t>419,4</w:t>
            </w:r>
          </w:p>
        </w:tc>
        <w:tc>
          <w:tcPr>
            <w:tcW w:w="764" w:type="dxa"/>
          </w:tcPr>
          <w:p>
            <w:pPr>
              <w:pStyle w:val="TableParagraph"/>
              <w:spacing w:before="134"/>
              <w:ind w:left="84" w:right="78"/>
              <w:jc w:val="center"/>
              <w:rPr>
                <w:sz w:val="20"/>
              </w:rPr>
            </w:pPr>
            <w:r>
              <w:rPr>
                <w:sz w:val="20"/>
              </w:rPr>
              <w:t>490,2</w:t>
            </w:r>
          </w:p>
        </w:tc>
        <w:tc>
          <w:tcPr>
            <w:tcW w:w="768" w:type="dxa"/>
          </w:tcPr>
          <w:p>
            <w:pPr>
              <w:pStyle w:val="TableParagraph"/>
              <w:spacing w:before="134"/>
              <w:ind w:left="86" w:right="76"/>
              <w:jc w:val="center"/>
              <w:rPr>
                <w:sz w:val="20"/>
              </w:rPr>
            </w:pPr>
            <w:r>
              <w:rPr>
                <w:sz w:val="20"/>
              </w:rPr>
              <w:t>448,2</w:t>
            </w:r>
          </w:p>
        </w:tc>
        <w:tc>
          <w:tcPr>
            <w:tcW w:w="768" w:type="dxa"/>
          </w:tcPr>
          <w:p>
            <w:pPr>
              <w:pStyle w:val="TableParagraph"/>
              <w:spacing w:before="134"/>
              <w:ind w:left="79" w:right="77"/>
              <w:jc w:val="center"/>
              <w:rPr>
                <w:sz w:val="20"/>
              </w:rPr>
            </w:pPr>
            <w:r>
              <w:rPr>
                <w:sz w:val="20"/>
              </w:rPr>
              <w:t>494,0</w:t>
            </w:r>
          </w:p>
        </w:tc>
        <w:tc>
          <w:tcPr>
            <w:tcW w:w="763" w:type="dxa"/>
          </w:tcPr>
          <w:p>
            <w:pPr>
              <w:pStyle w:val="TableParagraph"/>
              <w:spacing w:before="134"/>
              <w:ind w:right="143"/>
              <w:jc w:val="right"/>
              <w:rPr>
                <w:sz w:val="20"/>
              </w:rPr>
            </w:pPr>
            <w:r>
              <w:rPr>
                <w:sz w:val="20"/>
              </w:rPr>
              <w:t>484,1</w:t>
            </w:r>
          </w:p>
        </w:tc>
        <w:tc>
          <w:tcPr>
            <w:tcW w:w="1166" w:type="dxa"/>
          </w:tcPr>
          <w:p>
            <w:pPr>
              <w:pStyle w:val="TableParagraph"/>
              <w:spacing w:before="134"/>
              <w:ind w:left="342" w:right="324"/>
              <w:jc w:val="center"/>
              <w:rPr>
                <w:sz w:val="20"/>
              </w:rPr>
            </w:pPr>
            <w:r>
              <w:rPr>
                <w:sz w:val="20"/>
              </w:rPr>
              <w:t>172,0</w:t>
            </w:r>
          </w:p>
        </w:tc>
        <w:tc>
          <w:tcPr>
            <w:tcW w:w="1166" w:type="dxa"/>
          </w:tcPr>
          <w:p>
            <w:pPr>
              <w:pStyle w:val="TableParagraph"/>
              <w:spacing w:before="134"/>
              <w:ind w:left="355"/>
              <w:rPr>
                <w:sz w:val="20"/>
              </w:rPr>
            </w:pPr>
            <w:r>
              <w:rPr>
                <w:sz w:val="20"/>
              </w:rPr>
              <w:t>108,0</w:t>
            </w:r>
          </w:p>
        </w:tc>
      </w:tr>
      <w:tr>
        <w:trPr>
          <w:trHeight w:val="282" w:hRule="atLeast"/>
        </w:trPr>
        <w:tc>
          <w:tcPr>
            <w:tcW w:w="1873" w:type="dxa"/>
          </w:tcPr>
          <w:p>
            <w:pPr>
              <w:pStyle w:val="TableParagraph"/>
              <w:spacing w:line="252" w:lineRule="exact" w:before="10"/>
              <w:ind w:left="105"/>
              <w:rPr>
                <w:sz w:val="22"/>
              </w:rPr>
            </w:pPr>
            <w:r>
              <w:rPr>
                <w:sz w:val="22"/>
              </w:rPr>
              <w:t>Соняшник</w:t>
            </w:r>
          </w:p>
        </w:tc>
        <w:tc>
          <w:tcPr>
            <w:tcW w:w="769" w:type="dxa"/>
          </w:tcPr>
          <w:p>
            <w:pPr>
              <w:pStyle w:val="TableParagraph"/>
              <w:spacing w:before="19"/>
              <w:ind w:left="206"/>
              <w:rPr>
                <w:sz w:val="20"/>
              </w:rPr>
            </w:pPr>
            <w:r>
              <w:rPr>
                <w:sz w:val="20"/>
              </w:rPr>
              <w:t>15,4</w:t>
            </w:r>
          </w:p>
        </w:tc>
        <w:tc>
          <w:tcPr>
            <w:tcW w:w="764" w:type="dxa"/>
          </w:tcPr>
          <w:p>
            <w:pPr>
              <w:pStyle w:val="TableParagraph"/>
              <w:spacing w:before="19"/>
              <w:ind w:right="191"/>
              <w:jc w:val="right"/>
              <w:rPr>
                <w:sz w:val="20"/>
              </w:rPr>
            </w:pPr>
            <w:r>
              <w:rPr>
                <w:sz w:val="20"/>
              </w:rPr>
              <w:t>17,5</w:t>
            </w:r>
          </w:p>
        </w:tc>
        <w:tc>
          <w:tcPr>
            <w:tcW w:w="768" w:type="dxa"/>
          </w:tcPr>
          <w:p>
            <w:pPr>
              <w:pStyle w:val="TableParagraph"/>
              <w:spacing w:before="19"/>
              <w:ind w:left="84" w:right="77"/>
              <w:jc w:val="center"/>
              <w:rPr>
                <w:sz w:val="20"/>
              </w:rPr>
            </w:pPr>
            <w:r>
              <w:rPr>
                <w:sz w:val="20"/>
              </w:rPr>
              <w:t>23</w:t>
            </w:r>
          </w:p>
        </w:tc>
        <w:tc>
          <w:tcPr>
            <w:tcW w:w="764" w:type="dxa"/>
          </w:tcPr>
          <w:p>
            <w:pPr>
              <w:pStyle w:val="TableParagraph"/>
              <w:spacing w:before="19"/>
              <w:ind w:left="86" w:right="76"/>
              <w:jc w:val="center"/>
              <w:rPr>
                <w:sz w:val="20"/>
              </w:rPr>
            </w:pPr>
            <w:r>
              <w:rPr>
                <w:sz w:val="20"/>
              </w:rPr>
              <w:t>20,5</w:t>
            </w:r>
          </w:p>
        </w:tc>
        <w:tc>
          <w:tcPr>
            <w:tcW w:w="768" w:type="dxa"/>
          </w:tcPr>
          <w:p>
            <w:pPr>
              <w:pStyle w:val="TableParagraph"/>
              <w:spacing w:before="19"/>
              <w:ind w:left="83" w:right="77"/>
              <w:jc w:val="center"/>
              <w:rPr>
                <w:sz w:val="20"/>
              </w:rPr>
            </w:pPr>
            <w:r>
              <w:rPr>
                <w:sz w:val="20"/>
              </w:rPr>
              <w:t>23</w:t>
            </w:r>
          </w:p>
        </w:tc>
        <w:tc>
          <w:tcPr>
            <w:tcW w:w="768" w:type="dxa"/>
          </w:tcPr>
          <w:p>
            <w:pPr>
              <w:pStyle w:val="TableParagraph"/>
              <w:spacing w:before="19"/>
              <w:ind w:left="83" w:right="77"/>
              <w:jc w:val="center"/>
              <w:rPr>
                <w:sz w:val="20"/>
              </w:rPr>
            </w:pPr>
            <w:r>
              <w:rPr>
                <w:sz w:val="20"/>
              </w:rPr>
              <w:t>23,5</w:t>
            </w:r>
          </w:p>
        </w:tc>
        <w:tc>
          <w:tcPr>
            <w:tcW w:w="763" w:type="dxa"/>
          </w:tcPr>
          <w:p>
            <w:pPr>
              <w:pStyle w:val="TableParagraph"/>
              <w:spacing w:before="19"/>
              <w:ind w:right="191"/>
              <w:jc w:val="right"/>
              <w:rPr>
                <w:sz w:val="20"/>
              </w:rPr>
            </w:pPr>
            <w:r>
              <w:rPr>
                <w:sz w:val="20"/>
              </w:rPr>
              <w:t>21,3</w:t>
            </w:r>
          </w:p>
        </w:tc>
        <w:tc>
          <w:tcPr>
            <w:tcW w:w="1166" w:type="dxa"/>
          </w:tcPr>
          <w:p>
            <w:pPr>
              <w:pStyle w:val="TableParagraph"/>
              <w:spacing w:before="19"/>
              <w:ind w:left="342" w:right="324"/>
              <w:jc w:val="center"/>
              <w:rPr>
                <w:sz w:val="20"/>
              </w:rPr>
            </w:pPr>
            <w:r>
              <w:rPr>
                <w:sz w:val="20"/>
              </w:rPr>
              <w:t>138,3</w:t>
            </w:r>
          </w:p>
        </w:tc>
        <w:tc>
          <w:tcPr>
            <w:tcW w:w="1166" w:type="dxa"/>
          </w:tcPr>
          <w:p>
            <w:pPr>
              <w:pStyle w:val="TableParagraph"/>
              <w:spacing w:before="19"/>
              <w:ind w:left="403"/>
              <w:rPr>
                <w:sz w:val="20"/>
              </w:rPr>
            </w:pPr>
            <w:r>
              <w:rPr>
                <w:sz w:val="20"/>
              </w:rPr>
              <w:t>92,6</w:t>
            </w:r>
          </w:p>
        </w:tc>
      </w:tr>
      <w:tr>
        <w:trPr>
          <w:trHeight w:val="282" w:hRule="atLeast"/>
        </w:trPr>
        <w:tc>
          <w:tcPr>
            <w:tcW w:w="1873" w:type="dxa"/>
          </w:tcPr>
          <w:p>
            <w:pPr>
              <w:pStyle w:val="TableParagraph"/>
              <w:spacing w:line="252" w:lineRule="exact" w:before="10"/>
              <w:ind w:left="105"/>
              <w:rPr>
                <w:sz w:val="22"/>
              </w:rPr>
            </w:pPr>
            <w:r>
              <w:rPr>
                <w:sz w:val="22"/>
              </w:rPr>
              <w:t>Картопля</w:t>
            </w:r>
          </w:p>
        </w:tc>
        <w:tc>
          <w:tcPr>
            <w:tcW w:w="769" w:type="dxa"/>
          </w:tcPr>
          <w:p>
            <w:pPr>
              <w:pStyle w:val="TableParagraph"/>
              <w:spacing w:before="24"/>
              <w:ind w:left="153"/>
              <w:rPr>
                <w:sz w:val="20"/>
              </w:rPr>
            </w:pPr>
            <w:r>
              <w:rPr>
                <w:sz w:val="20"/>
              </w:rPr>
              <w:t>172,3</w:t>
            </w:r>
          </w:p>
        </w:tc>
        <w:tc>
          <w:tcPr>
            <w:tcW w:w="764" w:type="dxa"/>
          </w:tcPr>
          <w:p>
            <w:pPr>
              <w:pStyle w:val="TableParagraph"/>
              <w:spacing w:before="24"/>
              <w:ind w:right="143"/>
              <w:jc w:val="right"/>
              <w:rPr>
                <w:sz w:val="20"/>
              </w:rPr>
            </w:pPr>
            <w:r>
              <w:rPr>
                <w:sz w:val="20"/>
              </w:rPr>
              <w:t>194,3</w:t>
            </w:r>
          </w:p>
        </w:tc>
        <w:tc>
          <w:tcPr>
            <w:tcW w:w="768" w:type="dxa"/>
          </w:tcPr>
          <w:p>
            <w:pPr>
              <w:pStyle w:val="TableParagraph"/>
              <w:spacing w:before="24"/>
              <w:ind w:left="156"/>
              <w:rPr>
                <w:sz w:val="20"/>
              </w:rPr>
            </w:pPr>
            <w:r>
              <w:rPr>
                <w:sz w:val="20"/>
              </w:rPr>
              <w:t>223,3</w:t>
            </w:r>
          </w:p>
        </w:tc>
        <w:tc>
          <w:tcPr>
            <w:tcW w:w="764" w:type="dxa"/>
          </w:tcPr>
          <w:p>
            <w:pPr>
              <w:pStyle w:val="TableParagraph"/>
              <w:spacing w:before="24"/>
              <w:ind w:left="84" w:right="78"/>
              <w:jc w:val="center"/>
              <w:rPr>
                <w:sz w:val="20"/>
              </w:rPr>
            </w:pPr>
            <w:r>
              <w:rPr>
                <w:sz w:val="20"/>
              </w:rPr>
              <w:t>256,4</w:t>
            </w:r>
          </w:p>
        </w:tc>
        <w:tc>
          <w:tcPr>
            <w:tcW w:w="768" w:type="dxa"/>
          </w:tcPr>
          <w:p>
            <w:pPr>
              <w:pStyle w:val="TableParagraph"/>
              <w:spacing w:before="24"/>
              <w:ind w:left="86" w:right="76"/>
              <w:jc w:val="center"/>
              <w:rPr>
                <w:sz w:val="20"/>
              </w:rPr>
            </w:pPr>
            <w:r>
              <w:rPr>
                <w:sz w:val="20"/>
              </w:rPr>
              <w:t>198,6</w:t>
            </w:r>
          </w:p>
        </w:tc>
        <w:tc>
          <w:tcPr>
            <w:tcW w:w="768" w:type="dxa"/>
          </w:tcPr>
          <w:p>
            <w:pPr>
              <w:pStyle w:val="TableParagraph"/>
              <w:spacing w:before="24"/>
              <w:ind w:left="79" w:right="77"/>
              <w:jc w:val="center"/>
              <w:rPr>
                <w:sz w:val="20"/>
              </w:rPr>
            </w:pPr>
            <w:r>
              <w:rPr>
                <w:sz w:val="20"/>
              </w:rPr>
              <w:t>212,1</w:t>
            </w:r>
          </w:p>
        </w:tc>
        <w:tc>
          <w:tcPr>
            <w:tcW w:w="763" w:type="dxa"/>
          </w:tcPr>
          <w:p>
            <w:pPr>
              <w:pStyle w:val="TableParagraph"/>
              <w:spacing w:before="24"/>
              <w:ind w:right="143"/>
              <w:jc w:val="right"/>
              <w:rPr>
                <w:sz w:val="20"/>
              </w:rPr>
            </w:pPr>
            <w:r>
              <w:rPr>
                <w:sz w:val="20"/>
              </w:rPr>
              <w:t>238,4</w:t>
            </w:r>
          </w:p>
        </w:tc>
        <w:tc>
          <w:tcPr>
            <w:tcW w:w="1166" w:type="dxa"/>
          </w:tcPr>
          <w:p>
            <w:pPr>
              <w:pStyle w:val="TableParagraph"/>
              <w:spacing w:before="24"/>
              <w:ind w:left="342" w:right="324"/>
              <w:jc w:val="center"/>
              <w:rPr>
                <w:sz w:val="20"/>
              </w:rPr>
            </w:pPr>
            <w:r>
              <w:rPr>
                <w:sz w:val="20"/>
              </w:rPr>
              <w:t>138,4</w:t>
            </w:r>
          </w:p>
        </w:tc>
        <w:tc>
          <w:tcPr>
            <w:tcW w:w="1166" w:type="dxa"/>
          </w:tcPr>
          <w:p>
            <w:pPr>
              <w:pStyle w:val="TableParagraph"/>
              <w:spacing w:before="24"/>
              <w:ind w:left="355"/>
              <w:rPr>
                <w:sz w:val="20"/>
              </w:rPr>
            </w:pPr>
            <w:r>
              <w:rPr>
                <w:sz w:val="20"/>
              </w:rPr>
              <w:t>120,0</w:t>
            </w:r>
          </w:p>
        </w:tc>
      </w:tr>
      <w:tr>
        <w:trPr>
          <w:trHeight w:val="287" w:hRule="atLeast"/>
        </w:trPr>
        <w:tc>
          <w:tcPr>
            <w:tcW w:w="1873" w:type="dxa"/>
          </w:tcPr>
          <w:p>
            <w:pPr>
              <w:pStyle w:val="TableParagraph"/>
              <w:spacing w:before="10"/>
              <w:ind w:left="105"/>
              <w:rPr>
                <w:sz w:val="22"/>
              </w:rPr>
            </w:pPr>
            <w:r>
              <w:rPr>
                <w:sz w:val="22"/>
              </w:rPr>
              <w:t>Культури овочеві</w:t>
            </w:r>
          </w:p>
        </w:tc>
        <w:tc>
          <w:tcPr>
            <w:tcW w:w="769" w:type="dxa"/>
          </w:tcPr>
          <w:p>
            <w:pPr>
              <w:pStyle w:val="TableParagraph"/>
              <w:spacing w:before="24"/>
              <w:ind w:left="153"/>
              <w:rPr>
                <w:sz w:val="20"/>
              </w:rPr>
            </w:pPr>
            <w:r>
              <w:rPr>
                <w:sz w:val="20"/>
              </w:rPr>
              <w:t>205,2</w:t>
            </w:r>
          </w:p>
        </w:tc>
        <w:tc>
          <w:tcPr>
            <w:tcW w:w="764" w:type="dxa"/>
          </w:tcPr>
          <w:p>
            <w:pPr>
              <w:pStyle w:val="TableParagraph"/>
              <w:spacing w:before="24"/>
              <w:ind w:right="143"/>
              <w:jc w:val="right"/>
              <w:rPr>
                <w:sz w:val="20"/>
              </w:rPr>
            </w:pPr>
            <w:r>
              <w:rPr>
                <w:sz w:val="20"/>
              </w:rPr>
              <w:t>314,1</w:t>
            </w:r>
          </w:p>
        </w:tc>
        <w:tc>
          <w:tcPr>
            <w:tcW w:w="768" w:type="dxa"/>
          </w:tcPr>
          <w:p>
            <w:pPr>
              <w:pStyle w:val="TableParagraph"/>
              <w:spacing w:before="24"/>
              <w:ind w:left="233"/>
              <w:rPr>
                <w:sz w:val="20"/>
              </w:rPr>
            </w:pPr>
            <w:r>
              <w:rPr>
                <w:sz w:val="20"/>
              </w:rPr>
              <w:t>311</w:t>
            </w:r>
          </w:p>
        </w:tc>
        <w:tc>
          <w:tcPr>
            <w:tcW w:w="764" w:type="dxa"/>
          </w:tcPr>
          <w:p>
            <w:pPr>
              <w:pStyle w:val="TableParagraph"/>
              <w:spacing w:before="24"/>
              <w:ind w:left="84" w:right="78"/>
              <w:jc w:val="center"/>
              <w:rPr>
                <w:sz w:val="20"/>
              </w:rPr>
            </w:pPr>
            <w:r>
              <w:rPr>
                <w:sz w:val="20"/>
              </w:rPr>
              <w:t>346,4</w:t>
            </w:r>
          </w:p>
        </w:tc>
        <w:tc>
          <w:tcPr>
            <w:tcW w:w="768" w:type="dxa"/>
          </w:tcPr>
          <w:p>
            <w:pPr>
              <w:pStyle w:val="TableParagraph"/>
              <w:spacing w:before="24"/>
              <w:ind w:left="86" w:right="76"/>
              <w:jc w:val="center"/>
              <w:rPr>
                <w:sz w:val="20"/>
              </w:rPr>
            </w:pPr>
            <w:r>
              <w:rPr>
                <w:sz w:val="20"/>
              </w:rPr>
              <w:t>363,4</w:t>
            </w:r>
          </w:p>
        </w:tc>
        <w:tc>
          <w:tcPr>
            <w:tcW w:w="768" w:type="dxa"/>
          </w:tcPr>
          <w:p>
            <w:pPr>
              <w:pStyle w:val="TableParagraph"/>
              <w:spacing w:before="24"/>
              <w:ind w:left="79" w:right="77"/>
              <w:jc w:val="center"/>
              <w:rPr>
                <w:sz w:val="20"/>
              </w:rPr>
            </w:pPr>
            <w:r>
              <w:rPr>
                <w:sz w:val="20"/>
              </w:rPr>
              <w:t>382,7</w:t>
            </w:r>
          </w:p>
        </w:tc>
        <w:tc>
          <w:tcPr>
            <w:tcW w:w="763" w:type="dxa"/>
          </w:tcPr>
          <w:p>
            <w:pPr>
              <w:pStyle w:val="TableParagraph"/>
              <w:spacing w:before="24"/>
              <w:ind w:right="143"/>
              <w:jc w:val="right"/>
              <w:rPr>
                <w:sz w:val="20"/>
              </w:rPr>
            </w:pPr>
            <w:r>
              <w:rPr>
                <w:sz w:val="20"/>
              </w:rPr>
              <w:t>435,3</w:t>
            </w:r>
          </w:p>
        </w:tc>
        <w:tc>
          <w:tcPr>
            <w:tcW w:w="1166" w:type="dxa"/>
          </w:tcPr>
          <w:p>
            <w:pPr>
              <w:pStyle w:val="TableParagraph"/>
              <w:spacing w:before="24"/>
              <w:ind w:left="342" w:right="324"/>
              <w:jc w:val="center"/>
              <w:rPr>
                <w:sz w:val="20"/>
              </w:rPr>
            </w:pPr>
            <w:r>
              <w:rPr>
                <w:sz w:val="20"/>
              </w:rPr>
              <w:t>212,1</w:t>
            </w:r>
          </w:p>
        </w:tc>
        <w:tc>
          <w:tcPr>
            <w:tcW w:w="1166" w:type="dxa"/>
          </w:tcPr>
          <w:p>
            <w:pPr>
              <w:pStyle w:val="TableParagraph"/>
              <w:spacing w:before="24"/>
              <w:ind w:left="355"/>
              <w:rPr>
                <w:sz w:val="20"/>
              </w:rPr>
            </w:pPr>
            <w:r>
              <w:rPr>
                <w:sz w:val="20"/>
              </w:rPr>
              <w:t>119,8</w:t>
            </w:r>
          </w:p>
        </w:tc>
      </w:tr>
      <w:tr>
        <w:trPr>
          <w:trHeight w:val="503" w:hRule="atLeast"/>
        </w:trPr>
        <w:tc>
          <w:tcPr>
            <w:tcW w:w="1873" w:type="dxa"/>
          </w:tcPr>
          <w:p>
            <w:pPr>
              <w:pStyle w:val="TableParagraph"/>
              <w:spacing w:line="245" w:lineRule="exact"/>
              <w:ind w:left="105"/>
              <w:rPr>
                <w:sz w:val="22"/>
              </w:rPr>
            </w:pPr>
            <w:r>
              <w:rPr>
                <w:sz w:val="22"/>
              </w:rPr>
              <w:t>Культури</w:t>
            </w:r>
          </w:p>
          <w:p>
            <w:pPr>
              <w:pStyle w:val="TableParagraph"/>
              <w:spacing w:line="238" w:lineRule="exact" w:before="1"/>
              <w:ind w:left="105"/>
              <w:rPr>
                <w:sz w:val="22"/>
              </w:rPr>
            </w:pPr>
            <w:r>
              <w:rPr>
                <w:sz w:val="22"/>
              </w:rPr>
              <w:t>плодові та ягідні</w:t>
            </w:r>
          </w:p>
        </w:tc>
        <w:tc>
          <w:tcPr>
            <w:tcW w:w="769" w:type="dxa"/>
          </w:tcPr>
          <w:p>
            <w:pPr>
              <w:pStyle w:val="TableParagraph"/>
              <w:spacing w:before="130"/>
              <w:ind w:left="206"/>
              <w:rPr>
                <w:sz w:val="20"/>
              </w:rPr>
            </w:pPr>
            <w:r>
              <w:rPr>
                <w:sz w:val="20"/>
              </w:rPr>
              <w:t>34,8</w:t>
            </w:r>
          </w:p>
        </w:tc>
        <w:tc>
          <w:tcPr>
            <w:tcW w:w="764" w:type="dxa"/>
          </w:tcPr>
          <w:p>
            <w:pPr>
              <w:pStyle w:val="TableParagraph"/>
              <w:spacing w:before="130"/>
              <w:ind w:right="191"/>
              <w:jc w:val="right"/>
              <w:rPr>
                <w:sz w:val="20"/>
              </w:rPr>
            </w:pPr>
            <w:r>
              <w:rPr>
                <w:sz w:val="20"/>
              </w:rPr>
              <w:t>47,3</w:t>
            </w:r>
          </w:p>
        </w:tc>
        <w:tc>
          <w:tcPr>
            <w:tcW w:w="768" w:type="dxa"/>
          </w:tcPr>
          <w:p>
            <w:pPr>
              <w:pStyle w:val="TableParagraph"/>
              <w:spacing w:before="130"/>
              <w:ind w:left="209"/>
              <w:rPr>
                <w:sz w:val="20"/>
              </w:rPr>
            </w:pPr>
            <w:r>
              <w:rPr>
                <w:sz w:val="20"/>
              </w:rPr>
              <w:t>59,9</w:t>
            </w:r>
          </w:p>
        </w:tc>
        <w:tc>
          <w:tcPr>
            <w:tcW w:w="764" w:type="dxa"/>
          </w:tcPr>
          <w:p>
            <w:pPr>
              <w:pStyle w:val="TableParagraph"/>
              <w:spacing w:before="130"/>
              <w:ind w:left="86" w:right="76"/>
              <w:jc w:val="center"/>
              <w:rPr>
                <w:sz w:val="20"/>
              </w:rPr>
            </w:pPr>
            <w:r>
              <w:rPr>
                <w:sz w:val="20"/>
              </w:rPr>
              <w:t>53,7</w:t>
            </w:r>
          </w:p>
        </w:tc>
        <w:tc>
          <w:tcPr>
            <w:tcW w:w="768" w:type="dxa"/>
          </w:tcPr>
          <w:p>
            <w:pPr>
              <w:pStyle w:val="TableParagraph"/>
              <w:spacing w:before="130"/>
              <w:ind w:left="86" w:right="71"/>
              <w:jc w:val="center"/>
              <w:rPr>
                <w:sz w:val="20"/>
              </w:rPr>
            </w:pPr>
            <w:r>
              <w:rPr>
                <w:sz w:val="20"/>
              </w:rPr>
              <w:t>70,8</w:t>
            </w:r>
          </w:p>
        </w:tc>
        <w:tc>
          <w:tcPr>
            <w:tcW w:w="768" w:type="dxa"/>
          </w:tcPr>
          <w:p>
            <w:pPr>
              <w:pStyle w:val="TableParagraph"/>
              <w:spacing w:before="130"/>
              <w:ind w:left="83" w:right="77"/>
              <w:jc w:val="center"/>
              <w:rPr>
                <w:sz w:val="20"/>
              </w:rPr>
            </w:pPr>
            <w:r>
              <w:rPr>
                <w:sz w:val="20"/>
              </w:rPr>
              <w:t>72,5</w:t>
            </w:r>
          </w:p>
        </w:tc>
        <w:tc>
          <w:tcPr>
            <w:tcW w:w="763" w:type="dxa"/>
          </w:tcPr>
          <w:p>
            <w:pPr>
              <w:pStyle w:val="TableParagraph"/>
              <w:spacing w:before="130"/>
              <w:ind w:right="191"/>
              <w:jc w:val="right"/>
              <w:rPr>
                <w:sz w:val="20"/>
              </w:rPr>
            </w:pPr>
            <w:r>
              <w:rPr>
                <w:sz w:val="20"/>
              </w:rPr>
              <w:t>64,9</w:t>
            </w:r>
          </w:p>
        </w:tc>
        <w:tc>
          <w:tcPr>
            <w:tcW w:w="1166" w:type="dxa"/>
          </w:tcPr>
          <w:p>
            <w:pPr>
              <w:pStyle w:val="TableParagraph"/>
              <w:spacing w:before="130"/>
              <w:ind w:left="342" w:right="324"/>
              <w:jc w:val="center"/>
              <w:rPr>
                <w:sz w:val="20"/>
              </w:rPr>
            </w:pPr>
            <w:r>
              <w:rPr>
                <w:sz w:val="20"/>
              </w:rPr>
              <w:t>186,5</w:t>
            </w:r>
          </w:p>
        </w:tc>
        <w:tc>
          <w:tcPr>
            <w:tcW w:w="1166" w:type="dxa"/>
          </w:tcPr>
          <w:p>
            <w:pPr>
              <w:pStyle w:val="TableParagraph"/>
              <w:spacing w:before="130"/>
              <w:ind w:left="403"/>
              <w:rPr>
                <w:sz w:val="20"/>
              </w:rPr>
            </w:pPr>
            <w:r>
              <w:rPr>
                <w:sz w:val="20"/>
              </w:rPr>
              <w:t>91,7</w:t>
            </w:r>
          </w:p>
        </w:tc>
      </w:tr>
      <w:tr>
        <w:trPr>
          <w:trHeight w:val="239" w:hRule="atLeast"/>
        </w:trPr>
        <w:tc>
          <w:tcPr>
            <w:tcW w:w="1873" w:type="dxa"/>
          </w:tcPr>
          <w:p>
            <w:pPr>
              <w:pStyle w:val="TableParagraph"/>
              <w:rPr>
                <w:sz w:val="16"/>
              </w:rPr>
            </w:pPr>
          </w:p>
        </w:tc>
        <w:tc>
          <w:tcPr>
            <w:tcW w:w="5364" w:type="dxa"/>
            <w:gridSpan w:val="7"/>
          </w:tcPr>
          <w:p>
            <w:pPr>
              <w:pStyle w:val="TableParagraph"/>
              <w:spacing w:line="219" w:lineRule="exact"/>
              <w:ind w:left="1334"/>
              <w:rPr>
                <w:sz w:val="20"/>
              </w:rPr>
            </w:pPr>
            <w:r>
              <w:rPr>
                <w:sz w:val="20"/>
              </w:rPr>
              <w:t>у т. ч. фермерські господарства</w:t>
            </w:r>
          </w:p>
        </w:tc>
        <w:tc>
          <w:tcPr>
            <w:tcW w:w="1166" w:type="dxa"/>
          </w:tcPr>
          <w:p>
            <w:pPr>
              <w:pStyle w:val="TableParagraph"/>
              <w:rPr>
                <w:sz w:val="16"/>
              </w:rPr>
            </w:pPr>
          </w:p>
        </w:tc>
        <w:tc>
          <w:tcPr>
            <w:tcW w:w="1166" w:type="dxa"/>
          </w:tcPr>
          <w:p>
            <w:pPr>
              <w:pStyle w:val="TableParagraph"/>
              <w:rPr>
                <w:sz w:val="16"/>
              </w:rPr>
            </w:pPr>
          </w:p>
        </w:tc>
      </w:tr>
      <w:tr>
        <w:trPr>
          <w:trHeight w:val="508" w:hRule="atLeast"/>
        </w:trPr>
        <w:tc>
          <w:tcPr>
            <w:tcW w:w="1873" w:type="dxa"/>
          </w:tcPr>
          <w:p>
            <w:pPr>
              <w:pStyle w:val="TableParagraph"/>
              <w:tabs>
                <w:tab w:pos="1564" w:val="left" w:leader="none"/>
              </w:tabs>
              <w:spacing w:line="249" w:lineRule="exact"/>
              <w:ind w:left="105"/>
              <w:rPr>
                <w:sz w:val="22"/>
              </w:rPr>
            </w:pPr>
            <w:r>
              <w:rPr>
                <w:sz w:val="22"/>
              </w:rPr>
              <w:t>Зернові</w:t>
              <w:tab/>
              <w:t>та</w:t>
            </w:r>
          </w:p>
          <w:p>
            <w:pPr>
              <w:pStyle w:val="TableParagraph"/>
              <w:spacing w:line="238" w:lineRule="exact" w:before="1"/>
              <w:ind w:left="105"/>
              <w:rPr>
                <w:sz w:val="22"/>
              </w:rPr>
            </w:pPr>
            <w:r>
              <w:rPr>
                <w:sz w:val="22"/>
              </w:rPr>
              <w:t>зернобобові</w:t>
            </w:r>
          </w:p>
        </w:tc>
        <w:tc>
          <w:tcPr>
            <w:tcW w:w="769" w:type="dxa"/>
          </w:tcPr>
          <w:p>
            <w:pPr>
              <w:pStyle w:val="TableParagraph"/>
              <w:spacing w:before="134"/>
              <w:ind w:left="206"/>
              <w:rPr>
                <w:sz w:val="20"/>
              </w:rPr>
            </w:pPr>
            <w:r>
              <w:rPr>
                <w:sz w:val="20"/>
              </w:rPr>
              <w:t>22,0</w:t>
            </w:r>
          </w:p>
        </w:tc>
        <w:tc>
          <w:tcPr>
            <w:tcW w:w="764" w:type="dxa"/>
          </w:tcPr>
          <w:p>
            <w:pPr>
              <w:pStyle w:val="TableParagraph"/>
              <w:spacing w:before="134"/>
              <w:ind w:right="191"/>
              <w:jc w:val="right"/>
              <w:rPr>
                <w:sz w:val="20"/>
              </w:rPr>
            </w:pPr>
            <w:r>
              <w:rPr>
                <w:sz w:val="20"/>
              </w:rPr>
              <w:t>24,3</w:t>
            </w:r>
          </w:p>
        </w:tc>
        <w:tc>
          <w:tcPr>
            <w:tcW w:w="768" w:type="dxa"/>
          </w:tcPr>
          <w:p>
            <w:pPr>
              <w:pStyle w:val="TableParagraph"/>
              <w:spacing w:before="134"/>
              <w:ind w:left="209"/>
              <w:rPr>
                <w:sz w:val="20"/>
              </w:rPr>
            </w:pPr>
            <w:r>
              <w:rPr>
                <w:sz w:val="20"/>
              </w:rPr>
              <w:t>32,6</w:t>
            </w:r>
          </w:p>
        </w:tc>
        <w:tc>
          <w:tcPr>
            <w:tcW w:w="764" w:type="dxa"/>
          </w:tcPr>
          <w:p>
            <w:pPr>
              <w:pStyle w:val="TableParagraph"/>
              <w:spacing w:before="134"/>
              <w:ind w:left="86" w:right="76"/>
              <w:jc w:val="center"/>
              <w:rPr>
                <w:sz w:val="20"/>
              </w:rPr>
            </w:pPr>
            <w:r>
              <w:rPr>
                <w:sz w:val="20"/>
              </w:rPr>
              <w:t>35,3</w:t>
            </w:r>
          </w:p>
        </w:tc>
        <w:tc>
          <w:tcPr>
            <w:tcW w:w="768" w:type="dxa"/>
          </w:tcPr>
          <w:p>
            <w:pPr>
              <w:pStyle w:val="TableParagraph"/>
              <w:spacing w:before="134"/>
              <w:ind w:left="86" w:right="71"/>
              <w:jc w:val="center"/>
              <w:rPr>
                <w:sz w:val="20"/>
              </w:rPr>
            </w:pPr>
            <w:r>
              <w:rPr>
                <w:sz w:val="20"/>
              </w:rPr>
              <w:t>33,4</w:t>
            </w:r>
          </w:p>
        </w:tc>
        <w:tc>
          <w:tcPr>
            <w:tcW w:w="768" w:type="dxa"/>
          </w:tcPr>
          <w:p>
            <w:pPr>
              <w:pStyle w:val="TableParagraph"/>
              <w:spacing w:before="134"/>
              <w:ind w:left="83" w:right="77"/>
              <w:jc w:val="center"/>
              <w:rPr>
                <w:sz w:val="20"/>
              </w:rPr>
            </w:pPr>
            <w:r>
              <w:rPr>
                <w:sz w:val="20"/>
              </w:rPr>
              <w:t>39,2</w:t>
            </w:r>
          </w:p>
        </w:tc>
        <w:tc>
          <w:tcPr>
            <w:tcW w:w="763" w:type="dxa"/>
          </w:tcPr>
          <w:p>
            <w:pPr>
              <w:pStyle w:val="TableParagraph"/>
              <w:spacing w:before="134"/>
              <w:ind w:right="191"/>
              <w:jc w:val="right"/>
              <w:rPr>
                <w:sz w:val="20"/>
              </w:rPr>
            </w:pPr>
            <w:r>
              <w:rPr>
                <w:sz w:val="20"/>
              </w:rPr>
              <w:t>37,1</w:t>
            </w:r>
          </w:p>
        </w:tc>
        <w:tc>
          <w:tcPr>
            <w:tcW w:w="1166" w:type="dxa"/>
          </w:tcPr>
          <w:p>
            <w:pPr>
              <w:pStyle w:val="TableParagraph"/>
              <w:spacing w:before="134"/>
              <w:ind w:left="342" w:right="324"/>
              <w:jc w:val="center"/>
              <w:rPr>
                <w:sz w:val="20"/>
              </w:rPr>
            </w:pPr>
            <w:r>
              <w:rPr>
                <w:sz w:val="20"/>
              </w:rPr>
              <w:t>168,6</w:t>
            </w:r>
          </w:p>
        </w:tc>
        <w:tc>
          <w:tcPr>
            <w:tcW w:w="1166" w:type="dxa"/>
          </w:tcPr>
          <w:p>
            <w:pPr>
              <w:pStyle w:val="TableParagraph"/>
              <w:spacing w:before="134"/>
              <w:ind w:left="355"/>
              <w:rPr>
                <w:sz w:val="20"/>
              </w:rPr>
            </w:pPr>
            <w:r>
              <w:rPr>
                <w:sz w:val="20"/>
              </w:rPr>
              <w:t>111,1</w:t>
            </w:r>
          </w:p>
        </w:tc>
      </w:tr>
      <w:tr>
        <w:trPr>
          <w:trHeight w:val="503" w:hRule="atLeast"/>
        </w:trPr>
        <w:tc>
          <w:tcPr>
            <w:tcW w:w="1873" w:type="dxa"/>
          </w:tcPr>
          <w:p>
            <w:pPr>
              <w:pStyle w:val="TableParagraph"/>
              <w:tabs>
                <w:tab w:pos="863" w:val="left" w:leader="none"/>
              </w:tabs>
              <w:spacing w:line="250" w:lineRule="exact" w:before="1"/>
              <w:ind w:left="105" w:right="102"/>
              <w:rPr>
                <w:sz w:val="22"/>
              </w:rPr>
            </w:pPr>
            <w:r>
              <w:rPr>
                <w:sz w:val="22"/>
              </w:rPr>
              <w:t>Буряк</w:t>
              <w:tab/>
            </w:r>
            <w:r>
              <w:rPr>
                <w:spacing w:val="-3"/>
                <w:sz w:val="22"/>
              </w:rPr>
              <w:t>цукровий </w:t>
            </w:r>
            <w:r>
              <w:rPr>
                <w:sz w:val="22"/>
              </w:rPr>
              <w:t>фабричний</w:t>
            </w:r>
          </w:p>
        </w:tc>
        <w:tc>
          <w:tcPr>
            <w:tcW w:w="769" w:type="dxa"/>
          </w:tcPr>
          <w:p>
            <w:pPr>
              <w:pStyle w:val="TableParagraph"/>
              <w:spacing w:before="134"/>
              <w:ind w:left="153"/>
              <w:rPr>
                <w:sz w:val="20"/>
              </w:rPr>
            </w:pPr>
            <w:r>
              <w:rPr>
                <w:sz w:val="20"/>
              </w:rPr>
              <w:t>250,8</w:t>
            </w:r>
          </w:p>
        </w:tc>
        <w:tc>
          <w:tcPr>
            <w:tcW w:w="764" w:type="dxa"/>
          </w:tcPr>
          <w:p>
            <w:pPr>
              <w:pStyle w:val="TableParagraph"/>
              <w:spacing w:before="134"/>
              <w:ind w:right="143"/>
              <w:jc w:val="right"/>
              <w:rPr>
                <w:sz w:val="20"/>
              </w:rPr>
            </w:pPr>
            <w:r>
              <w:rPr>
                <w:sz w:val="20"/>
              </w:rPr>
              <w:t>387,2</w:t>
            </w:r>
          </w:p>
        </w:tc>
        <w:tc>
          <w:tcPr>
            <w:tcW w:w="768" w:type="dxa"/>
          </w:tcPr>
          <w:p>
            <w:pPr>
              <w:pStyle w:val="TableParagraph"/>
              <w:spacing w:before="134"/>
              <w:ind w:left="233"/>
              <w:rPr>
                <w:sz w:val="20"/>
              </w:rPr>
            </w:pPr>
            <w:r>
              <w:rPr>
                <w:sz w:val="20"/>
              </w:rPr>
              <w:t>376</w:t>
            </w:r>
          </w:p>
        </w:tc>
        <w:tc>
          <w:tcPr>
            <w:tcW w:w="764" w:type="dxa"/>
          </w:tcPr>
          <w:p>
            <w:pPr>
              <w:pStyle w:val="TableParagraph"/>
              <w:spacing w:before="134"/>
              <w:ind w:left="84" w:right="78"/>
              <w:jc w:val="center"/>
              <w:rPr>
                <w:sz w:val="20"/>
              </w:rPr>
            </w:pPr>
            <w:r>
              <w:rPr>
                <w:sz w:val="20"/>
              </w:rPr>
              <w:t>507,1</w:t>
            </w:r>
          </w:p>
        </w:tc>
        <w:tc>
          <w:tcPr>
            <w:tcW w:w="768" w:type="dxa"/>
          </w:tcPr>
          <w:p>
            <w:pPr>
              <w:pStyle w:val="TableParagraph"/>
              <w:spacing w:before="134"/>
              <w:ind w:left="86" w:right="76"/>
              <w:jc w:val="center"/>
              <w:rPr>
                <w:sz w:val="20"/>
              </w:rPr>
            </w:pPr>
            <w:r>
              <w:rPr>
                <w:sz w:val="20"/>
              </w:rPr>
              <w:t>422,3</w:t>
            </w:r>
          </w:p>
        </w:tc>
        <w:tc>
          <w:tcPr>
            <w:tcW w:w="768" w:type="dxa"/>
          </w:tcPr>
          <w:p>
            <w:pPr>
              <w:pStyle w:val="TableParagraph"/>
              <w:spacing w:before="134"/>
              <w:ind w:left="79" w:right="77"/>
              <w:jc w:val="center"/>
              <w:rPr>
                <w:sz w:val="20"/>
              </w:rPr>
            </w:pPr>
            <w:r>
              <w:rPr>
                <w:sz w:val="20"/>
              </w:rPr>
              <w:t>486,4</w:t>
            </w:r>
          </w:p>
        </w:tc>
        <w:tc>
          <w:tcPr>
            <w:tcW w:w="763" w:type="dxa"/>
          </w:tcPr>
          <w:p>
            <w:pPr>
              <w:pStyle w:val="TableParagraph"/>
              <w:spacing w:before="134"/>
              <w:ind w:right="143"/>
              <w:jc w:val="right"/>
              <w:rPr>
                <w:sz w:val="20"/>
              </w:rPr>
            </w:pPr>
            <w:r>
              <w:rPr>
                <w:sz w:val="20"/>
              </w:rPr>
              <w:t>499,1</w:t>
            </w:r>
          </w:p>
        </w:tc>
        <w:tc>
          <w:tcPr>
            <w:tcW w:w="1166" w:type="dxa"/>
          </w:tcPr>
          <w:p>
            <w:pPr>
              <w:pStyle w:val="TableParagraph"/>
              <w:spacing w:before="134"/>
              <w:ind w:left="342" w:right="324"/>
              <w:jc w:val="center"/>
              <w:rPr>
                <w:sz w:val="20"/>
              </w:rPr>
            </w:pPr>
            <w:r>
              <w:rPr>
                <w:sz w:val="20"/>
              </w:rPr>
              <w:t>199,0</w:t>
            </w:r>
          </w:p>
        </w:tc>
        <w:tc>
          <w:tcPr>
            <w:tcW w:w="1166" w:type="dxa"/>
          </w:tcPr>
          <w:p>
            <w:pPr>
              <w:pStyle w:val="TableParagraph"/>
              <w:spacing w:before="134"/>
              <w:ind w:left="355"/>
              <w:rPr>
                <w:sz w:val="20"/>
              </w:rPr>
            </w:pPr>
            <w:r>
              <w:rPr>
                <w:sz w:val="20"/>
              </w:rPr>
              <w:t>118,2</w:t>
            </w:r>
          </w:p>
        </w:tc>
      </w:tr>
      <w:tr>
        <w:trPr>
          <w:trHeight w:val="287" w:hRule="atLeast"/>
        </w:trPr>
        <w:tc>
          <w:tcPr>
            <w:tcW w:w="1873" w:type="dxa"/>
          </w:tcPr>
          <w:p>
            <w:pPr>
              <w:pStyle w:val="TableParagraph"/>
              <w:spacing w:before="11"/>
              <w:ind w:left="105"/>
              <w:rPr>
                <w:sz w:val="22"/>
              </w:rPr>
            </w:pPr>
            <w:r>
              <w:rPr>
                <w:sz w:val="22"/>
              </w:rPr>
              <w:t>Соняшник</w:t>
            </w:r>
          </w:p>
        </w:tc>
        <w:tc>
          <w:tcPr>
            <w:tcW w:w="769" w:type="dxa"/>
          </w:tcPr>
          <w:p>
            <w:pPr>
              <w:pStyle w:val="TableParagraph"/>
              <w:spacing w:before="24"/>
              <w:ind w:left="206"/>
              <w:rPr>
                <w:sz w:val="20"/>
              </w:rPr>
            </w:pPr>
            <w:r>
              <w:rPr>
                <w:sz w:val="20"/>
              </w:rPr>
              <w:t>13,4</w:t>
            </w:r>
          </w:p>
        </w:tc>
        <w:tc>
          <w:tcPr>
            <w:tcW w:w="764" w:type="dxa"/>
          </w:tcPr>
          <w:p>
            <w:pPr>
              <w:pStyle w:val="TableParagraph"/>
              <w:spacing w:before="24"/>
              <w:ind w:right="191"/>
              <w:jc w:val="right"/>
              <w:rPr>
                <w:sz w:val="20"/>
              </w:rPr>
            </w:pPr>
            <w:r>
              <w:rPr>
                <w:sz w:val="20"/>
              </w:rPr>
              <w:t>15,5</w:t>
            </w:r>
          </w:p>
        </w:tc>
        <w:tc>
          <w:tcPr>
            <w:tcW w:w="768" w:type="dxa"/>
          </w:tcPr>
          <w:p>
            <w:pPr>
              <w:pStyle w:val="TableParagraph"/>
              <w:spacing w:before="24"/>
              <w:ind w:left="84" w:right="77"/>
              <w:jc w:val="center"/>
              <w:rPr>
                <w:sz w:val="20"/>
              </w:rPr>
            </w:pPr>
            <w:r>
              <w:rPr>
                <w:sz w:val="20"/>
              </w:rPr>
              <w:t>21</w:t>
            </w:r>
          </w:p>
        </w:tc>
        <w:tc>
          <w:tcPr>
            <w:tcW w:w="764" w:type="dxa"/>
          </w:tcPr>
          <w:p>
            <w:pPr>
              <w:pStyle w:val="TableParagraph"/>
              <w:spacing w:before="24"/>
              <w:ind w:left="86" w:right="76"/>
              <w:jc w:val="center"/>
              <w:rPr>
                <w:sz w:val="20"/>
              </w:rPr>
            </w:pPr>
            <w:r>
              <w:rPr>
                <w:sz w:val="20"/>
              </w:rPr>
              <w:t>18,2</w:t>
            </w:r>
          </w:p>
        </w:tc>
        <w:tc>
          <w:tcPr>
            <w:tcW w:w="768" w:type="dxa"/>
          </w:tcPr>
          <w:p>
            <w:pPr>
              <w:pStyle w:val="TableParagraph"/>
              <w:spacing w:before="24"/>
              <w:ind w:left="86" w:right="71"/>
              <w:jc w:val="center"/>
              <w:rPr>
                <w:sz w:val="20"/>
              </w:rPr>
            </w:pPr>
            <w:r>
              <w:rPr>
                <w:sz w:val="20"/>
              </w:rPr>
              <w:t>20,8</w:t>
            </w:r>
          </w:p>
        </w:tc>
        <w:tc>
          <w:tcPr>
            <w:tcW w:w="768" w:type="dxa"/>
          </w:tcPr>
          <w:p>
            <w:pPr>
              <w:pStyle w:val="TableParagraph"/>
              <w:spacing w:before="24"/>
              <w:ind w:left="83" w:right="77"/>
              <w:jc w:val="center"/>
              <w:rPr>
                <w:sz w:val="20"/>
              </w:rPr>
            </w:pPr>
            <w:r>
              <w:rPr>
                <w:sz w:val="20"/>
              </w:rPr>
              <w:t>21,2</w:t>
            </w:r>
          </w:p>
        </w:tc>
        <w:tc>
          <w:tcPr>
            <w:tcW w:w="763" w:type="dxa"/>
          </w:tcPr>
          <w:p>
            <w:pPr>
              <w:pStyle w:val="TableParagraph"/>
              <w:spacing w:before="24"/>
              <w:ind w:right="191"/>
              <w:jc w:val="right"/>
              <w:rPr>
                <w:sz w:val="20"/>
              </w:rPr>
            </w:pPr>
            <w:r>
              <w:rPr>
                <w:sz w:val="20"/>
              </w:rPr>
              <w:t>18,8</w:t>
            </w:r>
          </w:p>
        </w:tc>
        <w:tc>
          <w:tcPr>
            <w:tcW w:w="1166" w:type="dxa"/>
          </w:tcPr>
          <w:p>
            <w:pPr>
              <w:pStyle w:val="TableParagraph"/>
              <w:spacing w:before="24"/>
              <w:ind w:left="342" w:right="324"/>
              <w:jc w:val="center"/>
              <w:rPr>
                <w:sz w:val="20"/>
              </w:rPr>
            </w:pPr>
            <w:r>
              <w:rPr>
                <w:sz w:val="20"/>
              </w:rPr>
              <w:t>140,3</w:t>
            </w:r>
          </w:p>
        </w:tc>
        <w:tc>
          <w:tcPr>
            <w:tcW w:w="1166" w:type="dxa"/>
          </w:tcPr>
          <w:p>
            <w:pPr>
              <w:pStyle w:val="TableParagraph"/>
              <w:spacing w:before="24"/>
              <w:ind w:left="403"/>
              <w:rPr>
                <w:sz w:val="20"/>
              </w:rPr>
            </w:pPr>
            <w:r>
              <w:rPr>
                <w:sz w:val="20"/>
              </w:rPr>
              <w:t>90,4</w:t>
            </w:r>
          </w:p>
        </w:tc>
      </w:tr>
      <w:tr>
        <w:trPr>
          <w:trHeight w:val="282" w:hRule="atLeast"/>
        </w:trPr>
        <w:tc>
          <w:tcPr>
            <w:tcW w:w="1873" w:type="dxa"/>
          </w:tcPr>
          <w:p>
            <w:pPr>
              <w:pStyle w:val="TableParagraph"/>
              <w:spacing w:line="252" w:lineRule="exact" w:before="10"/>
              <w:ind w:left="105"/>
              <w:rPr>
                <w:sz w:val="22"/>
              </w:rPr>
            </w:pPr>
            <w:r>
              <w:rPr>
                <w:sz w:val="22"/>
              </w:rPr>
              <w:t>Картопля</w:t>
            </w:r>
          </w:p>
        </w:tc>
        <w:tc>
          <w:tcPr>
            <w:tcW w:w="769" w:type="dxa"/>
          </w:tcPr>
          <w:p>
            <w:pPr>
              <w:pStyle w:val="TableParagraph"/>
              <w:spacing w:before="19"/>
              <w:ind w:left="153"/>
              <w:rPr>
                <w:sz w:val="20"/>
              </w:rPr>
            </w:pPr>
            <w:r>
              <w:rPr>
                <w:sz w:val="20"/>
              </w:rPr>
              <w:t>162,1</w:t>
            </w:r>
          </w:p>
        </w:tc>
        <w:tc>
          <w:tcPr>
            <w:tcW w:w="764" w:type="dxa"/>
          </w:tcPr>
          <w:p>
            <w:pPr>
              <w:pStyle w:val="TableParagraph"/>
              <w:spacing w:before="19"/>
              <w:ind w:right="143"/>
              <w:jc w:val="right"/>
              <w:rPr>
                <w:sz w:val="20"/>
              </w:rPr>
            </w:pPr>
            <w:r>
              <w:rPr>
                <w:sz w:val="20"/>
              </w:rPr>
              <w:t>172,8</w:t>
            </w:r>
          </w:p>
        </w:tc>
        <w:tc>
          <w:tcPr>
            <w:tcW w:w="768" w:type="dxa"/>
          </w:tcPr>
          <w:p>
            <w:pPr>
              <w:pStyle w:val="TableParagraph"/>
              <w:spacing w:before="19"/>
              <w:ind w:left="156"/>
              <w:rPr>
                <w:sz w:val="20"/>
              </w:rPr>
            </w:pPr>
            <w:r>
              <w:rPr>
                <w:sz w:val="20"/>
              </w:rPr>
              <w:t>229,1</w:t>
            </w:r>
          </w:p>
        </w:tc>
        <w:tc>
          <w:tcPr>
            <w:tcW w:w="764" w:type="dxa"/>
          </w:tcPr>
          <w:p>
            <w:pPr>
              <w:pStyle w:val="TableParagraph"/>
              <w:spacing w:before="19"/>
              <w:ind w:left="84" w:right="78"/>
              <w:jc w:val="center"/>
              <w:rPr>
                <w:sz w:val="20"/>
              </w:rPr>
            </w:pPr>
            <w:r>
              <w:rPr>
                <w:sz w:val="20"/>
              </w:rPr>
              <w:t>227</w:t>
            </w:r>
          </w:p>
        </w:tc>
        <w:tc>
          <w:tcPr>
            <w:tcW w:w="768" w:type="dxa"/>
          </w:tcPr>
          <w:p>
            <w:pPr>
              <w:pStyle w:val="TableParagraph"/>
              <w:spacing w:before="19"/>
              <w:ind w:left="86" w:right="76"/>
              <w:jc w:val="center"/>
              <w:rPr>
                <w:sz w:val="20"/>
              </w:rPr>
            </w:pPr>
            <w:r>
              <w:rPr>
                <w:sz w:val="20"/>
              </w:rPr>
              <w:t>163,2</w:t>
            </w:r>
          </w:p>
        </w:tc>
        <w:tc>
          <w:tcPr>
            <w:tcW w:w="768" w:type="dxa"/>
          </w:tcPr>
          <w:p>
            <w:pPr>
              <w:pStyle w:val="TableParagraph"/>
              <w:spacing w:before="19"/>
              <w:ind w:left="79" w:right="77"/>
              <w:jc w:val="center"/>
              <w:rPr>
                <w:sz w:val="20"/>
              </w:rPr>
            </w:pPr>
            <w:r>
              <w:rPr>
                <w:sz w:val="20"/>
              </w:rPr>
              <w:t>182,6</w:t>
            </w:r>
          </w:p>
        </w:tc>
        <w:tc>
          <w:tcPr>
            <w:tcW w:w="763" w:type="dxa"/>
          </w:tcPr>
          <w:p>
            <w:pPr>
              <w:pStyle w:val="TableParagraph"/>
              <w:spacing w:before="19"/>
              <w:ind w:right="143"/>
              <w:jc w:val="right"/>
              <w:rPr>
                <w:sz w:val="20"/>
              </w:rPr>
            </w:pPr>
            <w:r>
              <w:rPr>
                <w:sz w:val="20"/>
              </w:rPr>
              <w:t>189,2</w:t>
            </w:r>
          </w:p>
        </w:tc>
        <w:tc>
          <w:tcPr>
            <w:tcW w:w="1166" w:type="dxa"/>
          </w:tcPr>
          <w:p>
            <w:pPr>
              <w:pStyle w:val="TableParagraph"/>
              <w:spacing w:before="19"/>
              <w:ind w:left="342" w:right="324"/>
              <w:jc w:val="center"/>
              <w:rPr>
                <w:sz w:val="20"/>
              </w:rPr>
            </w:pPr>
            <w:r>
              <w:rPr>
                <w:sz w:val="20"/>
              </w:rPr>
              <w:t>116,7</w:t>
            </w:r>
          </w:p>
        </w:tc>
        <w:tc>
          <w:tcPr>
            <w:tcW w:w="1166" w:type="dxa"/>
          </w:tcPr>
          <w:p>
            <w:pPr>
              <w:pStyle w:val="TableParagraph"/>
              <w:spacing w:before="19"/>
              <w:ind w:left="355"/>
              <w:rPr>
                <w:sz w:val="20"/>
              </w:rPr>
            </w:pPr>
            <w:r>
              <w:rPr>
                <w:sz w:val="20"/>
              </w:rPr>
              <w:t>115,9</w:t>
            </w:r>
          </w:p>
        </w:tc>
      </w:tr>
      <w:tr>
        <w:trPr>
          <w:trHeight w:val="282" w:hRule="atLeast"/>
        </w:trPr>
        <w:tc>
          <w:tcPr>
            <w:tcW w:w="1873" w:type="dxa"/>
          </w:tcPr>
          <w:p>
            <w:pPr>
              <w:pStyle w:val="TableParagraph"/>
              <w:spacing w:line="252" w:lineRule="exact" w:before="10"/>
              <w:ind w:left="105"/>
              <w:rPr>
                <w:sz w:val="22"/>
              </w:rPr>
            </w:pPr>
            <w:r>
              <w:rPr>
                <w:sz w:val="22"/>
              </w:rPr>
              <w:t>Культури овочеві</w:t>
            </w:r>
          </w:p>
        </w:tc>
        <w:tc>
          <w:tcPr>
            <w:tcW w:w="769" w:type="dxa"/>
          </w:tcPr>
          <w:p>
            <w:pPr>
              <w:pStyle w:val="TableParagraph"/>
              <w:spacing w:before="19"/>
              <w:ind w:left="153"/>
              <w:rPr>
                <w:sz w:val="20"/>
              </w:rPr>
            </w:pPr>
            <w:r>
              <w:rPr>
                <w:sz w:val="20"/>
              </w:rPr>
              <w:t>161,2</w:t>
            </w:r>
          </w:p>
        </w:tc>
        <w:tc>
          <w:tcPr>
            <w:tcW w:w="764" w:type="dxa"/>
          </w:tcPr>
          <w:p>
            <w:pPr>
              <w:pStyle w:val="TableParagraph"/>
              <w:spacing w:before="19"/>
              <w:ind w:right="143"/>
              <w:jc w:val="right"/>
              <w:rPr>
                <w:sz w:val="20"/>
              </w:rPr>
            </w:pPr>
            <w:r>
              <w:rPr>
                <w:sz w:val="20"/>
              </w:rPr>
              <w:t>267,2</w:t>
            </w:r>
          </w:p>
        </w:tc>
        <w:tc>
          <w:tcPr>
            <w:tcW w:w="768" w:type="dxa"/>
          </w:tcPr>
          <w:p>
            <w:pPr>
              <w:pStyle w:val="TableParagraph"/>
              <w:spacing w:before="19"/>
              <w:ind w:left="156"/>
              <w:rPr>
                <w:sz w:val="20"/>
              </w:rPr>
            </w:pPr>
            <w:r>
              <w:rPr>
                <w:sz w:val="20"/>
              </w:rPr>
              <w:t>291,9</w:t>
            </w:r>
          </w:p>
        </w:tc>
        <w:tc>
          <w:tcPr>
            <w:tcW w:w="764" w:type="dxa"/>
          </w:tcPr>
          <w:p>
            <w:pPr>
              <w:pStyle w:val="TableParagraph"/>
              <w:spacing w:before="19"/>
              <w:ind w:left="84" w:right="78"/>
              <w:jc w:val="center"/>
              <w:rPr>
                <w:sz w:val="20"/>
              </w:rPr>
            </w:pPr>
            <w:r>
              <w:rPr>
                <w:sz w:val="20"/>
              </w:rPr>
              <w:t>297</w:t>
            </w:r>
          </w:p>
        </w:tc>
        <w:tc>
          <w:tcPr>
            <w:tcW w:w="768" w:type="dxa"/>
          </w:tcPr>
          <w:p>
            <w:pPr>
              <w:pStyle w:val="TableParagraph"/>
              <w:spacing w:before="19"/>
              <w:ind w:left="86" w:right="76"/>
              <w:jc w:val="center"/>
              <w:rPr>
                <w:sz w:val="20"/>
              </w:rPr>
            </w:pPr>
            <w:r>
              <w:rPr>
                <w:sz w:val="20"/>
              </w:rPr>
              <w:t>316,3</w:t>
            </w:r>
          </w:p>
        </w:tc>
        <w:tc>
          <w:tcPr>
            <w:tcW w:w="768" w:type="dxa"/>
          </w:tcPr>
          <w:p>
            <w:pPr>
              <w:pStyle w:val="TableParagraph"/>
              <w:spacing w:before="19"/>
              <w:ind w:left="79" w:right="77"/>
              <w:jc w:val="center"/>
              <w:rPr>
                <w:sz w:val="20"/>
              </w:rPr>
            </w:pPr>
            <w:r>
              <w:rPr>
                <w:sz w:val="20"/>
              </w:rPr>
              <w:t>307,9</w:t>
            </w:r>
          </w:p>
        </w:tc>
        <w:tc>
          <w:tcPr>
            <w:tcW w:w="763" w:type="dxa"/>
          </w:tcPr>
          <w:p>
            <w:pPr>
              <w:pStyle w:val="TableParagraph"/>
              <w:spacing w:before="19"/>
              <w:ind w:right="143"/>
              <w:jc w:val="right"/>
              <w:rPr>
                <w:sz w:val="20"/>
              </w:rPr>
            </w:pPr>
            <w:r>
              <w:rPr>
                <w:sz w:val="20"/>
              </w:rPr>
              <w:t>348,4</w:t>
            </w:r>
          </w:p>
        </w:tc>
        <w:tc>
          <w:tcPr>
            <w:tcW w:w="1166" w:type="dxa"/>
          </w:tcPr>
          <w:p>
            <w:pPr>
              <w:pStyle w:val="TableParagraph"/>
              <w:spacing w:before="19"/>
              <w:ind w:left="342" w:right="324"/>
              <w:jc w:val="center"/>
              <w:rPr>
                <w:sz w:val="20"/>
              </w:rPr>
            </w:pPr>
            <w:r>
              <w:rPr>
                <w:sz w:val="20"/>
              </w:rPr>
              <w:t>216,1</w:t>
            </w:r>
          </w:p>
        </w:tc>
        <w:tc>
          <w:tcPr>
            <w:tcW w:w="1166" w:type="dxa"/>
          </w:tcPr>
          <w:p>
            <w:pPr>
              <w:pStyle w:val="TableParagraph"/>
              <w:spacing w:before="19"/>
              <w:ind w:left="355"/>
              <w:rPr>
                <w:sz w:val="20"/>
              </w:rPr>
            </w:pPr>
            <w:r>
              <w:rPr>
                <w:sz w:val="20"/>
              </w:rPr>
              <w:t>110,1</w:t>
            </w:r>
          </w:p>
        </w:tc>
      </w:tr>
      <w:tr>
        <w:trPr>
          <w:trHeight w:val="508" w:hRule="atLeast"/>
        </w:trPr>
        <w:tc>
          <w:tcPr>
            <w:tcW w:w="1873" w:type="dxa"/>
          </w:tcPr>
          <w:p>
            <w:pPr>
              <w:pStyle w:val="TableParagraph"/>
              <w:spacing w:line="249" w:lineRule="exact"/>
              <w:ind w:left="105"/>
              <w:rPr>
                <w:sz w:val="22"/>
              </w:rPr>
            </w:pPr>
            <w:r>
              <w:rPr>
                <w:sz w:val="22"/>
              </w:rPr>
              <w:t>Культури</w:t>
            </w:r>
          </w:p>
          <w:p>
            <w:pPr>
              <w:pStyle w:val="TableParagraph"/>
              <w:spacing w:line="238" w:lineRule="exact" w:before="1"/>
              <w:ind w:left="105"/>
              <w:rPr>
                <w:sz w:val="22"/>
              </w:rPr>
            </w:pPr>
            <w:r>
              <w:rPr>
                <w:sz w:val="22"/>
              </w:rPr>
              <w:t>плодові та ягідні</w:t>
            </w:r>
          </w:p>
        </w:tc>
        <w:tc>
          <w:tcPr>
            <w:tcW w:w="769" w:type="dxa"/>
          </w:tcPr>
          <w:p>
            <w:pPr>
              <w:pStyle w:val="TableParagraph"/>
              <w:spacing w:before="134"/>
              <w:ind w:left="206"/>
              <w:rPr>
                <w:sz w:val="20"/>
              </w:rPr>
            </w:pPr>
            <w:r>
              <w:rPr>
                <w:sz w:val="20"/>
              </w:rPr>
              <w:t>51,6</w:t>
            </w:r>
          </w:p>
        </w:tc>
        <w:tc>
          <w:tcPr>
            <w:tcW w:w="764" w:type="dxa"/>
          </w:tcPr>
          <w:p>
            <w:pPr>
              <w:pStyle w:val="TableParagraph"/>
              <w:spacing w:before="134"/>
              <w:ind w:right="191"/>
              <w:jc w:val="right"/>
              <w:rPr>
                <w:sz w:val="20"/>
              </w:rPr>
            </w:pPr>
            <w:r>
              <w:rPr>
                <w:sz w:val="20"/>
              </w:rPr>
              <w:t>51,1</w:t>
            </w:r>
          </w:p>
        </w:tc>
        <w:tc>
          <w:tcPr>
            <w:tcW w:w="768" w:type="dxa"/>
          </w:tcPr>
          <w:p>
            <w:pPr>
              <w:pStyle w:val="TableParagraph"/>
              <w:spacing w:before="134"/>
              <w:ind w:left="209"/>
              <w:rPr>
                <w:sz w:val="20"/>
              </w:rPr>
            </w:pPr>
            <w:r>
              <w:rPr>
                <w:sz w:val="20"/>
              </w:rPr>
              <w:t>58,8</w:t>
            </w:r>
          </w:p>
        </w:tc>
        <w:tc>
          <w:tcPr>
            <w:tcW w:w="764" w:type="dxa"/>
          </w:tcPr>
          <w:p>
            <w:pPr>
              <w:pStyle w:val="TableParagraph"/>
              <w:spacing w:before="134"/>
              <w:ind w:left="86" w:right="76"/>
              <w:jc w:val="center"/>
              <w:rPr>
                <w:sz w:val="20"/>
              </w:rPr>
            </w:pPr>
            <w:r>
              <w:rPr>
                <w:sz w:val="20"/>
              </w:rPr>
              <w:t>68,2</w:t>
            </w:r>
          </w:p>
        </w:tc>
        <w:tc>
          <w:tcPr>
            <w:tcW w:w="768" w:type="dxa"/>
          </w:tcPr>
          <w:p>
            <w:pPr>
              <w:pStyle w:val="TableParagraph"/>
              <w:spacing w:before="134"/>
              <w:ind w:left="86" w:right="71"/>
              <w:jc w:val="center"/>
              <w:rPr>
                <w:sz w:val="20"/>
              </w:rPr>
            </w:pPr>
            <w:r>
              <w:rPr>
                <w:sz w:val="20"/>
              </w:rPr>
              <w:t>69,8</w:t>
            </w:r>
          </w:p>
        </w:tc>
        <w:tc>
          <w:tcPr>
            <w:tcW w:w="768" w:type="dxa"/>
          </w:tcPr>
          <w:p>
            <w:pPr>
              <w:pStyle w:val="TableParagraph"/>
              <w:spacing w:before="134"/>
              <w:ind w:left="83" w:right="77"/>
              <w:jc w:val="center"/>
              <w:rPr>
                <w:sz w:val="20"/>
              </w:rPr>
            </w:pPr>
            <w:r>
              <w:rPr>
                <w:sz w:val="20"/>
              </w:rPr>
              <w:t>91,3</w:t>
            </w:r>
          </w:p>
        </w:tc>
        <w:tc>
          <w:tcPr>
            <w:tcW w:w="763" w:type="dxa"/>
          </w:tcPr>
          <w:p>
            <w:pPr>
              <w:pStyle w:val="TableParagraph"/>
              <w:spacing w:before="134"/>
              <w:ind w:right="191"/>
              <w:jc w:val="right"/>
              <w:rPr>
                <w:sz w:val="20"/>
              </w:rPr>
            </w:pPr>
            <w:r>
              <w:rPr>
                <w:sz w:val="20"/>
              </w:rPr>
              <w:t>69,4</w:t>
            </w:r>
          </w:p>
        </w:tc>
        <w:tc>
          <w:tcPr>
            <w:tcW w:w="1166" w:type="dxa"/>
          </w:tcPr>
          <w:p>
            <w:pPr>
              <w:pStyle w:val="TableParagraph"/>
              <w:spacing w:before="134"/>
              <w:ind w:left="342" w:right="324"/>
              <w:jc w:val="center"/>
              <w:rPr>
                <w:sz w:val="20"/>
              </w:rPr>
            </w:pPr>
            <w:r>
              <w:rPr>
                <w:sz w:val="20"/>
              </w:rPr>
              <w:t>134,5</w:t>
            </w:r>
          </w:p>
        </w:tc>
        <w:tc>
          <w:tcPr>
            <w:tcW w:w="1166" w:type="dxa"/>
          </w:tcPr>
          <w:p>
            <w:pPr>
              <w:pStyle w:val="TableParagraph"/>
              <w:spacing w:before="134"/>
              <w:ind w:left="403"/>
              <w:rPr>
                <w:sz w:val="20"/>
              </w:rPr>
            </w:pPr>
            <w:r>
              <w:rPr>
                <w:sz w:val="20"/>
              </w:rPr>
              <w:t>99,4</w:t>
            </w:r>
          </w:p>
        </w:tc>
      </w:tr>
    </w:tbl>
    <w:p>
      <w:pPr>
        <w:spacing w:line="237" w:lineRule="auto" w:before="0"/>
        <w:ind w:left="193" w:right="611" w:firstLine="0"/>
        <w:jc w:val="both"/>
        <w:rPr>
          <w:i/>
          <w:sz w:val="24"/>
        </w:rPr>
      </w:pPr>
      <w:r>
        <w:rPr>
          <w:i/>
          <w:sz w:val="24"/>
        </w:rPr>
        <w:t>Джерело: Розраховано автором з використанням даних Державної служби статистики </w:t>
      </w:r>
      <w:r>
        <w:rPr>
          <w:i/>
          <w:sz w:val="24"/>
        </w:rPr>
        <w:t>України.</w:t>
      </w:r>
    </w:p>
    <w:p>
      <w:pPr>
        <w:pStyle w:val="BodyText"/>
        <w:spacing w:before="4"/>
        <w:ind w:left="0"/>
        <w:jc w:val="left"/>
        <w:rPr>
          <w:i/>
        </w:rPr>
      </w:pPr>
    </w:p>
    <w:p>
      <w:pPr>
        <w:pStyle w:val="BodyText"/>
        <w:ind w:right="616" w:firstLine="710"/>
      </w:pPr>
      <w:r>
        <w:rPr/>
        <w:t>Аналіз динаміки урожайності сільськогосподарських культур виявив її зростання за більшістю культур. Виключенням є зниження рівня урожайності соняшнику та плодів і ягід за останні 3 роки. При чому в фермерських господарствах, за більшістю культур урожайність є нижчою ніж в цілому у сільськогосподарських підприємствах.</w:t>
      </w:r>
    </w:p>
    <w:p>
      <w:pPr>
        <w:pStyle w:val="BodyText"/>
        <w:ind w:right="616" w:firstLine="710"/>
      </w:pPr>
      <w:r>
        <w:rPr/>
        <w:t>Завдання</w:t>
      </w:r>
      <w:r>
        <w:rPr>
          <w:spacing w:val="-10"/>
        </w:rPr>
        <w:t> </w:t>
      </w:r>
      <w:r>
        <w:rPr/>
        <w:t>підвищення</w:t>
      </w:r>
      <w:r>
        <w:rPr>
          <w:spacing w:val="-5"/>
        </w:rPr>
        <w:t> </w:t>
      </w:r>
      <w:r>
        <w:rPr/>
        <w:t>урожайності</w:t>
      </w:r>
      <w:r>
        <w:rPr>
          <w:spacing w:val="-15"/>
        </w:rPr>
        <w:t> </w:t>
      </w:r>
      <w:r>
        <w:rPr/>
        <w:t>можна</w:t>
      </w:r>
      <w:r>
        <w:rPr>
          <w:spacing w:val="-9"/>
        </w:rPr>
        <w:t> </w:t>
      </w:r>
      <w:r>
        <w:rPr/>
        <w:t>вирішити</w:t>
      </w:r>
      <w:r>
        <w:rPr>
          <w:spacing w:val="-9"/>
        </w:rPr>
        <w:t> </w:t>
      </w:r>
      <w:r>
        <w:rPr/>
        <w:t>шляхом</w:t>
      </w:r>
      <w:r>
        <w:rPr>
          <w:spacing w:val="-9"/>
        </w:rPr>
        <w:t> </w:t>
      </w:r>
      <w:r>
        <w:rPr/>
        <w:t>використання інноваційних</w:t>
      </w:r>
      <w:r>
        <w:rPr>
          <w:spacing w:val="-19"/>
        </w:rPr>
        <w:t> </w:t>
      </w:r>
      <w:r>
        <w:rPr/>
        <w:t>технологій</w:t>
      </w:r>
      <w:r>
        <w:rPr>
          <w:spacing w:val="-15"/>
        </w:rPr>
        <w:t> </w:t>
      </w:r>
      <w:r>
        <w:rPr/>
        <w:t>з</w:t>
      </w:r>
      <w:r>
        <w:rPr>
          <w:spacing w:val="-14"/>
        </w:rPr>
        <w:t> </w:t>
      </w:r>
      <w:r>
        <w:rPr/>
        <w:t>використанням</w:t>
      </w:r>
      <w:r>
        <w:rPr>
          <w:spacing w:val="-13"/>
        </w:rPr>
        <w:t> </w:t>
      </w:r>
      <w:r>
        <w:rPr/>
        <w:t>наукових</w:t>
      </w:r>
      <w:r>
        <w:rPr>
          <w:spacing w:val="-19"/>
        </w:rPr>
        <w:t> </w:t>
      </w:r>
      <w:r>
        <w:rPr/>
        <w:t>досягнень,</w:t>
      </w:r>
      <w:r>
        <w:rPr>
          <w:spacing w:val="-12"/>
        </w:rPr>
        <w:t> </w:t>
      </w:r>
      <w:r>
        <w:rPr/>
        <w:t>вивчення</w:t>
      </w:r>
      <w:r>
        <w:rPr>
          <w:spacing w:val="-13"/>
        </w:rPr>
        <w:t> </w:t>
      </w:r>
      <w:r>
        <w:rPr/>
        <w:t>досвіду передових підприємств і забезпеченням високої якості праці. Але, необхідно також враховувати, що впровадження у виробництво культур і сортів інтенсивного типу може мати негативні наслідки. Розвиток</w:t>
      </w:r>
      <w:r>
        <w:rPr>
          <w:spacing w:val="-8"/>
        </w:rPr>
        <w:t> </w:t>
      </w:r>
      <w:r>
        <w:rPr/>
        <w:t>інтенсифікації</w:t>
      </w:r>
    </w:p>
    <w:p>
      <w:pPr>
        <w:spacing w:after="0"/>
        <w:sectPr>
          <w:pgSz w:w="11910" w:h="16840"/>
          <w:pgMar w:header="713" w:footer="778" w:top="1140" w:bottom="960" w:left="940" w:right="520"/>
        </w:sectPr>
      </w:pPr>
    </w:p>
    <w:p>
      <w:pPr>
        <w:pStyle w:val="BodyText"/>
        <w:spacing w:before="92"/>
        <w:ind w:right="617"/>
      </w:pPr>
      <w:r>
        <w:rPr/>
        <w:t>землеробства без дотримання відповідних умов призводить до виснаження ґрунту.</w:t>
      </w:r>
    </w:p>
    <w:p>
      <w:pPr>
        <w:pStyle w:val="BodyText"/>
        <w:ind w:right="619" w:firstLine="710"/>
      </w:pPr>
      <w:r>
        <w:rPr/>
        <w:t>Показники рентабельності у сільському господарстві розраховуються з метою вивчення економічних результатів роботи сільськогосподарських підприємств, прибутковості підприємств сільськогосподарської діяльності, виробництва окремих видів продукції.</w:t>
      </w:r>
    </w:p>
    <w:p>
      <w:pPr>
        <w:pStyle w:val="BodyText"/>
        <w:spacing w:before="3"/>
        <w:ind w:right="615" w:firstLine="710"/>
      </w:pPr>
      <w:r>
        <w:rPr/>
        <w:t>Рентабельне виробництво дозволяє не лише відшкодовувати операційні витрати, але й отримувати прибуток, що сприяє розвитку як окремого підприємства, так і економіки в цілому та підвищенню добробуту сільських товаровиробників. Дослідження рівня рентабельності виробництва дозволяє виявити неефективні види продукції у структурі сільськогосподарського виробництва. Це дозволяє удосконалити його спеціалізацію, розробити заходи з підвищення рівня рентабельності продукції, що має для підприємства особливе значення або є важливою для суспільства.</w:t>
      </w:r>
    </w:p>
    <w:p>
      <w:pPr>
        <w:pStyle w:val="BodyText"/>
        <w:ind w:right="607" w:firstLine="710"/>
      </w:pPr>
      <w:r>
        <w:rPr/>
        <w:t>За останні 7 років спостерігається значне коливання рівня рентабельності сільськогосподарської продукції за її видами (табл. 3), що вказує на її значну залежність від природно-кліматичних умов відповідного року. В рослинництві виявлено</w:t>
      </w:r>
      <w:r>
        <w:rPr>
          <w:spacing w:val="-12"/>
        </w:rPr>
        <w:t> </w:t>
      </w:r>
      <w:r>
        <w:rPr/>
        <w:t>зниження</w:t>
      </w:r>
      <w:r>
        <w:rPr>
          <w:spacing w:val="-11"/>
        </w:rPr>
        <w:t> </w:t>
      </w:r>
      <w:r>
        <w:rPr/>
        <w:t>рівня</w:t>
      </w:r>
      <w:r>
        <w:rPr>
          <w:spacing w:val="-11"/>
        </w:rPr>
        <w:t> </w:t>
      </w:r>
      <w:r>
        <w:rPr/>
        <w:t>рентабельності</w:t>
      </w:r>
      <w:r>
        <w:rPr>
          <w:spacing w:val="-13"/>
        </w:rPr>
        <w:t> </w:t>
      </w:r>
      <w:r>
        <w:rPr/>
        <w:t>соняшнику</w:t>
      </w:r>
      <w:r>
        <w:rPr>
          <w:spacing w:val="-12"/>
        </w:rPr>
        <w:t> </w:t>
      </w:r>
      <w:r>
        <w:rPr/>
        <w:t>і</w:t>
      </w:r>
      <w:r>
        <w:rPr>
          <w:spacing w:val="-16"/>
        </w:rPr>
        <w:t> </w:t>
      </w:r>
      <w:r>
        <w:rPr/>
        <w:t>винограду</w:t>
      </w:r>
      <w:r>
        <w:rPr>
          <w:spacing w:val="-17"/>
        </w:rPr>
        <w:t> </w:t>
      </w:r>
      <w:r>
        <w:rPr/>
        <w:t>за</w:t>
      </w:r>
      <w:r>
        <w:rPr>
          <w:spacing w:val="-10"/>
        </w:rPr>
        <w:t> </w:t>
      </w:r>
      <w:r>
        <w:rPr/>
        <w:t>період</w:t>
      </w:r>
      <w:r>
        <w:rPr>
          <w:spacing w:val="-10"/>
        </w:rPr>
        <w:t> </w:t>
      </w:r>
      <w:r>
        <w:rPr/>
        <w:t>з</w:t>
      </w:r>
      <w:r>
        <w:rPr>
          <w:spacing w:val="-12"/>
        </w:rPr>
        <w:t> </w:t>
      </w:r>
      <w:r>
        <w:rPr/>
        <w:t>2012 року до 2017</w:t>
      </w:r>
      <w:r>
        <w:rPr>
          <w:spacing w:val="-2"/>
        </w:rPr>
        <w:t> </w:t>
      </w:r>
      <w:r>
        <w:rPr/>
        <w:t>року.</w:t>
      </w:r>
    </w:p>
    <w:p>
      <w:pPr>
        <w:pStyle w:val="BodyText"/>
        <w:spacing w:before="1"/>
        <w:ind w:right="609" w:firstLine="710"/>
      </w:pPr>
      <w:r>
        <w:rPr/>
        <w:t>В тваринництві майже всі види продукції є збитковими, крім молока, що вимагає розробки дієвих заходів, в тому числі і збоку державних органів, з підтримки</w:t>
      </w:r>
      <w:r>
        <w:rPr>
          <w:spacing w:val="-19"/>
        </w:rPr>
        <w:t> </w:t>
      </w:r>
      <w:r>
        <w:rPr/>
        <w:t>цієї</w:t>
      </w:r>
      <w:r>
        <w:rPr>
          <w:spacing w:val="-28"/>
        </w:rPr>
        <w:t> </w:t>
      </w:r>
      <w:r>
        <w:rPr/>
        <w:t>галузі.</w:t>
      </w:r>
      <w:r>
        <w:rPr>
          <w:spacing w:val="-21"/>
        </w:rPr>
        <w:t> </w:t>
      </w:r>
      <w:r>
        <w:rPr/>
        <w:t>Розвиток</w:t>
      </w:r>
      <w:r>
        <w:rPr>
          <w:spacing w:val="-20"/>
        </w:rPr>
        <w:t> </w:t>
      </w:r>
      <w:r>
        <w:rPr/>
        <w:t>тваринництва</w:t>
      </w:r>
      <w:r>
        <w:rPr>
          <w:spacing w:val="-22"/>
        </w:rPr>
        <w:t> </w:t>
      </w:r>
      <w:r>
        <w:rPr/>
        <w:t>сприяє</w:t>
      </w:r>
      <w:r>
        <w:rPr>
          <w:spacing w:val="-23"/>
        </w:rPr>
        <w:t> </w:t>
      </w:r>
      <w:r>
        <w:rPr/>
        <w:t>забезпеченню</w:t>
      </w:r>
      <w:r>
        <w:rPr>
          <w:spacing w:val="-25"/>
        </w:rPr>
        <w:t> </w:t>
      </w:r>
      <w:r>
        <w:rPr/>
        <w:t>раціональних сівозмін</w:t>
      </w:r>
      <w:r>
        <w:rPr>
          <w:spacing w:val="-5"/>
        </w:rPr>
        <w:t> </w:t>
      </w:r>
      <w:r>
        <w:rPr/>
        <w:t>у</w:t>
      </w:r>
      <w:r>
        <w:rPr>
          <w:spacing w:val="-12"/>
        </w:rPr>
        <w:t> </w:t>
      </w:r>
      <w:r>
        <w:rPr/>
        <w:t>рослинництві,</w:t>
      </w:r>
      <w:r>
        <w:rPr>
          <w:spacing w:val="-6"/>
        </w:rPr>
        <w:t> </w:t>
      </w:r>
      <w:r>
        <w:rPr/>
        <w:t>а</w:t>
      </w:r>
      <w:r>
        <w:rPr>
          <w:spacing w:val="-8"/>
        </w:rPr>
        <w:t> </w:t>
      </w:r>
      <w:r>
        <w:rPr/>
        <w:t>також</w:t>
      </w:r>
      <w:r>
        <w:rPr>
          <w:spacing w:val="-9"/>
        </w:rPr>
        <w:t> </w:t>
      </w:r>
      <w:r>
        <w:rPr/>
        <w:t>є</w:t>
      </w:r>
      <w:r>
        <w:rPr>
          <w:spacing w:val="-8"/>
        </w:rPr>
        <w:t> </w:t>
      </w:r>
      <w:r>
        <w:rPr/>
        <w:t>соціально</w:t>
      </w:r>
      <w:r>
        <w:rPr>
          <w:spacing w:val="-8"/>
        </w:rPr>
        <w:t> </w:t>
      </w:r>
      <w:r>
        <w:rPr/>
        <w:t>значимим</w:t>
      </w:r>
      <w:r>
        <w:rPr>
          <w:spacing w:val="-8"/>
        </w:rPr>
        <w:t> </w:t>
      </w:r>
      <w:r>
        <w:rPr/>
        <w:t>в</w:t>
      </w:r>
      <w:r>
        <w:rPr>
          <w:spacing w:val="-9"/>
        </w:rPr>
        <w:t> </w:t>
      </w:r>
      <w:r>
        <w:rPr/>
        <w:t>контексті</w:t>
      </w:r>
      <w:r>
        <w:rPr>
          <w:spacing w:val="-14"/>
        </w:rPr>
        <w:t> </w:t>
      </w:r>
      <w:r>
        <w:rPr/>
        <w:t>забезпечення сільського населення робочими</w:t>
      </w:r>
      <w:r>
        <w:rPr>
          <w:spacing w:val="2"/>
        </w:rPr>
        <w:t> </w:t>
      </w:r>
      <w:r>
        <w:rPr/>
        <w:t>місцями.</w:t>
      </w:r>
    </w:p>
    <w:p>
      <w:pPr>
        <w:pStyle w:val="BodyText"/>
        <w:ind w:right="611" w:firstLine="710"/>
        <w:rPr>
          <w:sz w:val="32"/>
        </w:rPr>
      </w:pPr>
      <w:r>
        <w:rPr/>
        <w:t>Підвищення економічної ефективності фермерських господарств, зростання їх фінансової стійкості, збільшення обсягів виробництва розвиток ресурсної бази галузі неможливі в сучасних умовах без державної підтримки. Сьогодні фінансова підтримка сільського господарства здійснюється переважно через</w:t>
      </w:r>
      <w:r>
        <w:rPr>
          <w:spacing w:val="-10"/>
        </w:rPr>
        <w:t> </w:t>
      </w:r>
      <w:r>
        <w:rPr/>
        <w:t>комплекс</w:t>
      </w:r>
      <w:r>
        <w:rPr>
          <w:spacing w:val="-6"/>
        </w:rPr>
        <w:t> </w:t>
      </w:r>
      <w:r>
        <w:rPr/>
        <w:t>програм,</w:t>
      </w:r>
      <w:r>
        <w:rPr>
          <w:spacing w:val="-8"/>
        </w:rPr>
        <w:t> </w:t>
      </w:r>
      <w:r>
        <w:rPr/>
        <w:t>метою</w:t>
      </w:r>
      <w:r>
        <w:rPr>
          <w:spacing w:val="-11"/>
        </w:rPr>
        <w:t> </w:t>
      </w:r>
      <w:r>
        <w:rPr/>
        <w:t>яких</w:t>
      </w:r>
      <w:r>
        <w:rPr>
          <w:spacing w:val="-14"/>
        </w:rPr>
        <w:t> </w:t>
      </w:r>
      <w:r>
        <w:rPr/>
        <w:t>є</w:t>
      </w:r>
      <w:r>
        <w:rPr>
          <w:spacing w:val="-9"/>
        </w:rPr>
        <w:t> </w:t>
      </w:r>
      <w:r>
        <w:rPr/>
        <w:t>підвищення</w:t>
      </w:r>
      <w:r>
        <w:rPr>
          <w:spacing w:val="-10"/>
        </w:rPr>
        <w:t> </w:t>
      </w:r>
      <w:r>
        <w:rPr/>
        <w:t>ефективності</w:t>
      </w:r>
      <w:r>
        <w:rPr>
          <w:spacing w:val="-14"/>
        </w:rPr>
        <w:t> </w:t>
      </w:r>
      <w:r>
        <w:rPr/>
        <w:t>виробництва</w:t>
      </w:r>
      <w:r>
        <w:rPr>
          <w:spacing w:val="-10"/>
        </w:rPr>
        <w:t> </w:t>
      </w:r>
      <w:r>
        <w:rPr/>
        <w:t>та забезпечення прибутку виробникам сільськогосподарської</w:t>
      </w:r>
      <w:r>
        <w:rPr>
          <w:spacing w:val="-52"/>
        </w:rPr>
        <w:t> </w:t>
      </w:r>
      <w:r>
        <w:rPr/>
        <w:t>продукції. Державою було розроблено програму, яка спрямована на розвиток сільського господарства в Україні. </w:t>
      </w:r>
      <w:r>
        <w:rPr>
          <w:spacing w:val="-3"/>
        </w:rPr>
        <w:t>Це </w:t>
      </w:r>
      <w:r>
        <w:rPr/>
        <w:t>Єдина комплексна стратегія розвитку сільського господарства та сільських територій на 2015-2020 рр., вона націлена на комплексне проведення низки реформ, на які вже довгий час чекали виробники сільськогосподарської продукції, аграрний бізнес і сільське населення. </w:t>
      </w:r>
      <w:r>
        <w:rPr>
          <w:spacing w:val="-3"/>
        </w:rPr>
        <w:t>Ця </w:t>
      </w:r>
      <w:r>
        <w:rPr/>
        <w:t>програма визначає розвиток сільського господарства і сільських територій на довгострокову перспективу, надає базу для стабільної і прозорої правової системи, яка спрямована на поліпшення ділового клімату, протидію корупції і стимулювання інвестицій у модернізацію аграрного сектору економіки. Вона також надає підґрунтя для проведення інституціональної реформи, необхідної для ефективного контролю і реалізації означених</w:t>
      </w:r>
      <w:r>
        <w:rPr>
          <w:spacing w:val="-4"/>
        </w:rPr>
        <w:t> </w:t>
      </w:r>
      <w:r>
        <w:rPr/>
        <w:t>заходів</w:t>
      </w:r>
      <w:r>
        <w:rPr>
          <w:sz w:val="32"/>
        </w:rPr>
        <w:t>.</w:t>
      </w:r>
    </w:p>
    <w:p>
      <w:pPr>
        <w:pStyle w:val="BodyText"/>
        <w:ind w:right="617" w:firstLine="710"/>
      </w:pPr>
      <w:r>
        <w:rPr/>
        <w:t>Стратегія спрямована на посилення конкурентоспроможності сільськогосподарських підприємств і збільшення експорту, забезпечення розвитку сільських територій та збереження природних ресурсів і довкілля.</w:t>
      </w:r>
    </w:p>
    <w:p>
      <w:pPr>
        <w:spacing w:after="0"/>
        <w:sectPr>
          <w:pgSz w:w="11910" w:h="16840"/>
          <w:pgMar w:header="713" w:footer="778" w:top="1140" w:bottom="960" w:left="940" w:right="520"/>
        </w:sectPr>
      </w:pPr>
    </w:p>
    <w:p>
      <w:pPr>
        <w:pStyle w:val="BodyText"/>
        <w:spacing w:before="92"/>
        <w:ind w:right="613"/>
      </w:pPr>
      <w:r>
        <w:rPr/>
        <w:t>Термін, на який розроблялася стратегія наступного року вже завершується, але, доводиться</w:t>
      </w:r>
      <w:r>
        <w:rPr>
          <w:spacing w:val="-7"/>
        </w:rPr>
        <w:t> </w:t>
      </w:r>
      <w:r>
        <w:rPr/>
        <w:t>констатувати</w:t>
      </w:r>
      <w:r>
        <w:rPr>
          <w:spacing w:val="-7"/>
        </w:rPr>
        <w:t> </w:t>
      </w:r>
      <w:r>
        <w:rPr/>
        <w:t>що</w:t>
      </w:r>
      <w:r>
        <w:rPr>
          <w:spacing w:val="-8"/>
        </w:rPr>
        <w:t> </w:t>
      </w:r>
      <w:r>
        <w:rPr/>
        <w:t>завдання</w:t>
      </w:r>
      <w:r>
        <w:rPr>
          <w:spacing w:val="-7"/>
        </w:rPr>
        <w:t> </w:t>
      </w:r>
      <w:r>
        <w:rPr/>
        <w:t>в</w:t>
      </w:r>
      <w:r>
        <w:rPr>
          <w:spacing w:val="-9"/>
        </w:rPr>
        <w:t> </w:t>
      </w:r>
      <w:r>
        <w:rPr/>
        <w:t>частині</w:t>
      </w:r>
      <w:r>
        <w:rPr>
          <w:spacing w:val="-13"/>
        </w:rPr>
        <w:t> </w:t>
      </w:r>
      <w:r>
        <w:rPr/>
        <w:t>боротьби</w:t>
      </w:r>
      <w:r>
        <w:rPr>
          <w:spacing w:val="-8"/>
        </w:rPr>
        <w:t> </w:t>
      </w:r>
      <w:r>
        <w:rPr/>
        <w:t>з</w:t>
      </w:r>
      <w:r>
        <w:rPr>
          <w:spacing w:val="-7"/>
        </w:rPr>
        <w:t> </w:t>
      </w:r>
      <w:r>
        <w:rPr/>
        <w:t>корупцією,</w:t>
      </w:r>
      <w:r>
        <w:rPr>
          <w:spacing w:val="-5"/>
        </w:rPr>
        <w:t> </w:t>
      </w:r>
      <w:r>
        <w:rPr/>
        <w:t>сприяння розвитку</w:t>
      </w:r>
      <w:r>
        <w:rPr>
          <w:spacing w:val="-25"/>
        </w:rPr>
        <w:t> </w:t>
      </w:r>
      <w:r>
        <w:rPr/>
        <w:t>сільських</w:t>
      </w:r>
      <w:r>
        <w:rPr>
          <w:spacing w:val="-24"/>
        </w:rPr>
        <w:t> </w:t>
      </w:r>
      <w:r>
        <w:rPr/>
        <w:t>територій,</w:t>
      </w:r>
      <w:r>
        <w:rPr>
          <w:spacing w:val="-18"/>
        </w:rPr>
        <w:t> </w:t>
      </w:r>
      <w:r>
        <w:rPr/>
        <w:t>охорони</w:t>
      </w:r>
      <w:r>
        <w:rPr>
          <w:spacing w:val="-20"/>
        </w:rPr>
        <w:t> </w:t>
      </w:r>
      <w:r>
        <w:rPr/>
        <w:t>навколишнього</w:t>
      </w:r>
      <w:r>
        <w:rPr>
          <w:spacing w:val="-19"/>
        </w:rPr>
        <w:t> </w:t>
      </w:r>
      <w:r>
        <w:rPr/>
        <w:t>середовища</w:t>
      </w:r>
      <w:r>
        <w:rPr>
          <w:spacing w:val="-19"/>
        </w:rPr>
        <w:t> </w:t>
      </w:r>
      <w:r>
        <w:rPr/>
        <w:t>залишаються не</w:t>
      </w:r>
      <w:r>
        <w:rPr>
          <w:spacing w:val="2"/>
        </w:rPr>
        <w:t> </w:t>
      </w:r>
      <w:r>
        <w:rPr/>
        <w:t>виконаними.</w:t>
      </w:r>
    </w:p>
    <w:p>
      <w:pPr>
        <w:pStyle w:val="BodyText"/>
        <w:spacing w:line="321" w:lineRule="exact" w:after="11"/>
        <w:ind w:left="903"/>
      </w:pPr>
      <w:r>
        <w:rPr/>
        <w:t>Таблиця 3. Рівень рентабельності сільськогосподарської продукції, %</w:t>
      </w:r>
    </w:p>
    <w:tbl>
      <w:tblPr>
        <w:tblW w:w="0" w:type="auto"/>
        <w:jc w:val="left"/>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5"/>
        <w:gridCol w:w="1099"/>
        <w:gridCol w:w="912"/>
        <w:gridCol w:w="917"/>
        <w:gridCol w:w="917"/>
        <w:gridCol w:w="912"/>
        <w:gridCol w:w="917"/>
        <w:gridCol w:w="912"/>
        <w:gridCol w:w="921"/>
      </w:tblGrid>
      <w:tr>
        <w:trPr>
          <w:trHeight w:val="686" w:hRule="atLeast"/>
        </w:trPr>
        <w:tc>
          <w:tcPr>
            <w:tcW w:w="1935" w:type="dxa"/>
            <w:vMerge w:val="restart"/>
          </w:tcPr>
          <w:p>
            <w:pPr>
              <w:pStyle w:val="TableParagraph"/>
              <w:spacing w:before="10"/>
              <w:rPr>
                <w:sz w:val="33"/>
              </w:rPr>
            </w:pPr>
          </w:p>
          <w:p>
            <w:pPr>
              <w:pStyle w:val="TableParagraph"/>
              <w:ind w:left="235"/>
              <w:rPr>
                <w:sz w:val="22"/>
              </w:rPr>
            </w:pPr>
            <w:r>
              <w:rPr>
                <w:sz w:val="22"/>
              </w:rPr>
              <w:t>Види продукції</w:t>
            </w:r>
          </w:p>
        </w:tc>
        <w:tc>
          <w:tcPr>
            <w:tcW w:w="1099" w:type="dxa"/>
          </w:tcPr>
          <w:p>
            <w:pPr>
              <w:pStyle w:val="TableParagraph"/>
              <w:spacing w:before="212"/>
              <w:ind w:left="221" w:right="222"/>
              <w:jc w:val="center"/>
              <w:rPr>
                <w:sz w:val="22"/>
              </w:rPr>
            </w:pPr>
            <w:r>
              <w:rPr>
                <w:sz w:val="22"/>
              </w:rPr>
              <w:t>2012р.</w:t>
            </w:r>
          </w:p>
        </w:tc>
        <w:tc>
          <w:tcPr>
            <w:tcW w:w="912" w:type="dxa"/>
          </w:tcPr>
          <w:p>
            <w:pPr>
              <w:pStyle w:val="TableParagraph"/>
              <w:spacing w:before="212"/>
              <w:ind w:right="138"/>
              <w:jc w:val="right"/>
              <w:rPr>
                <w:sz w:val="22"/>
              </w:rPr>
            </w:pPr>
            <w:r>
              <w:rPr>
                <w:sz w:val="22"/>
              </w:rPr>
              <w:t>2013р.</w:t>
            </w:r>
          </w:p>
        </w:tc>
        <w:tc>
          <w:tcPr>
            <w:tcW w:w="917" w:type="dxa"/>
          </w:tcPr>
          <w:p>
            <w:pPr>
              <w:pStyle w:val="TableParagraph"/>
              <w:spacing w:before="212"/>
              <w:ind w:left="135" w:right="126"/>
              <w:jc w:val="center"/>
              <w:rPr>
                <w:sz w:val="22"/>
              </w:rPr>
            </w:pPr>
            <w:r>
              <w:rPr>
                <w:sz w:val="22"/>
              </w:rPr>
              <w:t>2014р.</w:t>
            </w:r>
          </w:p>
        </w:tc>
        <w:tc>
          <w:tcPr>
            <w:tcW w:w="917" w:type="dxa"/>
          </w:tcPr>
          <w:p>
            <w:pPr>
              <w:pStyle w:val="TableParagraph"/>
              <w:spacing w:before="212"/>
              <w:ind w:left="135" w:right="126"/>
              <w:jc w:val="center"/>
              <w:rPr>
                <w:sz w:val="22"/>
              </w:rPr>
            </w:pPr>
            <w:r>
              <w:rPr>
                <w:sz w:val="22"/>
              </w:rPr>
              <w:t>2015р.</w:t>
            </w:r>
          </w:p>
        </w:tc>
        <w:tc>
          <w:tcPr>
            <w:tcW w:w="912" w:type="dxa"/>
          </w:tcPr>
          <w:p>
            <w:pPr>
              <w:pStyle w:val="TableParagraph"/>
              <w:spacing w:before="212"/>
              <w:ind w:left="136" w:right="121"/>
              <w:jc w:val="center"/>
              <w:rPr>
                <w:sz w:val="22"/>
              </w:rPr>
            </w:pPr>
            <w:r>
              <w:rPr>
                <w:sz w:val="22"/>
              </w:rPr>
              <w:t>2016р.</w:t>
            </w:r>
          </w:p>
        </w:tc>
        <w:tc>
          <w:tcPr>
            <w:tcW w:w="917" w:type="dxa"/>
          </w:tcPr>
          <w:p>
            <w:pPr>
              <w:pStyle w:val="TableParagraph"/>
              <w:spacing w:before="212"/>
              <w:ind w:left="135" w:right="125"/>
              <w:jc w:val="center"/>
              <w:rPr>
                <w:sz w:val="22"/>
              </w:rPr>
            </w:pPr>
            <w:r>
              <w:rPr>
                <w:sz w:val="22"/>
              </w:rPr>
              <w:t>2017р.</w:t>
            </w:r>
          </w:p>
        </w:tc>
        <w:tc>
          <w:tcPr>
            <w:tcW w:w="912" w:type="dxa"/>
          </w:tcPr>
          <w:p>
            <w:pPr>
              <w:pStyle w:val="TableParagraph"/>
              <w:spacing w:line="223" w:lineRule="exact"/>
              <w:ind w:left="179"/>
              <w:rPr>
                <w:sz w:val="20"/>
              </w:rPr>
            </w:pPr>
            <w:r>
              <w:rPr>
                <w:sz w:val="20"/>
              </w:rPr>
              <w:t>2017р.</w:t>
            </w:r>
          </w:p>
          <w:p>
            <w:pPr>
              <w:pStyle w:val="TableParagraph"/>
              <w:spacing w:line="230" w:lineRule="exact"/>
              <w:ind w:left="217" w:hanging="87"/>
              <w:rPr>
                <w:sz w:val="20"/>
              </w:rPr>
            </w:pPr>
            <w:r>
              <w:rPr>
                <w:sz w:val="20"/>
              </w:rPr>
              <w:t>до </w:t>
            </w:r>
            <w:r>
              <w:rPr>
                <w:spacing w:val="-4"/>
                <w:sz w:val="20"/>
              </w:rPr>
              <w:t>2012 </w:t>
            </w:r>
            <w:r>
              <w:rPr>
                <w:sz w:val="20"/>
              </w:rPr>
              <w:t>р.,</w:t>
            </w:r>
            <w:r>
              <w:rPr>
                <w:spacing w:val="1"/>
                <w:sz w:val="20"/>
              </w:rPr>
              <w:t> </w:t>
            </w:r>
            <w:r>
              <w:rPr>
                <w:sz w:val="20"/>
              </w:rPr>
              <w:t>+,-</w:t>
            </w:r>
          </w:p>
        </w:tc>
        <w:tc>
          <w:tcPr>
            <w:tcW w:w="921" w:type="dxa"/>
          </w:tcPr>
          <w:p>
            <w:pPr>
              <w:pStyle w:val="TableParagraph"/>
              <w:spacing w:line="223" w:lineRule="exact"/>
              <w:ind w:left="184"/>
              <w:rPr>
                <w:sz w:val="20"/>
              </w:rPr>
            </w:pPr>
            <w:r>
              <w:rPr>
                <w:sz w:val="20"/>
              </w:rPr>
              <w:t>2017р.</w:t>
            </w:r>
          </w:p>
          <w:p>
            <w:pPr>
              <w:pStyle w:val="TableParagraph"/>
              <w:spacing w:line="230" w:lineRule="exact"/>
              <w:ind w:left="218" w:hanging="87"/>
              <w:rPr>
                <w:sz w:val="20"/>
              </w:rPr>
            </w:pPr>
            <w:r>
              <w:rPr>
                <w:sz w:val="20"/>
              </w:rPr>
              <w:t>до </w:t>
            </w:r>
            <w:r>
              <w:rPr>
                <w:spacing w:val="-4"/>
                <w:sz w:val="20"/>
              </w:rPr>
              <w:t>2015 </w:t>
            </w:r>
            <w:r>
              <w:rPr>
                <w:sz w:val="20"/>
              </w:rPr>
              <w:t>р.,</w:t>
            </w:r>
            <w:r>
              <w:rPr>
                <w:spacing w:val="1"/>
                <w:sz w:val="20"/>
              </w:rPr>
              <w:t> </w:t>
            </w:r>
            <w:r>
              <w:rPr>
                <w:sz w:val="20"/>
              </w:rPr>
              <w:t>+,-</w:t>
            </w:r>
          </w:p>
        </w:tc>
      </w:tr>
      <w:tr>
        <w:trPr>
          <w:trHeight w:val="350" w:hRule="atLeast"/>
        </w:trPr>
        <w:tc>
          <w:tcPr>
            <w:tcW w:w="1935" w:type="dxa"/>
            <w:vMerge/>
            <w:tcBorders>
              <w:top w:val="nil"/>
            </w:tcBorders>
          </w:tcPr>
          <w:p>
            <w:pPr>
              <w:rPr>
                <w:sz w:val="2"/>
                <w:szCs w:val="2"/>
              </w:rPr>
            </w:pPr>
          </w:p>
        </w:tc>
        <w:tc>
          <w:tcPr>
            <w:tcW w:w="7507" w:type="dxa"/>
            <w:gridSpan w:val="8"/>
          </w:tcPr>
          <w:p>
            <w:pPr>
              <w:pStyle w:val="TableParagraph"/>
              <w:spacing w:before="44"/>
              <w:ind w:left="1635" w:right="1634"/>
              <w:jc w:val="center"/>
              <w:rPr>
                <w:sz w:val="22"/>
              </w:rPr>
            </w:pPr>
            <w:r>
              <w:rPr>
                <w:sz w:val="22"/>
              </w:rPr>
              <w:t>Сільськогосподарські підприємства України</w:t>
            </w:r>
          </w:p>
        </w:tc>
      </w:tr>
      <w:tr>
        <w:trPr>
          <w:trHeight w:val="503" w:hRule="atLeast"/>
        </w:trPr>
        <w:tc>
          <w:tcPr>
            <w:tcW w:w="1935" w:type="dxa"/>
          </w:tcPr>
          <w:p>
            <w:pPr>
              <w:pStyle w:val="TableParagraph"/>
              <w:spacing w:line="244" w:lineRule="exact"/>
              <w:ind w:left="484"/>
              <w:rPr>
                <w:sz w:val="22"/>
              </w:rPr>
            </w:pPr>
            <w:r>
              <w:rPr>
                <w:sz w:val="22"/>
              </w:rPr>
              <w:t>Зернові та</w:t>
            </w:r>
          </w:p>
          <w:p>
            <w:pPr>
              <w:pStyle w:val="TableParagraph"/>
              <w:spacing w:line="238" w:lineRule="exact" w:before="1"/>
              <w:ind w:left="398"/>
              <w:rPr>
                <w:sz w:val="22"/>
              </w:rPr>
            </w:pPr>
            <w:r>
              <w:rPr>
                <w:sz w:val="22"/>
              </w:rPr>
              <w:t>зернобобові</w:t>
            </w:r>
          </w:p>
        </w:tc>
        <w:tc>
          <w:tcPr>
            <w:tcW w:w="1099" w:type="dxa"/>
          </w:tcPr>
          <w:p>
            <w:pPr>
              <w:pStyle w:val="TableParagraph"/>
              <w:spacing w:before="121"/>
              <w:ind w:left="221" w:right="221"/>
              <w:jc w:val="center"/>
              <w:rPr>
                <w:sz w:val="22"/>
              </w:rPr>
            </w:pPr>
            <w:r>
              <w:rPr>
                <w:sz w:val="22"/>
              </w:rPr>
              <w:t>15,8</w:t>
            </w:r>
          </w:p>
        </w:tc>
        <w:tc>
          <w:tcPr>
            <w:tcW w:w="912" w:type="dxa"/>
          </w:tcPr>
          <w:p>
            <w:pPr>
              <w:pStyle w:val="TableParagraph"/>
              <w:spacing w:before="121"/>
              <w:ind w:left="132" w:right="121"/>
              <w:jc w:val="center"/>
              <w:rPr>
                <w:sz w:val="22"/>
              </w:rPr>
            </w:pPr>
            <w:r>
              <w:rPr>
                <w:sz w:val="22"/>
              </w:rPr>
              <w:t>2,4</w:t>
            </w:r>
          </w:p>
        </w:tc>
        <w:tc>
          <w:tcPr>
            <w:tcW w:w="917" w:type="dxa"/>
          </w:tcPr>
          <w:p>
            <w:pPr>
              <w:pStyle w:val="TableParagraph"/>
              <w:spacing w:before="121"/>
              <w:ind w:left="135" w:right="124"/>
              <w:jc w:val="center"/>
              <w:rPr>
                <w:sz w:val="22"/>
              </w:rPr>
            </w:pPr>
            <w:r>
              <w:rPr>
                <w:sz w:val="22"/>
              </w:rPr>
              <w:t>25,7</w:t>
            </w:r>
          </w:p>
        </w:tc>
        <w:tc>
          <w:tcPr>
            <w:tcW w:w="917" w:type="dxa"/>
          </w:tcPr>
          <w:p>
            <w:pPr>
              <w:pStyle w:val="TableParagraph"/>
              <w:spacing w:before="121"/>
              <w:ind w:left="135" w:right="124"/>
              <w:jc w:val="center"/>
              <w:rPr>
                <w:sz w:val="22"/>
              </w:rPr>
            </w:pPr>
            <w:r>
              <w:rPr>
                <w:sz w:val="22"/>
              </w:rPr>
              <w:t>42,6</w:t>
            </w:r>
          </w:p>
        </w:tc>
        <w:tc>
          <w:tcPr>
            <w:tcW w:w="912" w:type="dxa"/>
          </w:tcPr>
          <w:p>
            <w:pPr>
              <w:pStyle w:val="TableParagraph"/>
              <w:spacing w:before="121"/>
              <w:ind w:left="136" w:right="119"/>
              <w:jc w:val="center"/>
              <w:rPr>
                <w:sz w:val="22"/>
              </w:rPr>
            </w:pPr>
            <w:r>
              <w:rPr>
                <w:sz w:val="22"/>
              </w:rPr>
              <w:t>37,8</w:t>
            </w:r>
          </w:p>
        </w:tc>
        <w:tc>
          <w:tcPr>
            <w:tcW w:w="917" w:type="dxa"/>
          </w:tcPr>
          <w:p>
            <w:pPr>
              <w:pStyle w:val="TableParagraph"/>
              <w:spacing w:before="121"/>
              <w:ind w:left="134" w:right="126"/>
              <w:jc w:val="center"/>
              <w:rPr>
                <w:sz w:val="22"/>
              </w:rPr>
            </w:pPr>
            <w:r>
              <w:rPr>
                <w:sz w:val="22"/>
              </w:rPr>
              <w:t>25</w:t>
            </w:r>
          </w:p>
        </w:tc>
        <w:tc>
          <w:tcPr>
            <w:tcW w:w="912" w:type="dxa"/>
          </w:tcPr>
          <w:p>
            <w:pPr>
              <w:pStyle w:val="TableParagraph"/>
              <w:spacing w:before="130"/>
              <w:ind w:left="136" w:right="118"/>
              <w:jc w:val="center"/>
              <w:rPr>
                <w:sz w:val="20"/>
              </w:rPr>
            </w:pPr>
            <w:r>
              <w:rPr>
                <w:sz w:val="20"/>
              </w:rPr>
              <w:t>9,2</w:t>
            </w:r>
          </w:p>
        </w:tc>
        <w:tc>
          <w:tcPr>
            <w:tcW w:w="921" w:type="dxa"/>
          </w:tcPr>
          <w:p>
            <w:pPr>
              <w:pStyle w:val="TableParagraph"/>
              <w:spacing w:before="130"/>
              <w:ind w:left="234" w:right="220"/>
              <w:jc w:val="center"/>
              <w:rPr>
                <w:sz w:val="20"/>
              </w:rPr>
            </w:pPr>
            <w:r>
              <w:rPr>
                <w:sz w:val="20"/>
              </w:rPr>
              <w:t>-17,6</w:t>
            </w:r>
          </w:p>
        </w:tc>
      </w:tr>
      <w:tr>
        <w:trPr>
          <w:trHeight w:val="345" w:hRule="atLeast"/>
        </w:trPr>
        <w:tc>
          <w:tcPr>
            <w:tcW w:w="1935" w:type="dxa"/>
          </w:tcPr>
          <w:p>
            <w:pPr>
              <w:pStyle w:val="TableParagraph"/>
              <w:spacing w:before="39"/>
              <w:ind w:left="116" w:right="112"/>
              <w:jc w:val="center"/>
              <w:rPr>
                <w:sz w:val="22"/>
              </w:rPr>
            </w:pPr>
            <w:r>
              <w:rPr>
                <w:sz w:val="22"/>
              </w:rPr>
              <w:t>Соняшник</w:t>
            </w:r>
          </w:p>
        </w:tc>
        <w:tc>
          <w:tcPr>
            <w:tcW w:w="1099" w:type="dxa"/>
          </w:tcPr>
          <w:p>
            <w:pPr>
              <w:pStyle w:val="TableParagraph"/>
              <w:spacing w:before="39"/>
              <w:ind w:left="221" w:right="221"/>
              <w:jc w:val="center"/>
              <w:rPr>
                <w:sz w:val="22"/>
              </w:rPr>
            </w:pPr>
            <w:r>
              <w:rPr>
                <w:sz w:val="22"/>
              </w:rPr>
              <w:t>44,9</w:t>
            </w:r>
          </w:p>
        </w:tc>
        <w:tc>
          <w:tcPr>
            <w:tcW w:w="912" w:type="dxa"/>
          </w:tcPr>
          <w:p>
            <w:pPr>
              <w:pStyle w:val="TableParagraph"/>
              <w:spacing w:before="39"/>
              <w:ind w:right="246"/>
              <w:jc w:val="right"/>
              <w:rPr>
                <w:sz w:val="22"/>
              </w:rPr>
            </w:pPr>
            <w:r>
              <w:rPr>
                <w:sz w:val="22"/>
              </w:rPr>
              <w:t>28,2</w:t>
            </w:r>
          </w:p>
        </w:tc>
        <w:tc>
          <w:tcPr>
            <w:tcW w:w="917" w:type="dxa"/>
          </w:tcPr>
          <w:p>
            <w:pPr>
              <w:pStyle w:val="TableParagraph"/>
              <w:spacing w:before="39"/>
              <w:ind w:left="135" w:right="124"/>
              <w:jc w:val="center"/>
              <w:rPr>
                <w:sz w:val="22"/>
              </w:rPr>
            </w:pPr>
            <w:r>
              <w:rPr>
                <w:sz w:val="22"/>
              </w:rPr>
              <w:t>36,7</w:t>
            </w:r>
          </w:p>
        </w:tc>
        <w:tc>
          <w:tcPr>
            <w:tcW w:w="917" w:type="dxa"/>
          </w:tcPr>
          <w:p>
            <w:pPr>
              <w:pStyle w:val="TableParagraph"/>
              <w:spacing w:before="39"/>
              <w:ind w:left="135" w:right="124"/>
              <w:jc w:val="center"/>
              <w:rPr>
                <w:sz w:val="22"/>
              </w:rPr>
            </w:pPr>
            <w:r>
              <w:rPr>
                <w:sz w:val="22"/>
              </w:rPr>
              <w:t>78,4</w:t>
            </w:r>
          </w:p>
        </w:tc>
        <w:tc>
          <w:tcPr>
            <w:tcW w:w="912" w:type="dxa"/>
          </w:tcPr>
          <w:p>
            <w:pPr>
              <w:pStyle w:val="TableParagraph"/>
              <w:spacing w:before="39"/>
              <w:ind w:left="136" w:right="119"/>
              <w:jc w:val="center"/>
              <w:rPr>
                <w:sz w:val="22"/>
              </w:rPr>
            </w:pPr>
            <w:r>
              <w:rPr>
                <w:sz w:val="22"/>
              </w:rPr>
              <w:t>61,9</w:t>
            </w:r>
          </w:p>
        </w:tc>
        <w:tc>
          <w:tcPr>
            <w:tcW w:w="917" w:type="dxa"/>
          </w:tcPr>
          <w:p>
            <w:pPr>
              <w:pStyle w:val="TableParagraph"/>
              <w:spacing w:before="39"/>
              <w:ind w:left="135" w:right="122"/>
              <w:jc w:val="center"/>
              <w:rPr>
                <w:sz w:val="22"/>
              </w:rPr>
            </w:pPr>
            <w:r>
              <w:rPr>
                <w:sz w:val="22"/>
              </w:rPr>
              <w:t>41,3</w:t>
            </w:r>
          </w:p>
        </w:tc>
        <w:tc>
          <w:tcPr>
            <w:tcW w:w="912" w:type="dxa"/>
          </w:tcPr>
          <w:p>
            <w:pPr>
              <w:pStyle w:val="TableParagraph"/>
              <w:spacing w:before="53"/>
              <w:ind w:left="136" w:right="118"/>
              <w:jc w:val="center"/>
              <w:rPr>
                <w:sz w:val="20"/>
              </w:rPr>
            </w:pPr>
            <w:r>
              <w:rPr>
                <w:sz w:val="20"/>
              </w:rPr>
              <w:t>-3,6</w:t>
            </w:r>
          </w:p>
        </w:tc>
        <w:tc>
          <w:tcPr>
            <w:tcW w:w="921" w:type="dxa"/>
          </w:tcPr>
          <w:p>
            <w:pPr>
              <w:pStyle w:val="TableParagraph"/>
              <w:spacing w:before="53"/>
              <w:ind w:left="234" w:right="220"/>
              <w:jc w:val="center"/>
              <w:rPr>
                <w:sz w:val="20"/>
              </w:rPr>
            </w:pPr>
            <w:r>
              <w:rPr>
                <w:sz w:val="20"/>
              </w:rPr>
              <w:t>-37,1</w:t>
            </w:r>
          </w:p>
        </w:tc>
      </w:tr>
      <w:tr>
        <w:trPr>
          <w:trHeight w:val="345" w:hRule="atLeast"/>
        </w:trPr>
        <w:tc>
          <w:tcPr>
            <w:tcW w:w="1935" w:type="dxa"/>
          </w:tcPr>
          <w:p>
            <w:pPr>
              <w:pStyle w:val="TableParagraph"/>
              <w:spacing w:before="44"/>
              <w:ind w:left="114" w:right="115"/>
              <w:jc w:val="center"/>
              <w:rPr>
                <w:sz w:val="22"/>
              </w:rPr>
            </w:pPr>
            <w:r>
              <w:rPr>
                <w:sz w:val="22"/>
              </w:rPr>
              <w:t>Буряки цукрові</w:t>
            </w:r>
          </w:p>
        </w:tc>
        <w:tc>
          <w:tcPr>
            <w:tcW w:w="1099" w:type="dxa"/>
          </w:tcPr>
          <w:p>
            <w:pPr>
              <w:pStyle w:val="TableParagraph"/>
              <w:spacing w:before="44"/>
              <w:ind w:left="221" w:right="221"/>
              <w:jc w:val="center"/>
              <w:rPr>
                <w:sz w:val="22"/>
              </w:rPr>
            </w:pPr>
            <w:r>
              <w:rPr>
                <w:sz w:val="22"/>
              </w:rPr>
              <w:t>15,9</w:t>
            </w:r>
          </w:p>
        </w:tc>
        <w:tc>
          <w:tcPr>
            <w:tcW w:w="912" w:type="dxa"/>
          </w:tcPr>
          <w:p>
            <w:pPr>
              <w:pStyle w:val="TableParagraph"/>
              <w:spacing w:before="44"/>
              <w:ind w:left="132" w:right="121"/>
              <w:jc w:val="center"/>
              <w:rPr>
                <w:sz w:val="22"/>
              </w:rPr>
            </w:pPr>
            <w:r>
              <w:rPr>
                <w:sz w:val="22"/>
              </w:rPr>
              <w:t>3,1</w:t>
            </w:r>
          </w:p>
        </w:tc>
        <w:tc>
          <w:tcPr>
            <w:tcW w:w="917" w:type="dxa"/>
          </w:tcPr>
          <w:p>
            <w:pPr>
              <w:pStyle w:val="TableParagraph"/>
              <w:spacing w:before="44"/>
              <w:ind w:left="135" w:right="124"/>
              <w:jc w:val="center"/>
              <w:rPr>
                <w:sz w:val="22"/>
              </w:rPr>
            </w:pPr>
            <w:r>
              <w:rPr>
                <w:sz w:val="22"/>
              </w:rPr>
              <w:t>17,8</w:t>
            </w:r>
          </w:p>
        </w:tc>
        <w:tc>
          <w:tcPr>
            <w:tcW w:w="917" w:type="dxa"/>
          </w:tcPr>
          <w:p>
            <w:pPr>
              <w:pStyle w:val="TableParagraph"/>
              <w:spacing w:before="44"/>
              <w:ind w:left="135" w:right="123"/>
              <w:jc w:val="center"/>
              <w:rPr>
                <w:sz w:val="22"/>
              </w:rPr>
            </w:pPr>
            <w:r>
              <w:rPr>
                <w:sz w:val="22"/>
              </w:rPr>
              <w:t>27,7</w:t>
            </w:r>
          </w:p>
        </w:tc>
        <w:tc>
          <w:tcPr>
            <w:tcW w:w="912" w:type="dxa"/>
          </w:tcPr>
          <w:p>
            <w:pPr>
              <w:pStyle w:val="TableParagraph"/>
              <w:spacing w:before="44"/>
              <w:ind w:left="136" w:right="119"/>
              <w:jc w:val="center"/>
              <w:rPr>
                <w:sz w:val="22"/>
              </w:rPr>
            </w:pPr>
            <w:r>
              <w:rPr>
                <w:sz w:val="22"/>
              </w:rPr>
              <w:t>24,6</w:t>
            </w:r>
          </w:p>
        </w:tc>
        <w:tc>
          <w:tcPr>
            <w:tcW w:w="917" w:type="dxa"/>
          </w:tcPr>
          <w:p>
            <w:pPr>
              <w:pStyle w:val="TableParagraph"/>
              <w:spacing w:before="44"/>
              <w:ind w:left="135" w:right="122"/>
              <w:jc w:val="center"/>
              <w:rPr>
                <w:sz w:val="22"/>
              </w:rPr>
            </w:pPr>
            <w:r>
              <w:rPr>
                <w:sz w:val="22"/>
              </w:rPr>
              <w:t>12,4</w:t>
            </w:r>
          </w:p>
        </w:tc>
        <w:tc>
          <w:tcPr>
            <w:tcW w:w="912" w:type="dxa"/>
          </w:tcPr>
          <w:p>
            <w:pPr>
              <w:pStyle w:val="TableParagraph"/>
              <w:spacing w:before="53"/>
              <w:ind w:left="136" w:right="118"/>
              <w:jc w:val="center"/>
              <w:rPr>
                <w:sz w:val="20"/>
              </w:rPr>
            </w:pPr>
            <w:r>
              <w:rPr>
                <w:sz w:val="20"/>
              </w:rPr>
              <w:t>-3,5</w:t>
            </w:r>
          </w:p>
        </w:tc>
        <w:tc>
          <w:tcPr>
            <w:tcW w:w="921" w:type="dxa"/>
          </w:tcPr>
          <w:p>
            <w:pPr>
              <w:pStyle w:val="TableParagraph"/>
              <w:spacing w:before="53"/>
              <w:ind w:left="234" w:right="220"/>
              <w:jc w:val="center"/>
              <w:rPr>
                <w:sz w:val="20"/>
              </w:rPr>
            </w:pPr>
            <w:r>
              <w:rPr>
                <w:sz w:val="20"/>
              </w:rPr>
              <w:t>-15,3</w:t>
            </w:r>
          </w:p>
        </w:tc>
      </w:tr>
      <w:tr>
        <w:trPr>
          <w:trHeight w:val="350" w:hRule="atLeast"/>
        </w:trPr>
        <w:tc>
          <w:tcPr>
            <w:tcW w:w="1935" w:type="dxa"/>
          </w:tcPr>
          <w:p>
            <w:pPr>
              <w:pStyle w:val="TableParagraph"/>
              <w:spacing w:before="44"/>
              <w:ind w:left="116" w:right="115"/>
              <w:jc w:val="center"/>
              <w:rPr>
                <w:sz w:val="22"/>
              </w:rPr>
            </w:pPr>
            <w:r>
              <w:rPr>
                <w:sz w:val="22"/>
              </w:rPr>
              <w:t>Культури овочеві</w:t>
            </w:r>
          </w:p>
        </w:tc>
        <w:tc>
          <w:tcPr>
            <w:tcW w:w="1099" w:type="dxa"/>
          </w:tcPr>
          <w:p>
            <w:pPr>
              <w:pStyle w:val="TableParagraph"/>
              <w:spacing w:before="44"/>
              <w:ind w:left="221" w:right="216"/>
              <w:jc w:val="center"/>
              <w:rPr>
                <w:sz w:val="22"/>
              </w:rPr>
            </w:pPr>
            <w:r>
              <w:rPr>
                <w:sz w:val="22"/>
              </w:rPr>
              <w:t>1,1</w:t>
            </w:r>
          </w:p>
        </w:tc>
        <w:tc>
          <w:tcPr>
            <w:tcW w:w="912" w:type="dxa"/>
          </w:tcPr>
          <w:p>
            <w:pPr>
              <w:pStyle w:val="TableParagraph"/>
              <w:spacing w:before="44"/>
              <w:ind w:left="132" w:right="121"/>
              <w:jc w:val="center"/>
              <w:rPr>
                <w:sz w:val="22"/>
              </w:rPr>
            </w:pPr>
            <w:r>
              <w:rPr>
                <w:sz w:val="22"/>
              </w:rPr>
              <w:t>7,5</w:t>
            </w:r>
          </w:p>
        </w:tc>
        <w:tc>
          <w:tcPr>
            <w:tcW w:w="917" w:type="dxa"/>
          </w:tcPr>
          <w:p>
            <w:pPr>
              <w:pStyle w:val="TableParagraph"/>
              <w:spacing w:before="44"/>
              <w:ind w:left="135" w:right="124"/>
              <w:jc w:val="center"/>
              <w:rPr>
                <w:sz w:val="22"/>
              </w:rPr>
            </w:pPr>
            <w:r>
              <w:rPr>
                <w:sz w:val="22"/>
              </w:rPr>
              <w:t>14,5</w:t>
            </w:r>
          </w:p>
        </w:tc>
        <w:tc>
          <w:tcPr>
            <w:tcW w:w="917" w:type="dxa"/>
          </w:tcPr>
          <w:p>
            <w:pPr>
              <w:pStyle w:val="TableParagraph"/>
              <w:spacing w:before="44"/>
              <w:ind w:left="133" w:right="126"/>
              <w:jc w:val="center"/>
              <w:rPr>
                <w:sz w:val="22"/>
              </w:rPr>
            </w:pPr>
            <w:r>
              <w:rPr>
                <w:sz w:val="22"/>
              </w:rPr>
              <w:t>32</w:t>
            </w:r>
          </w:p>
        </w:tc>
        <w:tc>
          <w:tcPr>
            <w:tcW w:w="912" w:type="dxa"/>
          </w:tcPr>
          <w:p>
            <w:pPr>
              <w:pStyle w:val="TableParagraph"/>
              <w:spacing w:before="44"/>
              <w:ind w:left="136" w:right="117"/>
              <w:jc w:val="center"/>
              <w:rPr>
                <w:sz w:val="22"/>
              </w:rPr>
            </w:pPr>
            <w:r>
              <w:rPr>
                <w:sz w:val="22"/>
              </w:rPr>
              <w:t>15,3</w:t>
            </w:r>
          </w:p>
        </w:tc>
        <w:tc>
          <w:tcPr>
            <w:tcW w:w="917" w:type="dxa"/>
          </w:tcPr>
          <w:p>
            <w:pPr>
              <w:pStyle w:val="TableParagraph"/>
              <w:spacing w:before="44"/>
              <w:ind w:left="134" w:right="126"/>
              <w:jc w:val="center"/>
              <w:rPr>
                <w:sz w:val="22"/>
              </w:rPr>
            </w:pPr>
            <w:r>
              <w:rPr>
                <w:sz w:val="22"/>
              </w:rPr>
              <w:t>9,9</w:t>
            </w:r>
          </w:p>
        </w:tc>
        <w:tc>
          <w:tcPr>
            <w:tcW w:w="912" w:type="dxa"/>
          </w:tcPr>
          <w:p>
            <w:pPr>
              <w:pStyle w:val="TableParagraph"/>
              <w:spacing w:before="53"/>
              <w:ind w:left="136" w:right="118"/>
              <w:jc w:val="center"/>
              <w:rPr>
                <w:sz w:val="20"/>
              </w:rPr>
            </w:pPr>
            <w:r>
              <w:rPr>
                <w:sz w:val="20"/>
              </w:rPr>
              <w:t>8,8</w:t>
            </w:r>
          </w:p>
        </w:tc>
        <w:tc>
          <w:tcPr>
            <w:tcW w:w="921" w:type="dxa"/>
          </w:tcPr>
          <w:p>
            <w:pPr>
              <w:pStyle w:val="TableParagraph"/>
              <w:spacing w:before="53"/>
              <w:ind w:left="234" w:right="220"/>
              <w:jc w:val="center"/>
              <w:rPr>
                <w:sz w:val="20"/>
              </w:rPr>
            </w:pPr>
            <w:r>
              <w:rPr>
                <w:sz w:val="20"/>
              </w:rPr>
              <w:t>-22,1</w:t>
            </w:r>
          </w:p>
        </w:tc>
      </w:tr>
      <w:tr>
        <w:trPr>
          <w:trHeight w:val="345" w:hRule="atLeast"/>
        </w:trPr>
        <w:tc>
          <w:tcPr>
            <w:tcW w:w="1935" w:type="dxa"/>
          </w:tcPr>
          <w:p>
            <w:pPr>
              <w:pStyle w:val="TableParagraph"/>
              <w:spacing w:before="39"/>
              <w:ind w:left="116" w:right="112"/>
              <w:jc w:val="center"/>
              <w:rPr>
                <w:sz w:val="22"/>
              </w:rPr>
            </w:pPr>
            <w:r>
              <w:rPr>
                <w:sz w:val="22"/>
              </w:rPr>
              <w:t>Картопля</w:t>
            </w:r>
          </w:p>
        </w:tc>
        <w:tc>
          <w:tcPr>
            <w:tcW w:w="1099" w:type="dxa"/>
          </w:tcPr>
          <w:p>
            <w:pPr>
              <w:pStyle w:val="TableParagraph"/>
              <w:spacing w:before="39"/>
              <w:ind w:left="221" w:right="216"/>
              <w:jc w:val="center"/>
              <w:rPr>
                <w:sz w:val="22"/>
              </w:rPr>
            </w:pPr>
            <w:r>
              <w:rPr>
                <w:sz w:val="22"/>
              </w:rPr>
              <w:t>–17,4</w:t>
            </w:r>
          </w:p>
        </w:tc>
        <w:tc>
          <w:tcPr>
            <w:tcW w:w="912" w:type="dxa"/>
          </w:tcPr>
          <w:p>
            <w:pPr>
              <w:pStyle w:val="TableParagraph"/>
              <w:spacing w:before="39"/>
              <w:ind w:right="246"/>
              <w:jc w:val="right"/>
              <w:rPr>
                <w:sz w:val="22"/>
              </w:rPr>
            </w:pPr>
            <w:r>
              <w:rPr>
                <w:sz w:val="22"/>
              </w:rPr>
              <w:t>22,4</w:t>
            </w:r>
          </w:p>
        </w:tc>
        <w:tc>
          <w:tcPr>
            <w:tcW w:w="917" w:type="dxa"/>
          </w:tcPr>
          <w:p>
            <w:pPr>
              <w:pStyle w:val="TableParagraph"/>
              <w:spacing w:before="39"/>
              <w:ind w:left="132" w:right="126"/>
              <w:jc w:val="center"/>
              <w:rPr>
                <w:sz w:val="22"/>
              </w:rPr>
            </w:pPr>
            <w:r>
              <w:rPr>
                <w:sz w:val="22"/>
              </w:rPr>
              <w:t>9,9</w:t>
            </w:r>
          </w:p>
        </w:tc>
        <w:tc>
          <w:tcPr>
            <w:tcW w:w="917" w:type="dxa"/>
          </w:tcPr>
          <w:p>
            <w:pPr>
              <w:pStyle w:val="TableParagraph"/>
              <w:spacing w:before="39"/>
              <w:ind w:left="135" w:right="124"/>
              <w:jc w:val="center"/>
              <w:rPr>
                <w:sz w:val="22"/>
              </w:rPr>
            </w:pPr>
            <w:r>
              <w:rPr>
                <w:sz w:val="22"/>
              </w:rPr>
              <w:t>24,6</w:t>
            </w:r>
          </w:p>
        </w:tc>
        <w:tc>
          <w:tcPr>
            <w:tcW w:w="912" w:type="dxa"/>
          </w:tcPr>
          <w:p>
            <w:pPr>
              <w:pStyle w:val="TableParagraph"/>
              <w:spacing w:before="39"/>
              <w:ind w:left="133" w:right="121"/>
              <w:jc w:val="center"/>
              <w:rPr>
                <w:sz w:val="22"/>
              </w:rPr>
            </w:pPr>
            <w:r>
              <w:rPr>
                <w:sz w:val="22"/>
              </w:rPr>
              <w:t>0,6</w:t>
            </w:r>
          </w:p>
        </w:tc>
        <w:tc>
          <w:tcPr>
            <w:tcW w:w="917" w:type="dxa"/>
          </w:tcPr>
          <w:p>
            <w:pPr>
              <w:pStyle w:val="TableParagraph"/>
              <w:spacing w:before="39"/>
              <w:ind w:left="134" w:right="126"/>
              <w:jc w:val="center"/>
              <w:rPr>
                <w:sz w:val="22"/>
              </w:rPr>
            </w:pPr>
            <w:r>
              <w:rPr>
                <w:sz w:val="22"/>
              </w:rPr>
              <w:t>10</w:t>
            </w:r>
          </w:p>
        </w:tc>
        <w:tc>
          <w:tcPr>
            <w:tcW w:w="912" w:type="dxa"/>
          </w:tcPr>
          <w:p>
            <w:pPr>
              <w:pStyle w:val="TableParagraph"/>
              <w:spacing w:before="53"/>
              <w:ind w:left="8"/>
              <w:jc w:val="center"/>
              <w:rPr>
                <w:sz w:val="20"/>
              </w:rPr>
            </w:pPr>
            <w:r>
              <w:rPr>
                <w:w w:val="100"/>
                <w:sz w:val="20"/>
              </w:rPr>
              <w:t>х</w:t>
            </w:r>
          </w:p>
        </w:tc>
        <w:tc>
          <w:tcPr>
            <w:tcW w:w="921" w:type="dxa"/>
          </w:tcPr>
          <w:p>
            <w:pPr>
              <w:pStyle w:val="TableParagraph"/>
              <w:spacing w:before="53"/>
              <w:ind w:left="234" w:right="220"/>
              <w:jc w:val="center"/>
              <w:rPr>
                <w:sz w:val="20"/>
              </w:rPr>
            </w:pPr>
            <w:r>
              <w:rPr>
                <w:sz w:val="20"/>
              </w:rPr>
              <w:t>-14,6</w:t>
            </w:r>
          </w:p>
        </w:tc>
      </w:tr>
      <w:tr>
        <w:trPr>
          <w:trHeight w:val="691" w:hRule="atLeast"/>
        </w:trPr>
        <w:tc>
          <w:tcPr>
            <w:tcW w:w="1935" w:type="dxa"/>
          </w:tcPr>
          <w:p>
            <w:pPr>
              <w:pStyle w:val="TableParagraph"/>
              <w:spacing w:line="237" w:lineRule="auto" w:before="89"/>
              <w:ind w:left="566" w:hanging="442"/>
              <w:rPr>
                <w:sz w:val="22"/>
              </w:rPr>
            </w:pPr>
            <w:r>
              <w:rPr>
                <w:sz w:val="22"/>
              </w:rPr>
              <w:t>Культури плодові та ягідні</w:t>
            </w:r>
          </w:p>
        </w:tc>
        <w:tc>
          <w:tcPr>
            <w:tcW w:w="1099" w:type="dxa"/>
          </w:tcPr>
          <w:p>
            <w:pPr>
              <w:pStyle w:val="TableParagraph"/>
              <w:spacing w:before="212"/>
              <w:ind w:left="221" w:right="216"/>
              <w:jc w:val="center"/>
              <w:rPr>
                <w:sz w:val="22"/>
              </w:rPr>
            </w:pPr>
            <w:r>
              <w:rPr>
                <w:sz w:val="22"/>
              </w:rPr>
              <w:t>9,6</w:t>
            </w:r>
          </w:p>
        </w:tc>
        <w:tc>
          <w:tcPr>
            <w:tcW w:w="912" w:type="dxa"/>
          </w:tcPr>
          <w:p>
            <w:pPr>
              <w:pStyle w:val="TableParagraph"/>
              <w:spacing w:before="212"/>
              <w:ind w:right="193"/>
              <w:jc w:val="right"/>
              <w:rPr>
                <w:sz w:val="22"/>
              </w:rPr>
            </w:pPr>
            <w:r>
              <w:rPr>
                <w:sz w:val="22"/>
              </w:rPr>
              <w:t>127,5</w:t>
            </w:r>
          </w:p>
        </w:tc>
        <w:tc>
          <w:tcPr>
            <w:tcW w:w="917" w:type="dxa"/>
          </w:tcPr>
          <w:p>
            <w:pPr>
              <w:pStyle w:val="TableParagraph"/>
              <w:spacing w:before="212"/>
              <w:ind w:left="135" w:right="124"/>
              <w:jc w:val="center"/>
              <w:rPr>
                <w:sz w:val="22"/>
              </w:rPr>
            </w:pPr>
            <w:r>
              <w:rPr>
                <w:sz w:val="22"/>
              </w:rPr>
              <w:t>65,8</w:t>
            </w:r>
          </w:p>
        </w:tc>
        <w:tc>
          <w:tcPr>
            <w:tcW w:w="917" w:type="dxa"/>
          </w:tcPr>
          <w:p>
            <w:pPr>
              <w:pStyle w:val="TableParagraph"/>
              <w:spacing w:before="212"/>
              <w:ind w:left="135" w:right="124"/>
              <w:jc w:val="center"/>
              <w:rPr>
                <w:sz w:val="22"/>
              </w:rPr>
            </w:pPr>
            <w:r>
              <w:rPr>
                <w:sz w:val="22"/>
              </w:rPr>
              <w:t>58,3</w:t>
            </w:r>
          </w:p>
        </w:tc>
        <w:tc>
          <w:tcPr>
            <w:tcW w:w="912" w:type="dxa"/>
          </w:tcPr>
          <w:p>
            <w:pPr>
              <w:pStyle w:val="TableParagraph"/>
              <w:spacing w:before="212"/>
              <w:ind w:left="133" w:right="121"/>
              <w:jc w:val="center"/>
              <w:rPr>
                <w:sz w:val="22"/>
              </w:rPr>
            </w:pPr>
            <w:r>
              <w:rPr>
                <w:sz w:val="22"/>
              </w:rPr>
              <w:t>25</w:t>
            </w:r>
          </w:p>
        </w:tc>
        <w:tc>
          <w:tcPr>
            <w:tcW w:w="917" w:type="dxa"/>
          </w:tcPr>
          <w:p>
            <w:pPr>
              <w:pStyle w:val="TableParagraph"/>
              <w:spacing w:before="212"/>
              <w:ind w:left="135" w:right="122"/>
              <w:jc w:val="center"/>
              <w:rPr>
                <w:sz w:val="22"/>
              </w:rPr>
            </w:pPr>
            <w:r>
              <w:rPr>
                <w:sz w:val="22"/>
              </w:rPr>
              <w:t>35,4</w:t>
            </w:r>
          </w:p>
        </w:tc>
        <w:tc>
          <w:tcPr>
            <w:tcW w:w="912" w:type="dxa"/>
          </w:tcPr>
          <w:p>
            <w:pPr>
              <w:pStyle w:val="TableParagraph"/>
              <w:spacing w:before="8"/>
              <w:rPr>
                <w:sz w:val="19"/>
              </w:rPr>
            </w:pPr>
          </w:p>
          <w:p>
            <w:pPr>
              <w:pStyle w:val="TableParagraph"/>
              <w:ind w:left="134" w:right="121"/>
              <w:jc w:val="center"/>
              <w:rPr>
                <w:sz w:val="20"/>
              </w:rPr>
            </w:pPr>
            <w:r>
              <w:rPr>
                <w:sz w:val="20"/>
              </w:rPr>
              <w:t>25,8</w:t>
            </w:r>
          </w:p>
        </w:tc>
        <w:tc>
          <w:tcPr>
            <w:tcW w:w="921" w:type="dxa"/>
          </w:tcPr>
          <w:p>
            <w:pPr>
              <w:pStyle w:val="TableParagraph"/>
              <w:spacing w:before="8"/>
              <w:rPr>
                <w:sz w:val="19"/>
              </w:rPr>
            </w:pPr>
          </w:p>
          <w:p>
            <w:pPr>
              <w:pStyle w:val="TableParagraph"/>
              <w:ind w:left="234" w:right="220"/>
              <w:jc w:val="center"/>
              <w:rPr>
                <w:sz w:val="20"/>
              </w:rPr>
            </w:pPr>
            <w:r>
              <w:rPr>
                <w:sz w:val="20"/>
              </w:rPr>
              <w:t>-22,9</w:t>
            </w:r>
          </w:p>
        </w:tc>
      </w:tr>
      <w:tr>
        <w:trPr>
          <w:trHeight w:val="345" w:hRule="atLeast"/>
        </w:trPr>
        <w:tc>
          <w:tcPr>
            <w:tcW w:w="1935" w:type="dxa"/>
          </w:tcPr>
          <w:p>
            <w:pPr>
              <w:pStyle w:val="TableParagraph"/>
              <w:spacing w:before="39"/>
              <w:ind w:left="116" w:right="111"/>
              <w:jc w:val="center"/>
              <w:rPr>
                <w:sz w:val="22"/>
              </w:rPr>
            </w:pPr>
            <w:r>
              <w:rPr>
                <w:sz w:val="22"/>
              </w:rPr>
              <w:t>Виноград</w:t>
            </w:r>
          </w:p>
        </w:tc>
        <w:tc>
          <w:tcPr>
            <w:tcW w:w="1099" w:type="dxa"/>
          </w:tcPr>
          <w:p>
            <w:pPr>
              <w:pStyle w:val="TableParagraph"/>
              <w:spacing w:before="39"/>
              <w:ind w:left="221" w:right="221"/>
              <w:jc w:val="center"/>
              <w:rPr>
                <w:sz w:val="22"/>
              </w:rPr>
            </w:pPr>
            <w:r>
              <w:rPr>
                <w:sz w:val="22"/>
              </w:rPr>
              <w:t>71,5</w:t>
            </w:r>
          </w:p>
        </w:tc>
        <w:tc>
          <w:tcPr>
            <w:tcW w:w="912" w:type="dxa"/>
          </w:tcPr>
          <w:p>
            <w:pPr>
              <w:pStyle w:val="TableParagraph"/>
              <w:spacing w:before="39"/>
              <w:ind w:left="132" w:right="121"/>
              <w:jc w:val="center"/>
              <w:rPr>
                <w:sz w:val="22"/>
              </w:rPr>
            </w:pPr>
            <w:r>
              <w:rPr>
                <w:sz w:val="22"/>
              </w:rPr>
              <w:t>99</w:t>
            </w:r>
          </w:p>
        </w:tc>
        <w:tc>
          <w:tcPr>
            <w:tcW w:w="917" w:type="dxa"/>
          </w:tcPr>
          <w:p>
            <w:pPr>
              <w:pStyle w:val="TableParagraph"/>
              <w:spacing w:before="39"/>
              <w:ind w:left="135" w:right="124"/>
              <w:jc w:val="center"/>
              <w:rPr>
                <w:sz w:val="22"/>
              </w:rPr>
            </w:pPr>
            <w:r>
              <w:rPr>
                <w:sz w:val="22"/>
              </w:rPr>
              <w:t>57,5</w:t>
            </w:r>
          </w:p>
        </w:tc>
        <w:tc>
          <w:tcPr>
            <w:tcW w:w="917" w:type="dxa"/>
          </w:tcPr>
          <w:p>
            <w:pPr>
              <w:pStyle w:val="TableParagraph"/>
              <w:spacing w:before="39"/>
              <w:ind w:left="135" w:right="124"/>
              <w:jc w:val="center"/>
              <w:rPr>
                <w:sz w:val="22"/>
              </w:rPr>
            </w:pPr>
            <w:r>
              <w:rPr>
                <w:sz w:val="22"/>
              </w:rPr>
              <w:t>92,9</w:t>
            </w:r>
          </w:p>
        </w:tc>
        <w:tc>
          <w:tcPr>
            <w:tcW w:w="912" w:type="dxa"/>
          </w:tcPr>
          <w:p>
            <w:pPr>
              <w:pStyle w:val="TableParagraph"/>
              <w:spacing w:before="39"/>
              <w:ind w:left="136" w:right="119"/>
              <w:jc w:val="center"/>
              <w:rPr>
                <w:sz w:val="22"/>
              </w:rPr>
            </w:pPr>
            <w:r>
              <w:rPr>
                <w:sz w:val="22"/>
              </w:rPr>
              <w:t>71,4</w:t>
            </w:r>
          </w:p>
        </w:tc>
        <w:tc>
          <w:tcPr>
            <w:tcW w:w="917" w:type="dxa"/>
          </w:tcPr>
          <w:p>
            <w:pPr>
              <w:pStyle w:val="TableParagraph"/>
              <w:spacing w:before="39"/>
              <w:ind w:left="135" w:right="122"/>
              <w:jc w:val="center"/>
              <w:rPr>
                <w:sz w:val="22"/>
              </w:rPr>
            </w:pPr>
            <w:r>
              <w:rPr>
                <w:sz w:val="22"/>
              </w:rPr>
              <w:t>51,6</w:t>
            </w:r>
          </w:p>
        </w:tc>
        <w:tc>
          <w:tcPr>
            <w:tcW w:w="912" w:type="dxa"/>
          </w:tcPr>
          <w:p>
            <w:pPr>
              <w:pStyle w:val="TableParagraph"/>
              <w:spacing w:before="53"/>
              <w:ind w:left="134" w:right="121"/>
              <w:jc w:val="center"/>
              <w:rPr>
                <w:sz w:val="20"/>
              </w:rPr>
            </w:pPr>
            <w:r>
              <w:rPr>
                <w:sz w:val="20"/>
              </w:rPr>
              <w:t>-19,9</w:t>
            </w:r>
          </w:p>
        </w:tc>
        <w:tc>
          <w:tcPr>
            <w:tcW w:w="921" w:type="dxa"/>
          </w:tcPr>
          <w:p>
            <w:pPr>
              <w:pStyle w:val="TableParagraph"/>
              <w:spacing w:before="53"/>
              <w:ind w:left="234" w:right="220"/>
              <w:jc w:val="center"/>
              <w:rPr>
                <w:sz w:val="20"/>
              </w:rPr>
            </w:pPr>
            <w:r>
              <w:rPr>
                <w:sz w:val="20"/>
              </w:rPr>
              <w:t>-41,3</w:t>
            </w:r>
          </w:p>
        </w:tc>
      </w:tr>
      <w:tr>
        <w:trPr>
          <w:trHeight w:val="345" w:hRule="atLeast"/>
        </w:trPr>
        <w:tc>
          <w:tcPr>
            <w:tcW w:w="1935" w:type="dxa"/>
          </w:tcPr>
          <w:p>
            <w:pPr>
              <w:pStyle w:val="TableParagraph"/>
              <w:spacing w:before="39"/>
              <w:ind w:left="115" w:right="115"/>
              <w:jc w:val="center"/>
              <w:rPr>
                <w:sz w:val="22"/>
              </w:rPr>
            </w:pPr>
            <w:r>
              <w:rPr>
                <w:sz w:val="22"/>
              </w:rPr>
              <w:t>Молоко</w:t>
            </w:r>
          </w:p>
        </w:tc>
        <w:tc>
          <w:tcPr>
            <w:tcW w:w="1099" w:type="dxa"/>
          </w:tcPr>
          <w:p>
            <w:pPr>
              <w:pStyle w:val="TableParagraph"/>
              <w:spacing w:before="39"/>
              <w:ind w:left="221" w:right="216"/>
              <w:jc w:val="center"/>
              <w:rPr>
                <w:sz w:val="22"/>
              </w:rPr>
            </w:pPr>
            <w:r>
              <w:rPr>
                <w:sz w:val="22"/>
              </w:rPr>
              <w:t>1,8</w:t>
            </w:r>
          </w:p>
        </w:tc>
        <w:tc>
          <w:tcPr>
            <w:tcW w:w="912" w:type="dxa"/>
          </w:tcPr>
          <w:p>
            <w:pPr>
              <w:pStyle w:val="TableParagraph"/>
              <w:spacing w:before="39"/>
              <w:ind w:right="246"/>
              <w:jc w:val="right"/>
              <w:rPr>
                <w:sz w:val="22"/>
              </w:rPr>
            </w:pPr>
            <w:r>
              <w:rPr>
                <w:sz w:val="22"/>
              </w:rPr>
              <w:t>13,1</w:t>
            </w:r>
          </w:p>
        </w:tc>
        <w:tc>
          <w:tcPr>
            <w:tcW w:w="917" w:type="dxa"/>
          </w:tcPr>
          <w:p>
            <w:pPr>
              <w:pStyle w:val="TableParagraph"/>
              <w:spacing w:before="39"/>
              <w:ind w:left="135" w:right="124"/>
              <w:jc w:val="center"/>
              <w:rPr>
                <w:sz w:val="22"/>
              </w:rPr>
            </w:pPr>
            <w:r>
              <w:rPr>
                <w:sz w:val="22"/>
              </w:rPr>
              <w:t>11,1</w:t>
            </w:r>
          </w:p>
        </w:tc>
        <w:tc>
          <w:tcPr>
            <w:tcW w:w="917" w:type="dxa"/>
          </w:tcPr>
          <w:p>
            <w:pPr>
              <w:pStyle w:val="TableParagraph"/>
              <w:spacing w:before="39"/>
              <w:ind w:left="135" w:right="124"/>
              <w:jc w:val="center"/>
              <w:rPr>
                <w:sz w:val="22"/>
              </w:rPr>
            </w:pPr>
            <w:r>
              <w:rPr>
                <w:sz w:val="22"/>
              </w:rPr>
              <w:t>12,7</w:t>
            </w:r>
          </w:p>
        </w:tc>
        <w:tc>
          <w:tcPr>
            <w:tcW w:w="912" w:type="dxa"/>
          </w:tcPr>
          <w:p>
            <w:pPr>
              <w:pStyle w:val="TableParagraph"/>
              <w:spacing w:before="39"/>
              <w:ind w:left="136" w:right="119"/>
              <w:jc w:val="center"/>
              <w:rPr>
                <w:sz w:val="22"/>
              </w:rPr>
            </w:pPr>
            <w:r>
              <w:rPr>
                <w:sz w:val="22"/>
              </w:rPr>
              <w:t>18,6</w:t>
            </w:r>
          </w:p>
        </w:tc>
        <w:tc>
          <w:tcPr>
            <w:tcW w:w="917" w:type="dxa"/>
          </w:tcPr>
          <w:p>
            <w:pPr>
              <w:pStyle w:val="TableParagraph"/>
              <w:spacing w:before="39"/>
              <w:ind w:left="135" w:right="122"/>
              <w:jc w:val="center"/>
              <w:rPr>
                <w:sz w:val="22"/>
              </w:rPr>
            </w:pPr>
            <w:r>
              <w:rPr>
                <w:sz w:val="22"/>
              </w:rPr>
              <w:t>26,9</w:t>
            </w:r>
          </w:p>
        </w:tc>
        <w:tc>
          <w:tcPr>
            <w:tcW w:w="912" w:type="dxa"/>
          </w:tcPr>
          <w:p>
            <w:pPr>
              <w:pStyle w:val="TableParagraph"/>
              <w:spacing w:before="53"/>
              <w:ind w:left="134" w:right="121"/>
              <w:jc w:val="center"/>
              <w:rPr>
                <w:sz w:val="20"/>
              </w:rPr>
            </w:pPr>
            <w:r>
              <w:rPr>
                <w:sz w:val="20"/>
              </w:rPr>
              <w:t>25,1</w:t>
            </w:r>
          </w:p>
        </w:tc>
        <w:tc>
          <w:tcPr>
            <w:tcW w:w="921" w:type="dxa"/>
          </w:tcPr>
          <w:p>
            <w:pPr>
              <w:pStyle w:val="TableParagraph"/>
              <w:spacing w:before="53"/>
              <w:ind w:left="234" w:right="220"/>
              <w:jc w:val="center"/>
              <w:rPr>
                <w:sz w:val="20"/>
              </w:rPr>
            </w:pPr>
            <w:r>
              <w:rPr>
                <w:sz w:val="20"/>
              </w:rPr>
              <w:t>14,2</w:t>
            </w:r>
          </w:p>
        </w:tc>
      </w:tr>
      <w:tr>
        <w:trPr>
          <w:trHeight w:val="508" w:hRule="atLeast"/>
        </w:trPr>
        <w:tc>
          <w:tcPr>
            <w:tcW w:w="1935" w:type="dxa"/>
          </w:tcPr>
          <w:p>
            <w:pPr>
              <w:pStyle w:val="TableParagraph"/>
              <w:spacing w:line="249" w:lineRule="exact"/>
              <w:ind w:left="297"/>
              <w:rPr>
                <w:sz w:val="22"/>
              </w:rPr>
            </w:pPr>
            <w:r>
              <w:rPr>
                <w:sz w:val="22"/>
              </w:rPr>
              <w:t>Велика рогата</w:t>
            </w:r>
          </w:p>
          <w:p>
            <w:pPr>
              <w:pStyle w:val="TableParagraph"/>
              <w:spacing w:line="238" w:lineRule="exact" w:before="1"/>
              <w:ind w:left="215"/>
              <w:rPr>
                <w:sz w:val="22"/>
              </w:rPr>
            </w:pPr>
            <w:r>
              <w:rPr>
                <w:sz w:val="22"/>
              </w:rPr>
              <w:t>худоба на м’ясо</w:t>
            </w:r>
          </w:p>
        </w:tc>
        <w:tc>
          <w:tcPr>
            <w:tcW w:w="1099" w:type="dxa"/>
          </w:tcPr>
          <w:p>
            <w:pPr>
              <w:pStyle w:val="TableParagraph"/>
              <w:spacing w:before="121"/>
              <w:ind w:left="221" w:right="216"/>
              <w:jc w:val="center"/>
              <w:rPr>
                <w:sz w:val="22"/>
              </w:rPr>
            </w:pPr>
            <w:r>
              <w:rPr>
                <w:sz w:val="22"/>
              </w:rPr>
              <w:t>–28,3</w:t>
            </w:r>
          </w:p>
        </w:tc>
        <w:tc>
          <w:tcPr>
            <w:tcW w:w="912" w:type="dxa"/>
          </w:tcPr>
          <w:p>
            <w:pPr>
              <w:pStyle w:val="TableParagraph"/>
              <w:spacing w:before="121"/>
              <w:ind w:right="193"/>
              <w:jc w:val="right"/>
              <w:rPr>
                <w:sz w:val="22"/>
              </w:rPr>
            </w:pPr>
            <w:r>
              <w:rPr>
                <w:sz w:val="22"/>
              </w:rPr>
              <w:t>–41,3</w:t>
            </w:r>
          </w:p>
        </w:tc>
        <w:tc>
          <w:tcPr>
            <w:tcW w:w="917" w:type="dxa"/>
          </w:tcPr>
          <w:p>
            <w:pPr>
              <w:pStyle w:val="TableParagraph"/>
              <w:spacing w:before="121"/>
              <w:ind w:left="132" w:right="126"/>
              <w:jc w:val="center"/>
              <w:rPr>
                <w:sz w:val="22"/>
              </w:rPr>
            </w:pPr>
            <w:r>
              <w:rPr>
                <w:sz w:val="22"/>
              </w:rPr>
              <w:t>–34,5</w:t>
            </w:r>
          </w:p>
        </w:tc>
        <w:tc>
          <w:tcPr>
            <w:tcW w:w="917" w:type="dxa"/>
          </w:tcPr>
          <w:p>
            <w:pPr>
              <w:pStyle w:val="TableParagraph"/>
              <w:spacing w:before="121"/>
              <w:ind w:left="133" w:right="126"/>
              <w:jc w:val="center"/>
              <w:rPr>
                <w:sz w:val="22"/>
              </w:rPr>
            </w:pPr>
            <w:r>
              <w:rPr>
                <w:sz w:val="22"/>
              </w:rPr>
              <w:t>–16,9</w:t>
            </w:r>
          </w:p>
        </w:tc>
        <w:tc>
          <w:tcPr>
            <w:tcW w:w="912" w:type="dxa"/>
          </w:tcPr>
          <w:p>
            <w:pPr>
              <w:pStyle w:val="TableParagraph"/>
              <w:spacing w:before="121"/>
              <w:ind w:left="133" w:right="121"/>
              <w:jc w:val="center"/>
              <w:rPr>
                <w:sz w:val="22"/>
              </w:rPr>
            </w:pPr>
            <w:r>
              <w:rPr>
                <w:sz w:val="22"/>
              </w:rPr>
              <w:t>–23,2</w:t>
            </w:r>
          </w:p>
        </w:tc>
        <w:tc>
          <w:tcPr>
            <w:tcW w:w="917" w:type="dxa"/>
          </w:tcPr>
          <w:p>
            <w:pPr>
              <w:pStyle w:val="TableParagraph"/>
              <w:spacing w:before="121"/>
              <w:ind w:left="134" w:right="126"/>
              <w:jc w:val="center"/>
              <w:rPr>
                <w:sz w:val="22"/>
              </w:rPr>
            </w:pPr>
            <w:r>
              <w:rPr>
                <w:sz w:val="22"/>
              </w:rPr>
              <w:t>3,4</w:t>
            </w:r>
          </w:p>
        </w:tc>
        <w:tc>
          <w:tcPr>
            <w:tcW w:w="912" w:type="dxa"/>
          </w:tcPr>
          <w:p>
            <w:pPr>
              <w:pStyle w:val="TableParagraph"/>
              <w:spacing w:before="134"/>
              <w:ind w:left="8"/>
              <w:jc w:val="center"/>
              <w:rPr>
                <w:sz w:val="20"/>
              </w:rPr>
            </w:pPr>
            <w:r>
              <w:rPr>
                <w:w w:val="100"/>
                <w:sz w:val="20"/>
              </w:rPr>
              <w:t>х</w:t>
            </w:r>
          </w:p>
        </w:tc>
        <w:tc>
          <w:tcPr>
            <w:tcW w:w="921" w:type="dxa"/>
          </w:tcPr>
          <w:p>
            <w:pPr>
              <w:pStyle w:val="TableParagraph"/>
              <w:spacing w:before="134"/>
              <w:ind w:left="10"/>
              <w:jc w:val="center"/>
              <w:rPr>
                <w:sz w:val="20"/>
              </w:rPr>
            </w:pPr>
            <w:r>
              <w:rPr>
                <w:w w:val="100"/>
                <w:sz w:val="20"/>
              </w:rPr>
              <w:t>х</w:t>
            </w:r>
          </w:p>
        </w:tc>
      </w:tr>
      <w:tr>
        <w:trPr>
          <w:trHeight w:val="412" w:hRule="atLeast"/>
        </w:trPr>
        <w:tc>
          <w:tcPr>
            <w:tcW w:w="1935" w:type="dxa"/>
          </w:tcPr>
          <w:p>
            <w:pPr>
              <w:pStyle w:val="TableParagraph"/>
              <w:spacing w:before="73"/>
              <w:ind w:left="116" w:right="108"/>
              <w:jc w:val="center"/>
              <w:rPr>
                <w:sz w:val="22"/>
              </w:rPr>
            </w:pPr>
            <w:r>
              <w:rPr>
                <w:sz w:val="22"/>
              </w:rPr>
              <w:t>Свині на м’ясо</w:t>
            </w:r>
          </w:p>
        </w:tc>
        <w:tc>
          <w:tcPr>
            <w:tcW w:w="1099" w:type="dxa"/>
          </w:tcPr>
          <w:p>
            <w:pPr>
              <w:pStyle w:val="TableParagraph"/>
              <w:spacing w:before="73"/>
              <w:ind w:left="221" w:right="216"/>
              <w:jc w:val="center"/>
              <w:rPr>
                <w:sz w:val="22"/>
              </w:rPr>
            </w:pPr>
            <w:r>
              <w:rPr>
                <w:sz w:val="22"/>
              </w:rPr>
              <w:t>1,8</w:t>
            </w:r>
          </w:p>
        </w:tc>
        <w:tc>
          <w:tcPr>
            <w:tcW w:w="912" w:type="dxa"/>
          </w:tcPr>
          <w:p>
            <w:pPr>
              <w:pStyle w:val="TableParagraph"/>
              <w:spacing w:before="73"/>
              <w:ind w:left="132" w:right="121"/>
              <w:jc w:val="center"/>
              <w:rPr>
                <w:sz w:val="22"/>
              </w:rPr>
            </w:pPr>
            <w:r>
              <w:rPr>
                <w:sz w:val="22"/>
              </w:rPr>
              <w:t>0,2</w:t>
            </w:r>
          </w:p>
        </w:tc>
        <w:tc>
          <w:tcPr>
            <w:tcW w:w="917" w:type="dxa"/>
          </w:tcPr>
          <w:p>
            <w:pPr>
              <w:pStyle w:val="TableParagraph"/>
              <w:spacing w:before="73"/>
              <w:ind w:left="132" w:right="126"/>
              <w:jc w:val="center"/>
              <w:rPr>
                <w:sz w:val="22"/>
              </w:rPr>
            </w:pPr>
            <w:r>
              <w:rPr>
                <w:sz w:val="22"/>
              </w:rPr>
              <w:t>5,6</w:t>
            </w:r>
          </w:p>
        </w:tc>
        <w:tc>
          <w:tcPr>
            <w:tcW w:w="917" w:type="dxa"/>
          </w:tcPr>
          <w:p>
            <w:pPr>
              <w:pStyle w:val="TableParagraph"/>
              <w:spacing w:before="73"/>
              <w:ind w:left="135" w:right="124"/>
              <w:jc w:val="center"/>
              <w:rPr>
                <w:sz w:val="22"/>
              </w:rPr>
            </w:pPr>
            <w:r>
              <w:rPr>
                <w:sz w:val="22"/>
              </w:rPr>
              <w:t>12,6</w:t>
            </w:r>
          </w:p>
        </w:tc>
        <w:tc>
          <w:tcPr>
            <w:tcW w:w="912" w:type="dxa"/>
          </w:tcPr>
          <w:p>
            <w:pPr>
              <w:pStyle w:val="TableParagraph"/>
              <w:spacing w:before="73"/>
              <w:ind w:left="136" w:right="119"/>
              <w:jc w:val="center"/>
              <w:rPr>
                <w:sz w:val="22"/>
              </w:rPr>
            </w:pPr>
            <w:r>
              <w:rPr>
                <w:sz w:val="22"/>
              </w:rPr>
              <w:t>–4,1</w:t>
            </w:r>
          </w:p>
        </w:tc>
        <w:tc>
          <w:tcPr>
            <w:tcW w:w="917" w:type="dxa"/>
          </w:tcPr>
          <w:p>
            <w:pPr>
              <w:pStyle w:val="TableParagraph"/>
              <w:spacing w:before="73"/>
              <w:ind w:left="134" w:right="126"/>
              <w:jc w:val="center"/>
              <w:rPr>
                <w:sz w:val="22"/>
              </w:rPr>
            </w:pPr>
            <w:r>
              <w:rPr>
                <w:sz w:val="22"/>
              </w:rPr>
              <w:t>3,5</w:t>
            </w:r>
          </w:p>
        </w:tc>
        <w:tc>
          <w:tcPr>
            <w:tcW w:w="912" w:type="dxa"/>
          </w:tcPr>
          <w:p>
            <w:pPr>
              <w:pStyle w:val="TableParagraph"/>
              <w:spacing w:before="87"/>
              <w:ind w:left="136" w:right="118"/>
              <w:jc w:val="center"/>
              <w:rPr>
                <w:sz w:val="20"/>
              </w:rPr>
            </w:pPr>
            <w:r>
              <w:rPr>
                <w:sz w:val="20"/>
              </w:rPr>
              <w:t>1,7</w:t>
            </w:r>
          </w:p>
        </w:tc>
        <w:tc>
          <w:tcPr>
            <w:tcW w:w="921" w:type="dxa"/>
          </w:tcPr>
          <w:p>
            <w:pPr>
              <w:pStyle w:val="TableParagraph"/>
              <w:spacing w:before="87"/>
              <w:ind w:left="229" w:right="220"/>
              <w:jc w:val="center"/>
              <w:rPr>
                <w:sz w:val="20"/>
              </w:rPr>
            </w:pPr>
            <w:r>
              <w:rPr>
                <w:sz w:val="20"/>
              </w:rPr>
              <w:t>-9,1</w:t>
            </w:r>
          </w:p>
        </w:tc>
      </w:tr>
      <w:tr>
        <w:trPr>
          <w:trHeight w:val="508" w:hRule="atLeast"/>
        </w:trPr>
        <w:tc>
          <w:tcPr>
            <w:tcW w:w="1935" w:type="dxa"/>
          </w:tcPr>
          <w:p>
            <w:pPr>
              <w:pStyle w:val="TableParagraph"/>
              <w:spacing w:line="249" w:lineRule="exact"/>
              <w:ind w:left="116" w:right="113"/>
              <w:jc w:val="center"/>
              <w:rPr>
                <w:sz w:val="22"/>
              </w:rPr>
            </w:pPr>
            <w:r>
              <w:rPr>
                <w:sz w:val="22"/>
              </w:rPr>
              <w:t>Вівці та кози на</w:t>
            </w:r>
          </w:p>
          <w:p>
            <w:pPr>
              <w:pStyle w:val="TableParagraph"/>
              <w:spacing w:line="238" w:lineRule="exact" w:before="1"/>
              <w:ind w:left="115" w:right="115"/>
              <w:jc w:val="center"/>
              <w:rPr>
                <w:sz w:val="22"/>
              </w:rPr>
            </w:pPr>
            <w:r>
              <w:rPr>
                <w:sz w:val="22"/>
              </w:rPr>
              <w:t>м’ясо</w:t>
            </w:r>
          </w:p>
        </w:tc>
        <w:tc>
          <w:tcPr>
            <w:tcW w:w="1099" w:type="dxa"/>
          </w:tcPr>
          <w:p>
            <w:pPr>
              <w:pStyle w:val="TableParagraph"/>
              <w:spacing w:before="121"/>
              <w:ind w:left="221" w:right="216"/>
              <w:jc w:val="center"/>
              <w:rPr>
                <w:sz w:val="22"/>
              </w:rPr>
            </w:pPr>
            <w:r>
              <w:rPr>
                <w:sz w:val="22"/>
              </w:rPr>
              <w:t>–32,8</w:t>
            </w:r>
          </w:p>
        </w:tc>
        <w:tc>
          <w:tcPr>
            <w:tcW w:w="912" w:type="dxa"/>
          </w:tcPr>
          <w:p>
            <w:pPr>
              <w:pStyle w:val="TableParagraph"/>
              <w:spacing w:before="121"/>
              <w:ind w:right="193"/>
              <w:jc w:val="right"/>
              <w:rPr>
                <w:sz w:val="22"/>
              </w:rPr>
            </w:pPr>
            <w:r>
              <w:rPr>
                <w:sz w:val="22"/>
              </w:rPr>
              <w:t>–36,2</w:t>
            </w:r>
          </w:p>
        </w:tc>
        <w:tc>
          <w:tcPr>
            <w:tcW w:w="917" w:type="dxa"/>
          </w:tcPr>
          <w:p>
            <w:pPr>
              <w:pStyle w:val="TableParagraph"/>
              <w:spacing w:before="121"/>
              <w:ind w:left="132" w:right="126"/>
              <w:jc w:val="center"/>
              <w:rPr>
                <w:sz w:val="22"/>
              </w:rPr>
            </w:pPr>
            <w:r>
              <w:rPr>
                <w:sz w:val="22"/>
              </w:rPr>
              <w:t>–43,0</w:t>
            </w:r>
          </w:p>
        </w:tc>
        <w:tc>
          <w:tcPr>
            <w:tcW w:w="917" w:type="dxa"/>
          </w:tcPr>
          <w:p>
            <w:pPr>
              <w:pStyle w:val="TableParagraph"/>
              <w:spacing w:before="121"/>
              <w:ind w:left="133" w:right="126"/>
              <w:jc w:val="center"/>
              <w:rPr>
                <w:sz w:val="22"/>
              </w:rPr>
            </w:pPr>
            <w:r>
              <w:rPr>
                <w:sz w:val="22"/>
              </w:rPr>
              <w:t>–26,6</w:t>
            </w:r>
          </w:p>
        </w:tc>
        <w:tc>
          <w:tcPr>
            <w:tcW w:w="912" w:type="dxa"/>
          </w:tcPr>
          <w:p>
            <w:pPr>
              <w:pStyle w:val="TableParagraph"/>
              <w:spacing w:before="121"/>
              <w:ind w:left="133" w:right="121"/>
              <w:jc w:val="center"/>
              <w:rPr>
                <w:sz w:val="22"/>
              </w:rPr>
            </w:pPr>
            <w:r>
              <w:rPr>
                <w:sz w:val="22"/>
              </w:rPr>
              <w:t>–31,5</w:t>
            </w:r>
          </w:p>
        </w:tc>
        <w:tc>
          <w:tcPr>
            <w:tcW w:w="917" w:type="dxa"/>
          </w:tcPr>
          <w:p>
            <w:pPr>
              <w:pStyle w:val="TableParagraph"/>
              <w:spacing w:before="121"/>
              <w:ind w:left="134" w:right="126"/>
              <w:jc w:val="center"/>
              <w:rPr>
                <w:sz w:val="22"/>
              </w:rPr>
            </w:pPr>
            <w:r>
              <w:rPr>
                <w:sz w:val="22"/>
              </w:rPr>
              <w:t>–39,6</w:t>
            </w:r>
          </w:p>
        </w:tc>
        <w:tc>
          <w:tcPr>
            <w:tcW w:w="912" w:type="dxa"/>
          </w:tcPr>
          <w:p>
            <w:pPr>
              <w:pStyle w:val="TableParagraph"/>
              <w:spacing w:before="134"/>
              <w:ind w:left="8"/>
              <w:jc w:val="center"/>
              <w:rPr>
                <w:sz w:val="20"/>
              </w:rPr>
            </w:pPr>
            <w:r>
              <w:rPr>
                <w:w w:val="100"/>
                <w:sz w:val="20"/>
              </w:rPr>
              <w:t>х</w:t>
            </w:r>
          </w:p>
        </w:tc>
        <w:tc>
          <w:tcPr>
            <w:tcW w:w="921" w:type="dxa"/>
          </w:tcPr>
          <w:p>
            <w:pPr>
              <w:pStyle w:val="TableParagraph"/>
              <w:spacing w:before="134"/>
              <w:ind w:left="10"/>
              <w:jc w:val="center"/>
              <w:rPr>
                <w:sz w:val="20"/>
              </w:rPr>
            </w:pPr>
            <w:r>
              <w:rPr>
                <w:w w:val="100"/>
                <w:sz w:val="20"/>
              </w:rPr>
              <w:t>х</w:t>
            </w:r>
          </w:p>
        </w:tc>
      </w:tr>
      <w:tr>
        <w:trPr>
          <w:trHeight w:val="412" w:hRule="atLeast"/>
        </w:trPr>
        <w:tc>
          <w:tcPr>
            <w:tcW w:w="1935" w:type="dxa"/>
          </w:tcPr>
          <w:p>
            <w:pPr>
              <w:pStyle w:val="TableParagraph"/>
              <w:spacing w:before="73"/>
              <w:ind w:left="116" w:right="113"/>
              <w:jc w:val="center"/>
              <w:rPr>
                <w:sz w:val="22"/>
              </w:rPr>
            </w:pPr>
            <w:r>
              <w:rPr>
                <w:sz w:val="22"/>
              </w:rPr>
              <w:t>Птиця на м’ясо</w:t>
            </w:r>
          </w:p>
        </w:tc>
        <w:tc>
          <w:tcPr>
            <w:tcW w:w="1099" w:type="dxa"/>
          </w:tcPr>
          <w:p>
            <w:pPr>
              <w:pStyle w:val="TableParagraph"/>
              <w:spacing w:before="73"/>
              <w:ind w:left="221" w:right="221"/>
              <w:jc w:val="center"/>
              <w:rPr>
                <w:sz w:val="22"/>
              </w:rPr>
            </w:pPr>
            <w:r>
              <w:rPr>
                <w:sz w:val="22"/>
              </w:rPr>
              <w:t>–2,4</w:t>
            </w:r>
          </w:p>
        </w:tc>
        <w:tc>
          <w:tcPr>
            <w:tcW w:w="912" w:type="dxa"/>
          </w:tcPr>
          <w:p>
            <w:pPr>
              <w:pStyle w:val="TableParagraph"/>
              <w:spacing w:before="73"/>
              <w:ind w:right="246"/>
              <w:jc w:val="right"/>
              <w:rPr>
                <w:sz w:val="22"/>
              </w:rPr>
            </w:pPr>
            <w:r>
              <w:rPr>
                <w:sz w:val="22"/>
              </w:rPr>
              <w:t>–5,9</w:t>
            </w:r>
          </w:p>
        </w:tc>
        <w:tc>
          <w:tcPr>
            <w:tcW w:w="917" w:type="dxa"/>
          </w:tcPr>
          <w:p>
            <w:pPr>
              <w:pStyle w:val="TableParagraph"/>
              <w:spacing w:before="73"/>
              <w:ind w:left="132" w:right="126"/>
              <w:jc w:val="center"/>
              <w:rPr>
                <w:sz w:val="22"/>
              </w:rPr>
            </w:pPr>
            <w:r>
              <w:rPr>
                <w:sz w:val="22"/>
              </w:rPr>
              <w:t>–12,6</w:t>
            </w:r>
          </w:p>
        </w:tc>
        <w:tc>
          <w:tcPr>
            <w:tcW w:w="917" w:type="dxa"/>
          </w:tcPr>
          <w:p>
            <w:pPr>
              <w:pStyle w:val="TableParagraph"/>
              <w:spacing w:before="73"/>
              <w:ind w:left="135" w:right="124"/>
              <w:jc w:val="center"/>
              <w:rPr>
                <w:sz w:val="22"/>
              </w:rPr>
            </w:pPr>
            <w:r>
              <w:rPr>
                <w:sz w:val="22"/>
              </w:rPr>
              <w:t>–5,4</w:t>
            </w:r>
          </w:p>
        </w:tc>
        <w:tc>
          <w:tcPr>
            <w:tcW w:w="912" w:type="dxa"/>
          </w:tcPr>
          <w:p>
            <w:pPr>
              <w:pStyle w:val="TableParagraph"/>
              <w:spacing w:before="73"/>
              <w:ind w:left="133" w:right="121"/>
              <w:jc w:val="center"/>
              <w:rPr>
                <w:sz w:val="22"/>
              </w:rPr>
            </w:pPr>
            <w:r>
              <w:rPr>
                <w:sz w:val="22"/>
              </w:rPr>
              <w:t>3,4</w:t>
            </w:r>
          </w:p>
        </w:tc>
        <w:tc>
          <w:tcPr>
            <w:tcW w:w="917" w:type="dxa"/>
          </w:tcPr>
          <w:p>
            <w:pPr>
              <w:pStyle w:val="TableParagraph"/>
              <w:spacing w:before="73"/>
              <w:ind w:left="4"/>
              <w:jc w:val="center"/>
              <w:rPr>
                <w:sz w:val="22"/>
              </w:rPr>
            </w:pPr>
            <w:r>
              <w:rPr>
                <w:w w:val="100"/>
                <w:sz w:val="22"/>
              </w:rPr>
              <w:t>7</w:t>
            </w:r>
          </w:p>
        </w:tc>
        <w:tc>
          <w:tcPr>
            <w:tcW w:w="912" w:type="dxa"/>
          </w:tcPr>
          <w:p>
            <w:pPr>
              <w:pStyle w:val="TableParagraph"/>
              <w:spacing w:before="86"/>
              <w:ind w:left="8"/>
              <w:jc w:val="center"/>
              <w:rPr>
                <w:sz w:val="20"/>
              </w:rPr>
            </w:pPr>
            <w:r>
              <w:rPr>
                <w:w w:val="100"/>
                <w:sz w:val="20"/>
              </w:rPr>
              <w:t>х</w:t>
            </w:r>
          </w:p>
        </w:tc>
        <w:tc>
          <w:tcPr>
            <w:tcW w:w="921" w:type="dxa"/>
          </w:tcPr>
          <w:p>
            <w:pPr>
              <w:pStyle w:val="TableParagraph"/>
              <w:spacing w:before="86"/>
              <w:ind w:left="10"/>
              <w:jc w:val="center"/>
              <w:rPr>
                <w:sz w:val="20"/>
              </w:rPr>
            </w:pPr>
            <w:r>
              <w:rPr>
                <w:w w:val="100"/>
                <w:sz w:val="20"/>
              </w:rPr>
              <w:t>х</w:t>
            </w:r>
          </w:p>
        </w:tc>
      </w:tr>
      <w:tr>
        <w:trPr>
          <w:trHeight w:val="417" w:hRule="atLeast"/>
        </w:trPr>
        <w:tc>
          <w:tcPr>
            <w:tcW w:w="1935" w:type="dxa"/>
          </w:tcPr>
          <w:p>
            <w:pPr>
              <w:pStyle w:val="TableParagraph"/>
              <w:spacing w:before="77"/>
              <w:ind w:left="115" w:right="115"/>
              <w:jc w:val="center"/>
              <w:rPr>
                <w:sz w:val="22"/>
              </w:rPr>
            </w:pPr>
            <w:r>
              <w:rPr>
                <w:sz w:val="22"/>
              </w:rPr>
              <w:t>Яйця курячі</w:t>
            </w:r>
          </w:p>
        </w:tc>
        <w:tc>
          <w:tcPr>
            <w:tcW w:w="1099" w:type="dxa"/>
          </w:tcPr>
          <w:p>
            <w:pPr>
              <w:pStyle w:val="TableParagraph"/>
              <w:spacing w:before="77"/>
              <w:ind w:left="221" w:right="221"/>
              <w:jc w:val="center"/>
              <w:rPr>
                <w:sz w:val="22"/>
              </w:rPr>
            </w:pPr>
            <w:r>
              <w:rPr>
                <w:sz w:val="22"/>
              </w:rPr>
              <w:t>52,6</w:t>
            </w:r>
          </w:p>
        </w:tc>
        <w:tc>
          <w:tcPr>
            <w:tcW w:w="912" w:type="dxa"/>
          </w:tcPr>
          <w:p>
            <w:pPr>
              <w:pStyle w:val="TableParagraph"/>
              <w:spacing w:before="77"/>
              <w:ind w:right="246"/>
              <w:jc w:val="right"/>
              <w:rPr>
                <w:sz w:val="22"/>
              </w:rPr>
            </w:pPr>
            <w:r>
              <w:rPr>
                <w:sz w:val="22"/>
              </w:rPr>
              <w:t>47,6</w:t>
            </w:r>
          </w:p>
        </w:tc>
        <w:tc>
          <w:tcPr>
            <w:tcW w:w="917" w:type="dxa"/>
          </w:tcPr>
          <w:p>
            <w:pPr>
              <w:pStyle w:val="TableParagraph"/>
              <w:spacing w:before="77"/>
              <w:ind w:left="135" w:right="124"/>
              <w:jc w:val="center"/>
              <w:rPr>
                <w:sz w:val="22"/>
              </w:rPr>
            </w:pPr>
            <w:r>
              <w:rPr>
                <w:sz w:val="22"/>
              </w:rPr>
              <w:t>58,8</w:t>
            </w:r>
          </w:p>
        </w:tc>
        <w:tc>
          <w:tcPr>
            <w:tcW w:w="917" w:type="dxa"/>
          </w:tcPr>
          <w:p>
            <w:pPr>
              <w:pStyle w:val="TableParagraph"/>
              <w:spacing w:before="77"/>
              <w:ind w:left="135" w:right="124"/>
              <w:jc w:val="center"/>
              <w:rPr>
                <w:sz w:val="22"/>
              </w:rPr>
            </w:pPr>
            <w:r>
              <w:rPr>
                <w:sz w:val="22"/>
              </w:rPr>
              <w:t>60,9</w:t>
            </w:r>
          </w:p>
        </w:tc>
        <w:tc>
          <w:tcPr>
            <w:tcW w:w="912" w:type="dxa"/>
          </w:tcPr>
          <w:p>
            <w:pPr>
              <w:pStyle w:val="TableParagraph"/>
              <w:spacing w:before="77"/>
              <w:ind w:left="133" w:right="121"/>
              <w:jc w:val="center"/>
              <w:rPr>
                <w:sz w:val="22"/>
              </w:rPr>
            </w:pPr>
            <w:r>
              <w:rPr>
                <w:sz w:val="22"/>
              </w:rPr>
              <w:t>0,5</w:t>
            </w:r>
          </w:p>
        </w:tc>
        <w:tc>
          <w:tcPr>
            <w:tcW w:w="917" w:type="dxa"/>
          </w:tcPr>
          <w:p>
            <w:pPr>
              <w:pStyle w:val="TableParagraph"/>
              <w:spacing w:before="77"/>
              <w:ind w:left="135" w:right="122"/>
              <w:jc w:val="center"/>
              <w:rPr>
                <w:sz w:val="22"/>
              </w:rPr>
            </w:pPr>
            <w:r>
              <w:rPr>
                <w:sz w:val="22"/>
              </w:rPr>
              <w:t>–9,0</w:t>
            </w:r>
          </w:p>
        </w:tc>
        <w:tc>
          <w:tcPr>
            <w:tcW w:w="912" w:type="dxa"/>
          </w:tcPr>
          <w:p>
            <w:pPr>
              <w:pStyle w:val="TableParagraph"/>
              <w:spacing w:before="86"/>
              <w:ind w:left="8"/>
              <w:jc w:val="center"/>
              <w:rPr>
                <w:sz w:val="20"/>
              </w:rPr>
            </w:pPr>
            <w:r>
              <w:rPr>
                <w:w w:val="100"/>
                <w:sz w:val="20"/>
              </w:rPr>
              <w:t>х</w:t>
            </w:r>
          </w:p>
        </w:tc>
        <w:tc>
          <w:tcPr>
            <w:tcW w:w="921" w:type="dxa"/>
          </w:tcPr>
          <w:p>
            <w:pPr>
              <w:pStyle w:val="TableParagraph"/>
              <w:spacing w:before="86"/>
              <w:ind w:left="10"/>
              <w:jc w:val="center"/>
              <w:rPr>
                <w:sz w:val="20"/>
              </w:rPr>
            </w:pPr>
            <w:r>
              <w:rPr>
                <w:w w:val="100"/>
                <w:sz w:val="20"/>
              </w:rPr>
              <w:t>х</w:t>
            </w:r>
          </w:p>
        </w:tc>
      </w:tr>
      <w:tr>
        <w:trPr>
          <w:trHeight w:val="292" w:hRule="atLeast"/>
        </w:trPr>
        <w:tc>
          <w:tcPr>
            <w:tcW w:w="1935" w:type="dxa"/>
          </w:tcPr>
          <w:p>
            <w:pPr>
              <w:pStyle w:val="TableParagraph"/>
              <w:rPr>
                <w:sz w:val="20"/>
              </w:rPr>
            </w:pPr>
          </w:p>
        </w:tc>
        <w:tc>
          <w:tcPr>
            <w:tcW w:w="7507" w:type="dxa"/>
            <w:gridSpan w:val="8"/>
          </w:tcPr>
          <w:p>
            <w:pPr>
              <w:pStyle w:val="TableParagraph"/>
              <w:spacing w:before="24"/>
              <w:ind w:left="1634" w:right="1634"/>
              <w:jc w:val="center"/>
              <w:rPr>
                <w:sz w:val="20"/>
              </w:rPr>
            </w:pPr>
            <w:r>
              <w:rPr>
                <w:sz w:val="20"/>
              </w:rPr>
              <w:t>Фермерські господарства</w:t>
            </w:r>
          </w:p>
        </w:tc>
      </w:tr>
      <w:tr>
        <w:trPr>
          <w:trHeight w:val="522" w:hRule="atLeast"/>
        </w:trPr>
        <w:tc>
          <w:tcPr>
            <w:tcW w:w="1935" w:type="dxa"/>
          </w:tcPr>
          <w:p>
            <w:pPr>
              <w:pStyle w:val="TableParagraph"/>
              <w:spacing w:line="250" w:lineRule="exact" w:before="11"/>
              <w:ind w:left="273" w:hanging="130"/>
              <w:rPr>
                <w:sz w:val="22"/>
              </w:rPr>
            </w:pPr>
            <w:r>
              <w:rPr>
                <w:sz w:val="22"/>
              </w:rPr>
              <w:t>Культури зернові та зернобобові</w:t>
            </w:r>
          </w:p>
        </w:tc>
        <w:tc>
          <w:tcPr>
            <w:tcW w:w="1099" w:type="dxa"/>
          </w:tcPr>
          <w:p>
            <w:pPr>
              <w:pStyle w:val="TableParagraph"/>
              <w:spacing w:before="130"/>
              <w:ind w:left="221" w:right="221"/>
              <w:jc w:val="center"/>
              <w:rPr>
                <w:sz w:val="22"/>
              </w:rPr>
            </w:pPr>
            <w:r>
              <w:rPr>
                <w:sz w:val="22"/>
              </w:rPr>
              <w:t>19,5</w:t>
            </w:r>
          </w:p>
        </w:tc>
        <w:tc>
          <w:tcPr>
            <w:tcW w:w="912" w:type="dxa"/>
          </w:tcPr>
          <w:p>
            <w:pPr>
              <w:pStyle w:val="TableParagraph"/>
              <w:spacing w:before="130"/>
              <w:ind w:left="132" w:right="121"/>
              <w:jc w:val="center"/>
              <w:rPr>
                <w:sz w:val="22"/>
              </w:rPr>
            </w:pPr>
            <w:r>
              <w:rPr>
                <w:sz w:val="22"/>
              </w:rPr>
              <w:t>9,3</w:t>
            </w:r>
          </w:p>
        </w:tc>
        <w:tc>
          <w:tcPr>
            <w:tcW w:w="917" w:type="dxa"/>
          </w:tcPr>
          <w:p>
            <w:pPr>
              <w:pStyle w:val="TableParagraph"/>
              <w:spacing w:before="130"/>
              <w:ind w:left="135" w:right="124"/>
              <w:jc w:val="center"/>
              <w:rPr>
                <w:sz w:val="22"/>
              </w:rPr>
            </w:pPr>
            <w:r>
              <w:rPr>
                <w:sz w:val="22"/>
              </w:rPr>
              <w:t>24,2</w:t>
            </w:r>
          </w:p>
        </w:tc>
        <w:tc>
          <w:tcPr>
            <w:tcW w:w="917" w:type="dxa"/>
          </w:tcPr>
          <w:p>
            <w:pPr>
              <w:pStyle w:val="TableParagraph"/>
              <w:spacing w:before="130"/>
              <w:ind w:left="135" w:right="124"/>
              <w:jc w:val="center"/>
              <w:rPr>
                <w:sz w:val="22"/>
              </w:rPr>
            </w:pPr>
            <w:r>
              <w:rPr>
                <w:sz w:val="22"/>
              </w:rPr>
              <w:t>38,6</w:t>
            </w:r>
          </w:p>
        </w:tc>
        <w:tc>
          <w:tcPr>
            <w:tcW w:w="912" w:type="dxa"/>
          </w:tcPr>
          <w:p>
            <w:pPr>
              <w:pStyle w:val="TableParagraph"/>
              <w:spacing w:before="130"/>
              <w:ind w:left="133" w:right="121"/>
              <w:jc w:val="center"/>
              <w:rPr>
                <w:sz w:val="22"/>
              </w:rPr>
            </w:pPr>
            <w:r>
              <w:rPr>
                <w:sz w:val="22"/>
              </w:rPr>
              <w:t>38</w:t>
            </w:r>
          </w:p>
        </w:tc>
        <w:tc>
          <w:tcPr>
            <w:tcW w:w="917" w:type="dxa"/>
          </w:tcPr>
          <w:p>
            <w:pPr>
              <w:pStyle w:val="TableParagraph"/>
              <w:spacing w:before="130"/>
              <w:ind w:left="135" w:right="122"/>
              <w:jc w:val="center"/>
              <w:rPr>
                <w:sz w:val="22"/>
              </w:rPr>
            </w:pPr>
            <w:r>
              <w:rPr>
                <w:sz w:val="22"/>
              </w:rPr>
              <w:t>27,9</w:t>
            </w:r>
          </w:p>
        </w:tc>
        <w:tc>
          <w:tcPr>
            <w:tcW w:w="912" w:type="dxa"/>
          </w:tcPr>
          <w:p>
            <w:pPr>
              <w:pStyle w:val="TableParagraph"/>
              <w:spacing w:before="144"/>
              <w:ind w:left="136" w:right="118"/>
              <w:jc w:val="center"/>
              <w:rPr>
                <w:sz w:val="20"/>
              </w:rPr>
            </w:pPr>
            <w:r>
              <w:rPr>
                <w:sz w:val="20"/>
              </w:rPr>
              <w:t>8,4</w:t>
            </w:r>
          </w:p>
        </w:tc>
        <w:tc>
          <w:tcPr>
            <w:tcW w:w="921" w:type="dxa"/>
          </w:tcPr>
          <w:p>
            <w:pPr>
              <w:pStyle w:val="TableParagraph"/>
              <w:spacing w:before="144"/>
              <w:ind w:left="234" w:right="220"/>
              <w:jc w:val="center"/>
              <w:rPr>
                <w:sz w:val="20"/>
              </w:rPr>
            </w:pPr>
            <w:r>
              <w:rPr>
                <w:sz w:val="20"/>
              </w:rPr>
              <w:t>-10,7</w:t>
            </w:r>
          </w:p>
        </w:tc>
      </w:tr>
      <w:tr>
        <w:trPr>
          <w:trHeight w:val="345" w:hRule="atLeast"/>
        </w:trPr>
        <w:tc>
          <w:tcPr>
            <w:tcW w:w="1935" w:type="dxa"/>
          </w:tcPr>
          <w:p>
            <w:pPr>
              <w:pStyle w:val="TableParagraph"/>
              <w:spacing w:before="44"/>
              <w:ind w:left="116" w:right="112"/>
              <w:jc w:val="center"/>
              <w:rPr>
                <w:sz w:val="22"/>
              </w:rPr>
            </w:pPr>
            <w:r>
              <w:rPr>
                <w:sz w:val="22"/>
              </w:rPr>
              <w:t>Соняшник</w:t>
            </w:r>
          </w:p>
        </w:tc>
        <w:tc>
          <w:tcPr>
            <w:tcW w:w="1099" w:type="dxa"/>
          </w:tcPr>
          <w:p>
            <w:pPr>
              <w:pStyle w:val="TableParagraph"/>
              <w:spacing w:before="44"/>
              <w:ind w:left="221" w:right="221"/>
              <w:jc w:val="center"/>
              <w:rPr>
                <w:sz w:val="22"/>
              </w:rPr>
            </w:pPr>
            <w:r>
              <w:rPr>
                <w:sz w:val="22"/>
              </w:rPr>
              <w:t>45,4</w:t>
            </w:r>
          </w:p>
        </w:tc>
        <w:tc>
          <w:tcPr>
            <w:tcW w:w="912" w:type="dxa"/>
          </w:tcPr>
          <w:p>
            <w:pPr>
              <w:pStyle w:val="TableParagraph"/>
              <w:spacing w:before="44"/>
              <w:ind w:right="246"/>
              <w:jc w:val="right"/>
              <w:rPr>
                <w:sz w:val="22"/>
              </w:rPr>
            </w:pPr>
            <w:r>
              <w:rPr>
                <w:sz w:val="22"/>
              </w:rPr>
              <w:t>35,7</w:t>
            </w:r>
          </w:p>
        </w:tc>
        <w:tc>
          <w:tcPr>
            <w:tcW w:w="917" w:type="dxa"/>
          </w:tcPr>
          <w:p>
            <w:pPr>
              <w:pStyle w:val="TableParagraph"/>
              <w:spacing w:before="44"/>
              <w:ind w:left="135" w:right="124"/>
              <w:jc w:val="center"/>
              <w:rPr>
                <w:sz w:val="22"/>
              </w:rPr>
            </w:pPr>
            <w:r>
              <w:rPr>
                <w:sz w:val="22"/>
              </w:rPr>
              <w:t>40,2</w:t>
            </w:r>
          </w:p>
        </w:tc>
        <w:tc>
          <w:tcPr>
            <w:tcW w:w="917" w:type="dxa"/>
          </w:tcPr>
          <w:p>
            <w:pPr>
              <w:pStyle w:val="TableParagraph"/>
              <w:spacing w:before="44"/>
              <w:ind w:left="135" w:right="124"/>
              <w:jc w:val="center"/>
              <w:rPr>
                <w:sz w:val="22"/>
              </w:rPr>
            </w:pPr>
            <w:r>
              <w:rPr>
                <w:sz w:val="22"/>
              </w:rPr>
              <w:t>71,5</w:t>
            </w:r>
          </w:p>
        </w:tc>
        <w:tc>
          <w:tcPr>
            <w:tcW w:w="912" w:type="dxa"/>
          </w:tcPr>
          <w:p>
            <w:pPr>
              <w:pStyle w:val="TableParagraph"/>
              <w:spacing w:before="44"/>
              <w:ind w:left="136" w:right="119"/>
              <w:jc w:val="center"/>
              <w:rPr>
                <w:sz w:val="22"/>
              </w:rPr>
            </w:pPr>
            <w:r>
              <w:rPr>
                <w:sz w:val="22"/>
              </w:rPr>
              <w:t>64,4</w:t>
            </w:r>
          </w:p>
        </w:tc>
        <w:tc>
          <w:tcPr>
            <w:tcW w:w="917" w:type="dxa"/>
          </w:tcPr>
          <w:p>
            <w:pPr>
              <w:pStyle w:val="TableParagraph"/>
              <w:spacing w:before="44"/>
              <w:ind w:left="135" w:right="122"/>
              <w:jc w:val="center"/>
              <w:rPr>
                <w:sz w:val="22"/>
              </w:rPr>
            </w:pPr>
            <w:r>
              <w:rPr>
                <w:sz w:val="22"/>
              </w:rPr>
              <w:t>41,2</w:t>
            </w:r>
          </w:p>
        </w:tc>
        <w:tc>
          <w:tcPr>
            <w:tcW w:w="912" w:type="dxa"/>
          </w:tcPr>
          <w:p>
            <w:pPr>
              <w:pStyle w:val="TableParagraph"/>
              <w:spacing w:before="53"/>
              <w:ind w:left="136" w:right="118"/>
              <w:jc w:val="center"/>
              <w:rPr>
                <w:sz w:val="20"/>
              </w:rPr>
            </w:pPr>
            <w:r>
              <w:rPr>
                <w:sz w:val="20"/>
              </w:rPr>
              <w:t>-4,2</w:t>
            </w:r>
          </w:p>
        </w:tc>
        <w:tc>
          <w:tcPr>
            <w:tcW w:w="921" w:type="dxa"/>
          </w:tcPr>
          <w:p>
            <w:pPr>
              <w:pStyle w:val="TableParagraph"/>
              <w:spacing w:before="53"/>
              <w:ind w:left="234" w:right="220"/>
              <w:jc w:val="center"/>
              <w:rPr>
                <w:sz w:val="20"/>
              </w:rPr>
            </w:pPr>
            <w:r>
              <w:rPr>
                <w:sz w:val="20"/>
              </w:rPr>
              <w:t>-30,3</w:t>
            </w:r>
          </w:p>
        </w:tc>
      </w:tr>
      <w:tr>
        <w:trPr>
          <w:trHeight w:val="340" w:hRule="atLeast"/>
        </w:trPr>
        <w:tc>
          <w:tcPr>
            <w:tcW w:w="1935" w:type="dxa"/>
          </w:tcPr>
          <w:p>
            <w:pPr>
              <w:pStyle w:val="TableParagraph"/>
              <w:spacing w:before="39"/>
              <w:ind w:left="114" w:right="115"/>
              <w:jc w:val="center"/>
              <w:rPr>
                <w:sz w:val="22"/>
              </w:rPr>
            </w:pPr>
            <w:r>
              <w:rPr>
                <w:sz w:val="22"/>
              </w:rPr>
              <w:t>Буряки цукрові</w:t>
            </w:r>
          </w:p>
        </w:tc>
        <w:tc>
          <w:tcPr>
            <w:tcW w:w="1099" w:type="dxa"/>
          </w:tcPr>
          <w:p>
            <w:pPr>
              <w:pStyle w:val="TableParagraph"/>
              <w:spacing w:before="39"/>
              <w:ind w:left="221" w:right="221"/>
              <w:jc w:val="center"/>
              <w:rPr>
                <w:sz w:val="22"/>
              </w:rPr>
            </w:pPr>
            <w:r>
              <w:rPr>
                <w:sz w:val="22"/>
              </w:rPr>
              <w:t>14,2</w:t>
            </w:r>
          </w:p>
        </w:tc>
        <w:tc>
          <w:tcPr>
            <w:tcW w:w="912" w:type="dxa"/>
          </w:tcPr>
          <w:p>
            <w:pPr>
              <w:pStyle w:val="TableParagraph"/>
              <w:spacing w:before="39"/>
              <w:ind w:left="132" w:right="121"/>
              <w:jc w:val="center"/>
              <w:rPr>
                <w:sz w:val="22"/>
              </w:rPr>
            </w:pPr>
            <w:r>
              <w:rPr>
                <w:sz w:val="22"/>
              </w:rPr>
              <w:t>8,2</w:t>
            </w:r>
          </w:p>
        </w:tc>
        <w:tc>
          <w:tcPr>
            <w:tcW w:w="917" w:type="dxa"/>
          </w:tcPr>
          <w:p>
            <w:pPr>
              <w:pStyle w:val="TableParagraph"/>
              <w:spacing w:before="39"/>
              <w:ind w:left="135" w:right="124"/>
              <w:jc w:val="center"/>
              <w:rPr>
                <w:sz w:val="22"/>
              </w:rPr>
            </w:pPr>
            <w:r>
              <w:rPr>
                <w:sz w:val="22"/>
              </w:rPr>
              <w:t>20,9</w:t>
            </w:r>
          </w:p>
        </w:tc>
        <w:tc>
          <w:tcPr>
            <w:tcW w:w="917" w:type="dxa"/>
          </w:tcPr>
          <w:p>
            <w:pPr>
              <w:pStyle w:val="TableParagraph"/>
              <w:spacing w:before="39"/>
              <w:ind w:left="135" w:right="124"/>
              <w:jc w:val="center"/>
              <w:rPr>
                <w:sz w:val="22"/>
              </w:rPr>
            </w:pPr>
            <w:r>
              <w:rPr>
                <w:sz w:val="22"/>
              </w:rPr>
              <w:t>16,1</w:t>
            </w:r>
          </w:p>
        </w:tc>
        <w:tc>
          <w:tcPr>
            <w:tcW w:w="912" w:type="dxa"/>
          </w:tcPr>
          <w:p>
            <w:pPr>
              <w:pStyle w:val="TableParagraph"/>
              <w:spacing w:before="39"/>
              <w:ind w:left="136" w:right="119"/>
              <w:jc w:val="center"/>
              <w:rPr>
                <w:sz w:val="22"/>
              </w:rPr>
            </w:pPr>
            <w:r>
              <w:rPr>
                <w:sz w:val="22"/>
              </w:rPr>
              <w:t>32,7</w:t>
            </w:r>
          </w:p>
        </w:tc>
        <w:tc>
          <w:tcPr>
            <w:tcW w:w="917" w:type="dxa"/>
          </w:tcPr>
          <w:p>
            <w:pPr>
              <w:pStyle w:val="TableParagraph"/>
              <w:spacing w:before="39"/>
              <w:ind w:left="134" w:right="126"/>
              <w:jc w:val="center"/>
              <w:rPr>
                <w:sz w:val="22"/>
              </w:rPr>
            </w:pPr>
            <w:r>
              <w:rPr>
                <w:sz w:val="22"/>
              </w:rPr>
              <w:t>20</w:t>
            </w:r>
          </w:p>
        </w:tc>
        <w:tc>
          <w:tcPr>
            <w:tcW w:w="912" w:type="dxa"/>
          </w:tcPr>
          <w:p>
            <w:pPr>
              <w:pStyle w:val="TableParagraph"/>
              <w:spacing w:before="48"/>
              <w:ind w:left="136" w:right="118"/>
              <w:jc w:val="center"/>
              <w:rPr>
                <w:sz w:val="20"/>
              </w:rPr>
            </w:pPr>
            <w:r>
              <w:rPr>
                <w:sz w:val="20"/>
              </w:rPr>
              <w:t>5,8</w:t>
            </w:r>
          </w:p>
        </w:tc>
        <w:tc>
          <w:tcPr>
            <w:tcW w:w="921" w:type="dxa"/>
          </w:tcPr>
          <w:p>
            <w:pPr>
              <w:pStyle w:val="TableParagraph"/>
              <w:spacing w:before="48"/>
              <w:ind w:left="229" w:right="220"/>
              <w:jc w:val="center"/>
              <w:rPr>
                <w:sz w:val="20"/>
              </w:rPr>
            </w:pPr>
            <w:r>
              <w:rPr>
                <w:sz w:val="20"/>
              </w:rPr>
              <w:t>3,9</w:t>
            </w:r>
          </w:p>
        </w:tc>
      </w:tr>
      <w:tr>
        <w:trPr>
          <w:trHeight w:val="345" w:hRule="atLeast"/>
        </w:trPr>
        <w:tc>
          <w:tcPr>
            <w:tcW w:w="1935" w:type="dxa"/>
          </w:tcPr>
          <w:p>
            <w:pPr>
              <w:pStyle w:val="TableParagraph"/>
              <w:spacing w:before="39"/>
              <w:ind w:left="116" w:right="115"/>
              <w:jc w:val="center"/>
              <w:rPr>
                <w:sz w:val="22"/>
              </w:rPr>
            </w:pPr>
            <w:r>
              <w:rPr>
                <w:sz w:val="22"/>
              </w:rPr>
              <w:t>Культури овочеві</w:t>
            </w:r>
          </w:p>
        </w:tc>
        <w:tc>
          <w:tcPr>
            <w:tcW w:w="1099" w:type="dxa"/>
          </w:tcPr>
          <w:p>
            <w:pPr>
              <w:pStyle w:val="TableParagraph"/>
              <w:spacing w:before="39"/>
              <w:ind w:left="221" w:right="221"/>
              <w:jc w:val="center"/>
              <w:rPr>
                <w:sz w:val="22"/>
              </w:rPr>
            </w:pPr>
            <w:r>
              <w:rPr>
                <w:sz w:val="22"/>
              </w:rPr>
              <w:t>11,7</w:t>
            </w:r>
          </w:p>
        </w:tc>
        <w:tc>
          <w:tcPr>
            <w:tcW w:w="912" w:type="dxa"/>
          </w:tcPr>
          <w:p>
            <w:pPr>
              <w:pStyle w:val="TableParagraph"/>
              <w:spacing w:before="39"/>
              <w:ind w:right="246"/>
              <w:jc w:val="right"/>
              <w:rPr>
                <w:sz w:val="22"/>
              </w:rPr>
            </w:pPr>
            <w:r>
              <w:rPr>
                <w:sz w:val="22"/>
              </w:rPr>
              <w:t>22,1</w:t>
            </w:r>
          </w:p>
        </w:tc>
        <w:tc>
          <w:tcPr>
            <w:tcW w:w="917" w:type="dxa"/>
          </w:tcPr>
          <w:p>
            <w:pPr>
              <w:pStyle w:val="TableParagraph"/>
              <w:spacing w:before="39"/>
              <w:ind w:left="135" w:right="124"/>
              <w:jc w:val="center"/>
              <w:rPr>
                <w:sz w:val="22"/>
              </w:rPr>
            </w:pPr>
            <w:r>
              <w:rPr>
                <w:sz w:val="22"/>
              </w:rPr>
              <w:t>20,3</w:t>
            </w:r>
          </w:p>
        </w:tc>
        <w:tc>
          <w:tcPr>
            <w:tcW w:w="917" w:type="dxa"/>
          </w:tcPr>
          <w:p>
            <w:pPr>
              <w:pStyle w:val="TableParagraph"/>
              <w:spacing w:before="39"/>
              <w:ind w:left="135" w:right="124"/>
              <w:jc w:val="center"/>
              <w:rPr>
                <w:sz w:val="22"/>
              </w:rPr>
            </w:pPr>
            <w:r>
              <w:rPr>
                <w:sz w:val="22"/>
              </w:rPr>
              <w:t>43,8</w:t>
            </w:r>
          </w:p>
        </w:tc>
        <w:tc>
          <w:tcPr>
            <w:tcW w:w="912" w:type="dxa"/>
          </w:tcPr>
          <w:p>
            <w:pPr>
              <w:pStyle w:val="TableParagraph"/>
              <w:spacing w:before="39"/>
              <w:ind w:left="136" w:right="119"/>
              <w:jc w:val="center"/>
              <w:rPr>
                <w:sz w:val="22"/>
              </w:rPr>
            </w:pPr>
            <w:r>
              <w:rPr>
                <w:sz w:val="22"/>
              </w:rPr>
              <w:t>21,2</w:t>
            </w:r>
          </w:p>
        </w:tc>
        <w:tc>
          <w:tcPr>
            <w:tcW w:w="917" w:type="dxa"/>
          </w:tcPr>
          <w:p>
            <w:pPr>
              <w:pStyle w:val="TableParagraph"/>
              <w:spacing w:before="39"/>
              <w:ind w:left="135" w:right="122"/>
              <w:jc w:val="center"/>
              <w:rPr>
                <w:sz w:val="22"/>
              </w:rPr>
            </w:pPr>
            <w:r>
              <w:rPr>
                <w:sz w:val="22"/>
              </w:rPr>
              <w:t>19,5</w:t>
            </w:r>
          </w:p>
        </w:tc>
        <w:tc>
          <w:tcPr>
            <w:tcW w:w="912" w:type="dxa"/>
          </w:tcPr>
          <w:p>
            <w:pPr>
              <w:pStyle w:val="TableParagraph"/>
              <w:spacing w:before="53"/>
              <w:ind w:left="136" w:right="118"/>
              <w:jc w:val="center"/>
              <w:rPr>
                <w:sz w:val="20"/>
              </w:rPr>
            </w:pPr>
            <w:r>
              <w:rPr>
                <w:sz w:val="20"/>
              </w:rPr>
              <w:t>7,8</w:t>
            </w:r>
          </w:p>
        </w:tc>
        <w:tc>
          <w:tcPr>
            <w:tcW w:w="921" w:type="dxa"/>
          </w:tcPr>
          <w:p>
            <w:pPr>
              <w:pStyle w:val="TableParagraph"/>
              <w:spacing w:before="53"/>
              <w:ind w:left="234" w:right="220"/>
              <w:jc w:val="center"/>
              <w:rPr>
                <w:sz w:val="20"/>
              </w:rPr>
            </w:pPr>
            <w:r>
              <w:rPr>
                <w:sz w:val="20"/>
              </w:rPr>
              <w:t>-24,3</w:t>
            </w:r>
          </w:p>
        </w:tc>
      </w:tr>
      <w:tr>
        <w:trPr>
          <w:trHeight w:val="345" w:hRule="atLeast"/>
        </w:trPr>
        <w:tc>
          <w:tcPr>
            <w:tcW w:w="1935" w:type="dxa"/>
          </w:tcPr>
          <w:p>
            <w:pPr>
              <w:pStyle w:val="TableParagraph"/>
              <w:spacing w:before="40"/>
              <w:ind w:left="116" w:right="112"/>
              <w:jc w:val="center"/>
              <w:rPr>
                <w:sz w:val="22"/>
              </w:rPr>
            </w:pPr>
            <w:r>
              <w:rPr>
                <w:sz w:val="22"/>
              </w:rPr>
              <w:t>Картопля</w:t>
            </w:r>
          </w:p>
        </w:tc>
        <w:tc>
          <w:tcPr>
            <w:tcW w:w="1099" w:type="dxa"/>
          </w:tcPr>
          <w:p>
            <w:pPr>
              <w:pStyle w:val="TableParagraph"/>
              <w:spacing w:before="40"/>
              <w:ind w:left="221" w:right="221"/>
              <w:jc w:val="center"/>
              <w:rPr>
                <w:sz w:val="22"/>
              </w:rPr>
            </w:pPr>
            <w:r>
              <w:rPr>
                <w:sz w:val="22"/>
              </w:rPr>
              <w:t>–4,2</w:t>
            </w:r>
          </w:p>
        </w:tc>
        <w:tc>
          <w:tcPr>
            <w:tcW w:w="912" w:type="dxa"/>
          </w:tcPr>
          <w:p>
            <w:pPr>
              <w:pStyle w:val="TableParagraph"/>
              <w:spacing w:before="40"/>
              <w:ind w:left="132" w:right="121"/>
              <w:jc w:val="center"/>
              <w:rPr>
                <w:sz w:val="22"/>
              </w:rPr>
            </w:pPr>
            <w:r>
              <w:rPr>
                <w:sz w:val="22"/>
              </w:rPr>
              <w:t>23</w:t>
            </w:r>
          </w:p>
        </w:tc>
        <w:tc>
          <w:tcPr>
            <w:tcW w:w="917" w:type="dxa"/>
          </w:tcPr>
          <w:p>
            <w:pPr>
              <w:pStyle w:val="TableParagraph"/>
              <w:spacing w:before="40"/>
              <w:ind w:left="135" w:right="124"/>
              <w:jc w:val="center"/>
              <w:rPr>
                <w:sz w:val="22"/>
              </w:rPr>
            </w:pPr>
            <w:r>
              <w:rPr>
                <w:sz w:val="22"/>
              </w:rPr>
              <w:t>26,1</w:t>
            </w:r>
          </w:p>
        </w:tc>
        <w:tc>
          <w:tcPr>
            <w:tcW w:w="917" w:type="dxa"/>
          </w:tcPr>
          <w:p>
            <w:pPr>
              <w:pStyle w:val="TableParagraph"/>
              <w:spacing w:before="40"/>
              <w:ind w:left="135" w:right="124"/>
              <w:jc w:val="center"/>
              <w:rPr>
                <w:sz w:val="22"/>
              </w:rPr>
            </w:pPr>
            <w:r>
              <w:rPr>
                <w:sz w:val="22"/>
              </w:rPr>
              <w:t>21,5</w:t>
            </w:r>
          </w:p>
        </w:tc>
        <w:tc>
          <w:tcPr>
            <w:tcW w:w="912" w:type="dxa"/>
          </w:tcPr>
          <w:p>
            <w:pPr>
              <w:pStyle w:val="TableParagraph"/>
              <w:spacing w:before="40"/>
              <w:ind w:left="133" w:right="121"/>
              <w:jc w:val="center"/>
              <w:rPr>
                <w:sz w:val="22"/>
              </w:rPr>
            </w:pPr>
            <w:r>
              <w:rPr>
                <w:sz w:val="22"/>
              </w:rPr>
              <w:t>13</w:t>
            </w:r>
          </w:p>
        </w:tc>
        <w:tc>
          <w:tcPr>
            <w:tcW w:w="917" w:type="dxa"/>
          </w:tcPr>
          <w:p>
            <w:pPr>
              <w:pStyle w:val="TableParagraph"/>
              <w:spacing w:before="40"/>
              <w:ind w:left="135" w:right="122"/>
              <w:jc w:val="center"/>
              <w:rPr>
                <w:sz w:val="22"/>
              </w:rPr>
            </w:pPr>
            <w:r>
              <w:rPr>
                <w:sz w:val="22"/>
              </w:rPr>
              <w:t>28,9</w:t>
            </w:r>
          </w:p>
        </w:tc>
        <w:tc>
          <w:tcPr>
            <w:tcW w:w="912" w:type="dxa"/>
          </w:tcPr>
          <w:p>
            <w:pPr>
              <w:pStyle w:val="TableParagraph"/>
              <w:spacing w:before="53"/>
              <w:ind w:left="8"/>
              <w:jc w:val="center"/>
              <w:rPr>
                <w:sz w:val="20"/>
              </w:rPr>
            </w:pPr>
            <w:r>
              <w:rPr>
                <w:w w:val="100"/>
                <w:sz w:val="20"/>
              </w:rPr>
              <w:t>х</w:t>
            </w:r>
          </w:p>
        </w:tc>
        <w:tc>
          <w:tcPr>
            <w:tcW w:w="921" w:type="dxa"/>
          </w:tcPr>
          <w:p>
            <w:pPr>
              <w:pStyle w:val="TableParagraph"/>
              <w:spacing w:before="53"/>
              <w:ind w:left="229" w:right="220"/>
              <w:jc w:val="center"/>
              <w:rPr>
                <w:sz w:val="20"/>
              </w:rPr>
            </w:pPr>
            <w:r>
              <w:rPr>
                <w:sz w:val="20"/>
              </w:rPr>
              <w:t>7,4</w:t>
            </w:r>
          </w:p>
        </w:tc>
      </w:tr>
      <w:tr>
        <w:trPr>
          <w:trHeight w:val="551" w:hRule="atLeast"/>
        </w:trPr>
        <w:tc>
          <w:tcPr>
            <w:tcW w:w="1935" w:type="dxa"/>
          </w:tcPr>
          <w:p>
            <w:pPr>
              <w:pStyle w:val="TableParagraph"/>
              <w:spacing w:before="15"/>
              <w:ind w:left="566" w:hanging="442"/>
              <w:rPr>
                <w:sz w:val="22"/>
              </w:rPr>
            </w:pPr>
            <w:r>
              <w:rPr>
                <w:sz w:val="22"/>
              </w:rPr>
              <w:t>Культури плодові та ягідні</w:t>
            </w:r>
          </w:p>
        </w:tc>
        <w:tc>
          <w:tcPr>
            <w:tcW w:w="1099" w:type="dxa"/>
          </w:tcPr>
          <w:p>
            <w:pPr>
              <w:pStyle w:val="TableParagraph"/>
              <w:spacing w:before="145"/>
              <w:ind w:left="221" w:right="216"/>
              <w:jc w:val="center"/>
              <w:rPr>
                <w:sz w:val="22"/>
              </w:rPr>
            </w:pPr>
            <w:r>
              <w:rPr>
                <w:sz w:val="22"/>
              </w:rPr>
              <w:t>8,6</w:t>
            </w:r>
          </w:p>
        </w:tc>
        <w:tc>
          <w:tcPr>
            <w:tcW w:w="912" w:type="dxa"/>
          </w:tcPr>
          <w:p>
            <w:pPr>
              <w:pStyle w:val="TableParagraph"/>
              <w:spacing w:before="145"/>
              <w:ind w:right="246"/>
              <w:jc w:val="right"/>
              <w:rPr>
                <w:sz w:val="22"/>
              </w:rPr>
            </w:pPr>
            <w:r>
              <w:rPr>
                <w:sz w:val="22"/>
              </w:rPr>
              <w:t>22,7</w:t>
            </w:r>
          </w:p>
        </w:tc>
        <w:tc>
          <w:tcPr>
            <w:tcW w:w="917" w:type="dxa"/>
          </w:tcPr>
          <w:p>
            <w:pPr>
              <w:pStyle w:val="TableParagraph"/>
              <w:spacing w:before="145"/>
              <w:ind w:left="135" w:right="124"/>
              <w:jc w:val="center"/>
              <w:rPr>
                <w:sz w:val="22"/>
              </w:rPr>
            </w:pPr>
            <w:r>
              <w:rPr>
                <w:sz w:val="22"/>
              </w:rPr>
              <w:t>48,4</w:t>
            </w:r>
          </w:p>
        </w:tc>
        <w:tc>
          <w:tcPr>
            <w:tcW w:w="917" w:type="dxa"/>
          </w:tcPr>
          <w:p>
            <w:pPr>
              <w:pStyle w:val="TableParagraph"/>
              <w:spacing w:before="145"/>
              <w:ind w:left="135" w:right="124"/>
              <w:jc w:val="center"/>
              <w:rPr>
                <w:sz w:val="22"/>
              </w:rPr>
            </w:pPr>
            <w:r>
              <w:rPr>
                <w:sz w:val="22"/>
              </w:rPr>
              <w:t>66,2</w:t>
            </w:r>
          </w:p>
        </w:tc>
        <w:tc>
          <w:tcPr>
            <w:tcW w:w="912" w:type="dxa"/>
          </w:tcPr>
          <w:p>
            <w:pPr>
              <w:pStyle w:val="TableParagraph"/>
              <w:spacing w:before="145"/>
              <w:ind w:left="136" w:right="119"/>
              <w:jc w:val="center"/>
              <w:rPr>
                <w:sz w:val="22"/>
              </w:rPr>
            </w:pPr>
            <w:r>
              <w:rPr>
                <w:sz w:val="22"/>
              </w:rPr>
              <w:t>47,5</w:t>
            </w:r>
          </w:p>
        </w:tc>
        <w:tc>
          <w:tcPr>
            <w:tcW w:w="917" w:type="dxa"/>
          </w:tcPr>
          <w:p>
            <w:pPr>
              <w:pStyle w:val="TableParagraph"/>
              <w:spacing w:before="145"/>
              <w:ind w:left="135" w:right="122"/>
              <w:jc w:val="center"/>
              <w:rPr>
                <w:sz w:val="22"/>
              </w:rPr>
            </w:pPr>
            <w:r>
              <w:rPr>
                <w:sz w:val="22"/>
              </w:rPr>
              <w:t>36,1</w:t>
            </w:r>
          </w:p>
        </w:tc>
        <w:tc>
          <w:tcPr>
            <w:tcW w:w="912" w:type="dxa"/>
          </w:tcPr>
          <w:p>
            <w:pPr>
              <w:pStyle w:val="TableParagraph"/>
              <w:spacing w:before="154"/>
              <w:ind w:left="134" w:right="121"/>
              <w:jc w:val="center"/>
              <w:rPr>
                <w:sz w:val="20"/>
              </w:rPr>
            </w:pPr>
            <w:r>
              <w:rPr>
                <w:sz w:val="20"/>
              </w:rPr>
              <w:t>27,5</w:t>
            </w:r>
          </w:p>
        </w:tc>
        <w:tc>
          <w:tcPr>
            <w:tcW w:w="921" w:type="dxa"/>
          </w:tcPr>
          <w:p>
            <w:pPr>
              <w:pStyle w:val="TableParagraph"/>
              <w:spacing w:before="154"/>
              <w:ind w:left="234" w:right="220"/>
              <w:jc w:val="center"/>
              <w:rPr>
                <w:sz w:val="20"/>
              </w:rPr>
            </w:pPr>
            <w:r>
              <w:rPr>
                <w:sz w:val="20"/>
              </w:rPr>
              <w:t>-30,1</w:t>
            </w:r>
          </w:p>
        </w:tc>
      </w:tr>
      <w:tr>
        <w:trPr>
          <w:trHeight w:val="345" w:hRule="atLeast"/>
        </w:trPr>
        <w:tc>
          <w:tcPr>
            <w:tcW w:w="1935" w:type="dxa"/>
          </w:tcPr>
          <w:p>
            <w:pPr>
              <w:pStyle w:val="TableParagraph"/>
              <w:spacing w:before="39"/>
              <w:ind w:left="116" w:right="111"/>
              <w:jc w:val="center"/>
              <w:rPr>
                <w:sz w:val="22"/>
              </w:rPr>
            </w:pPr>
            <w:r>
              <w:rPr>
                <w:sz w:val="22"/>
              </w:rPr>
              <w:t>Виноград</w:t>
            </w:r>
          </w:p>
        </w:tc>
        <w:tc>
          <w:tcPr>
            <w:tcW w:w="1099" w:type="dxa"/>
          </w:tcPr>
          <w:p>
            <w:pPr>
              <w:pStyle w:val="TableParagraph"/>
              <w:spacing w:before="39"/>
              <w:ind w:left="221" w:right="221"/>
              <w:jc w:val="center"/>
              <w:rPr>
                <w:sz w:val="22"/>
              </w:rPr>
            </w:pPr>
            <w:r>
              <w:rPr>
                <w:sz w:val="22"/>
              </w:rPr>
              <w:t>62,9</w:t>
            </w:r>
          </w:p>
        </w:tc>
        <w:tc>
          <w:tcPr>
            <w:tcW w:w="912" w:type="dxa"/>
          </w:tcPr>
          <w:p>
            <w:pPr>
              <w:pStyle w:val="TableParagraph"/>
              <w:spacing w:before="39"/>
              <w:ind w:right="246"/>
              <w:jc w:val="right"/>
              <w:rPr>
                <w:sz w:val="22"/>
              </w:rPr>
            </w:pPr>
            <w:r>
              <w:rPr>
                <w:sz w:val="22"/>
              </w:rPr>
              <w:t>33,4</w:t>
            </w:r>
          </w:p>
        </w:tc>
        <w:tc>
          <w:tcPr>
            <w:tcW w:w="917" w:type="dxa"/>
          </w:tcPr>
          <w:p>
            <w:pPr>
              <w:pStyle w:val="TableParagraph"/>
              <w:spacing w:before="39"/>
              <w:ind w:left="132" w:right="126"/>
              <w:jc w:val="center"/>
              <w:rPr>
                <w:sz w:val="22"/>
              </w:rPr>
            </w:pPr>
            <w:r>
              <w:rPr>
                <w:sz w:val="22"/>
              </w:rPr>
              <w:t>–14,7</w:t>
            </w:r>
          </w:p>
        </w:tc>
        <w:tc>
          <w:tcPr>
            <w:tcW w:w="917" w:type="dxa"/>
          </w:tcPr>
          <w:p>
            <w:pPr>
              <w:pStyle w:val="TableParagraph"/>
              <w:spacing w:before="39"/>
              <w:ind w:left="135" w:right="124"/>
              <w:jc w:val="center"/>
              <w:rPr>
                <w:sz w:val="22"/>
              </w:rPr>
            </w:pPr>
            <w:r>
              <w:rPr>
                <w:sz w:val="22"/>
              </w:rPr>
              <w:t>38,2</w:t>
            </w:r>
          </w:p>
        </w:tc>
        <w:tc>
          <w:tcPr>
            <w:tcW w:w="912" w:type="dxa"/>
          </w:tcPr>
          <w:p>
            <w:pPr>
              <w:pStyle w:val="TableParagraph"/>
              <w:spacing w:before="39"/>
              <w:ind w:left="136" w:right="119"/>
              <w:jc w:val="center"/>
              <w:rPr>
                <w:sz w:val="22"/>
              </w:rPr>
            </w:pPr>
            <w:r>
              <w:rPr>
                <w:sz w:val="22"/>
              </w:rPr>
              <w:t>61,7</w:t>
            </w:r>
          </w:p>
        </w:tc>
        <w:tc>
          <w:tcPr>
            <w:tcW w:w="917" w:type="dxa"/>
          </w:tcPr>
          <w:p>
            <w:pPr>
              <w:pStyle w:val="TableParagraph"/>
              <w:spacing w:before="39"/>
              <w:ind w:left="135" w:right="122"/>
              <w:jc w:val="center"/>
              <w:rPr>
                <w:sz w:val="22"/>
              </w:rPr>
            </w:pPr>
            <w:r>
              <w:rPr>
                <w:sz w:val="22"/>
              </w:rPr>
              <w:t>51,3</w:t>
            </w:r>
          </w:p>
        </w:tc>
        <w:tc>
          <w:tcPr>
            <w:tcW w:w="912" w:type="dxa"/>
          </w:tcPr>
          <w:p>
            <w:pPr>
              <w:pStyle w:val="TableParagraph"/>
              <w:spacing w:before="53"/>
              <w:ind w:left="134" w:right="121"/>
              <w:jc w:val="center"/>
              <w:rPr>
                <w:sz w:val="20"/>
              </w:rPr>
            </w:pPr>
            <w:r>
              <w:rPr>
                <w:sz w:val="20"/>
              </w:rPr>
              <w:t>-11,6</w:t>
            </w:r>
          </w:p>
        </w:tc>
        <w:tc>
          <w:tcPr>
            <w:tcW w:w="921" w:type="dxa"/>
          </w:tcPr>
          <w:p>
            <w:pPr>
              <w:pStyle w:val="TableParagraph"/>
              <w:spacing w:before="53"/>
              <w:ind w:left="234" w:right="220"/>
              <w:jc w:val="center"/>
              <w:rPr>
                <w:sz w:val="20"/>
              </w:rPr>
            </w:pPr>
            <w:r>
              <w:rPr>
                <w:sz w:val="20"/>
              </w:rPr>
              <w:t>13,1</w:t>
            </w:r>
          </w:p>
        </w:tc>
      </w:tr>
      <w:tr>
        <w:trPr>
          <w:trHeight w:val="345" w:hRule="atLeast"/>
        </w:trPr>
        <w:tc>
          <w:tcPr>
            <w:tcW w:w="1935" w:type="dxa"/>
          </w:tcPr>
          <w:p>
            <w:pPr>
              <w:pStyle w:val="TableParagraph"/>
              <w:spacing w:before="39"/>
              <w:ind w:left="115" w:right="115"/>
              <w:jc w:val="center"/>
              <w:rPr>
                <w:sz w:val="22"/>
              </w:rPr>
            </w:pPr>
            <w:r>
              <w:rPr>
                <w:sz w:val="22"/>
              </w:rPr>
              <w:t>Молоко</w:t>
            </w:r>
          </w:p>
        </w:tc>
        <w:tc>
          <w:tcPr>
            <w:tcW w:w="1099" w:type="dxa"/>
          </w:tcPr>
          <w:p>
            <w:pPr>
              <w:pStyle w:val="TableParagraph"/>
              <w:spacing w:before="39"/>
              <w:ind w:left="221" w:right="216"/>
              <w:jc w:val="center"/>
              <w:rPr>
                <w:sz w:val="22"/>
              </w:rPr>
            </w:pPr>
            <w:r>
              <w:rPr>
                <w:sz w:val="22"/>
              </w:rPr>
              <w:t>4,9</w:t>
            </w:r>
          </w:p>
        </w:tc>
        <w:tc>
          <w:tcPr>
            <w:tcW w:w="912" w:type="dxa"/>
          </w:tcPr>
          <w:p>
            <w:pPr>
              <w:pStyle w:val="TableParagraph"/>
              <w:spacing w:before="39"/>
              <w:ind w:right="246"/>
              <w:jc w:val="right"/>
              <w:rPr>
                <w:sz w:val="22"/>
              </w:rPr>
            </w:pPr>
            <w:r>
              <w:rPr>
                <w:sz w:val="22"/>
              </w:rPr>
              <w:t>21,4</w:t>
            </w:r>
          </w:p>
        </w:tc>
        <w:tc>
          <w:tcPr>
            <w:tcW w:w="917" w:type="dxa"/>
          </w:tcPr>
          <w:p>
            <w:pPr>
              <w:pStyle w:val="TableParagraph"/>
              <w:spacing w:before="39"/>
              <w:ind w:left="135" w:right="124"/>
              <w:jc w:val="center"/>
              <w:rPr>
                <w:sz w:val="22"/>
              </w:rPr>
            </w:pPr>
            <w:r>
              <w:rPr>
                <w:sz w:val="22"/>
              </w:rPr>
              <w:t>19,7</w:t>
            </w:r>
          </w:p>
        </w:tc>
        <w:tc>
          <w:tcPr>
            <w:tcW w:w="917" w:type="dxa"/>
          </w:tcPr>
          <w:p>
            <w:pPr>
              <w:pStyle w:val="TableParagraph"/>
              <w:spacing w:before="39"/>
              <w:ind w:left="135" w:right="124"/>
              <w:jc w:val="center"/>
              <w:rPr>
                <w:sz w:val="22"/>
              </w:rPr>
            </w:pPr>
            <w:r>
              <w:rPr>
                <w:sz w:val="22"/>
              </w:rPr>
              <w:t>20,5</w:t>
            </w:r>
          </w:p>
        </w:tc>
        <w:tc>
          <w:tcPr>
            <w:tcW w:w="912" w:type="dxa"/>
          </w:tcPr>
          <w:p>
            <w:pPr>
              <w:pStyle w:val="TableParagraph"/>
              <w:spacing w:before="39"/>
              <w:ind w:left="136" w:right="119"/>
              <w:jc w:val="center"/>
              <w:rPr>
                <w:sz w:val="22"/>
              </w:rPr>
            </w:pPr>
            <w:r>
              <w:rPr>
                <w:sz w:val="22"/>
              </w:rPr>
              <w:t>23,3</w:t>
            </w:r>
          </w:p>
        </w:tc>
        <w:tc>
          <w:tcPr>
            <w:tcW w:w="917" w:type="dxa"/>
          </w:tcPr>
          <w:p>
            <w:pPr>
              <w:pStyle w:val="TableParagraph"/>
              <w:spacing w:before="39"/>
              <w:ind w:left="135" w:right="122"/>
              <w:jc w:val="center"/>
              <w:rPr>
                <w:sz w:val="22"/>
              </w:rPr>
            </w:pPr>
            <w:r>
              <w:rPr>
                <w:sz w:val="22"/>
              </w:rPr>
              <w:t>25,9</w:t>
            </w:r>
          </w:p>
        </w:tc>
        <w:tc>
          <w:tcPr>
            <w:tcW w:w="912" w:type="dxa"/>
          </w:tcPr>
          <w:p>
            <w:pPr>
              <w:pStyle w:val="TableParagraph"/>
              <w:spacing w:before="53"/>
              <w:ind w:left="134" w:right="121"/>
              <w:jc w:val="center"/>
              <w:rPr>
                <w:sz w:val="20"/>
              </w:rPr>
            </w:pPr>
            <w:r>
              <w:rPr>
                <w:sz w:val="20"/>
              </w:rPr>
              <w:t>21,0</w:t>
            </w:r>
          </w:p>
        </w:tc>
        <w:tc>
          <w:tcPr>
            <w:tcW w:w="921" w:type="dxa"/>
          </w:tcPr>
          <w:p>
            <w:pPr>
              <w:pStyle w:val="TableParagraph"/>
              <w:spacing w:before="53"/>
              <w:ind w:left="229" w:right="220"/>
              <w:jc w:val="center"/>
              <w:rPr>
                <w:sz w:val="20"/>
              </w:rPr>
            </w:pPr>
            <w:r>
              <w:rPr>
                <w:sz w:val="20"/>
              </w:rPr>
              <w:t>5,4</w:t>
            </w:r>
          </w:p>
        </w:tc>
      </w:tr>
      <w:tr>
        <w:trPr>
          <w:trHeight w:val="556" w:hRule="atLeast"/>
        </w:trPr>
        <w:tc>
          <w:tcPr>
            <w:tcW w:w="1935" w:type="dxa"/>
          </w:tcPr>
          <w:p>
            <w:pPr>
              <w:pStyle w:val="TableParagraph"/>
              <w:spacing w:before="20"/>
              <w:ind w:left="215" w:right="191" w:firstLine="81"/>
              <w:rPr>
                <w:sz w:val="22"/>
              </w:rPr>
            </w:pPr>
            <w:r>
              <w:rPr>
                <w:sz w:val="22"/>
              </w:rPr>
              <w:t>Велика рогата худоба на м’ясо</w:t>
            </w:r>
          </w:p>
        </w:tc>
        <w:tc>
          <w:tcPr>
            <w:tcW w:w="1099" w:type="dxa"/>
          </w:tcPr>
          <w:p>
            <w:pPr>
              <w:pStyle w:val="TableParagraph"/>
              <w:spacing w:before="145"/>
              <w:ind w:left="221" w:right="221"/>
              <w:jc w:val="center"/>
              <w:rPr>
                <w:sz w:val="22"/>
              </w:rPr>
            </w:pPr>
            <w:r>
              <w:rPr>
                <w:sz w:val="22"/>
              </w:rPr>
              <w:t>–7,1</w:t>
            </w:r>
          </w:p>
        </w:tc>
        <w:tc>
          <w:tcPr>
            <w:tcW w:w="912" w:type="dxa"/>
          </w:tcPr>
          <w:p>
            <w:pPr>
              <w:pStyle w:val="TableParagraph"/>
              <w:spacing w:before="145"/>
              <w:ind w:right="193"/>
              <w:jc w:val="right"/>
              <w:rPr>
                <w:sz w:val="22"/>
              </w:rPr>
            </w:pPr>
            <w:r>
              <w:rPr>
                <w:sz w:val="22"/>
              </w:rPr>
              <w:t>–13,7</w:t>
            </w:r>
          </w:p>
        </w:tc>
        <w:tc>
          <w:tcPr>
            <w:tcW w:w="917" w:type="dxa"/>
          </w:tcPr>
          <w:p>
            <w:pPr>
              <w:pStyle w:val="TableParagraph"/>
              <w:spacing w:before="145"/>
              <w:ind w:left="132" w:right="126"/>
              <w:jc w:val="center"/>
              <w:rPr>
                <w:sz w:val="22"/>
              </w:rPr>
            </w:pPr>
            <w:r>
              <w:rPr>
                <w:sz w:val="22"/>
              </w:rPr>
              <w:t>–10,1</w:t>
            </w:r>
          </w:p>
        </w:tc>
        <w:tc>
          <w:tcPr>
            <w:tcW w:w="917" w:type="dxa"/>
          </w:tcPr>
          <w:p>
            <w:pPr>
              <w:pStyle w:val="TableParagraph"/>
              <w:spacing w:before="145"/>
              <w:ind w:left="133" w:right="126"/>
              <w:jc w:val="center"/>
              <w:rPr>
                <w:sz w:val="22"/>
              </w:rPr>
            </w:pPr>
            <w:r>
              <w:rPr>
                <w:sz w:val="22"/>
              </w:rPr>
              <w:t>3,3</w:t>
            </w:r>
          </w:p>
        </w:tc>
        <w:tc>
          <w:tcPr>
            <w:tcW w:w="912" w:type="dxa"/>
          </w:tcPr>
          <w:p>
            <w:pPr>
              <w:pStyle w:val="TableParagraph"/>
              <w:spacing w:before="145"/>
              <w:ind w:left="136" w:right="119"/>
              <w:jc w:val="center"/>
              <w:rPr>
                <w:sz w:val="22"/>
              </w:rPr>
            </w:pPr>
            <w:r>
              <w:rPr>
                <w:sz w:val="22"/>
              </w:rPr>
              <w:t>–0,1</w:t>
            </w:r>
          </w:p>
        </w:tc>
        <w:tc>
          <w:tcPr>
            <w:tcW w:w="917" w:type="dxa"/>
          </w:tcPr>
          <w:p>
            <w:pPr>
              <w:pStyle w:val="TableParagraph"/>
              <w:spacing w:before="145"/>
              <w:ind w:left="135" w:right="122"/>
              <w:jc w:val="center"/>
              <w:rPr>
                <w:sz w:val="22"/>
              </w:rPr>
            </w:pPr>
            <w:r>
              <w:rPr>
                <w:sz w:val="22"/>
              </w:rPr>
              <w:t>–2,1</w:t>
            </w:r>
          </w:p>
        </w:tc>
        <w:tc>
          <w:tcPr>
            <w:tcW w:w="912" w:type="dxa"/>
          </w:tcPr>
          <w:p>
            <w:pPr>
              <w:pStyle w:val="TableParagraph"/>
              <w:spacing w:before="159"/>
              <w:ind w:left="8"/>
              <w:jc w:val="center"/>
              <w:rPr>
                <w:sz w:val="20"/>
              </w:rPr>
            </w:pPr>
            <w:r>
              <w:rPr>
                <w:w w:val="100"/>
                <w:sz w:val="20"/>
              </w:rPr>
              <w:t>х</w:t>
            </w:r>
          </w:p>
        </w:tc>
        <w:tc>
          <w:tcPr>
            <w:tcW w:w="921" w:type="dxa"/>
          </w:tcPr>
          <w:p>
            <w:pPr>
              <w:pStyle w:val="TableParagraph"/>
              <w:spacing w:before="159"/>
              <w:ind w:left="10"/>
              <w:jc w:val="center"/>
              <w:rPr>
                <w:sz w:val="20"/>
              </w:rPr>
            </w:pPr>
            <w:r>
              <w:rPr>
                <w:w w:val="100"/>
                <w:sz w:val="20"/>
              </w:rPr>
              <w:t>х</w:t>
            </w:r>
          </w:p>
        </w:tc>
      </w:tr>
      <w:tr>
        <w:trPr>
          <w:trHeight w:val="412" w:hRule="atLeast"/>
        </w:trPr>
        <w:tc>
          <w:tcPr>
            <w:tcW w:w="1935" w:type="dxa"/>
          </w:tcPr>
          <w:p>
            <w:pPr>
              <w:pStyle w:val="TableParagraph"/>
              <w:spacing w:before="73"/>
              <w:ind w:left="116" w:right="108"/>
              <w:jc w:val="center"/>
              <w:rPr>
                <w:sz w:val="22"/>
              </w:rPr>
            </w:pPr>
            <w:r>
              <w:rPr>
                <w:sz w:val="22"/>
              </w:rPr>
              <w:t>Свині на м’ясо</w:t>
            </w:r>
          </w:p>
        </w:tc>
        <w:tc>
          <w:tcPr>
            <w:tcW w:w="1099" w:type="dxa"/>
          </w:tcPr>
          <w:p>
            <w:pPr>
              <w:pStyle w:val="TableParagraph"/>
              <w:spacing w:before="73"/>
              <w:ind w:left="221" w:right="221"/>
              <w:jc w:val="center"/>
              <w:rPr>
                <w:sz w:val="22"/>
              </w:rPr>
            </w:pPr>
            <w:r>
              <w:rPr>
                <w:sz w:val="22"/>
              </w:rPr>
              <w:t>–2,5</w:t>
            </w:r>
          </w:p>
        </w:tc>
        <w:tc>
          <w:tcPr>
            <w:tcW w:w="912" w:type="dxa"/>
          </w:tcPr>
          <w:p>
            <w:pPr>
              <w:pStyle w:val="TableParagraph"/>
              <w:spacing w:before="73"/>
              <w:ind w:right="246"/>
              <w:jc w:val="right"/>
              <w:rPr>
                <w:sz w:val="22"/>
              </w:rPr>
            </w:pPr>
            <w:r>
              <w:rPr>
                <w:sz w:val="22"/>
              </w:rPr>
              <w:t>–5,0</w:t>
            </w:r>
          </w:p>
        </w:tc>
        <w:tc>
          <w:tcPr>
            <w:tcW w:w="917" w:type="dxa"/>
          </w:tcPr>
          <w:p>
            <w:pPr>
              <w:pStyle w:val="TableParagraph"/>
              <w:spacing w:before="73"/>
              <w:ind w:left="2"/>
              <w:jc w:val="center"/>
              <w:rPr>
                <w:sz w:val="22"/>
              </w:rPr>
            </w:pPr>
            <w:r>
              <w:rPr>
                <w:w w:val="100"/>
                <w:sz w:val="22"/>
              </w:rPr>
              <w:t>1</w:t>
            </w:r>
          </w:p>
        </w:tc>
        <w:tc>
          <w:tcPr>
            <w:tcW w:w="917" w:type="dxa"/>
          </w:tcPr>
          <w:p>
            <w:pPr>
              <w:pStyle w:val="TableParagraph"/>
              <w:spacing w:before="73"/>
              <w:ind w:left="133" w:right="126"/>
              <w:jc w:val="center"/>
              <w:rPr>
                <w:sz w:val="22"/>
              </w:rPr>
            </w:pPr>
            <w:r>
              <w:rPr>
                <w:sz w:val="22"/>
              </w:rPr>
              <w:t>2,4</w:t>
            </w:r>
          </w:p>
        </w:tc>
        <w:tc>
          <w:tcPr>
            <w:tcW w:w="912" w:type="dxa"/>
          </w:tcPr>
          <w:p>
            <w:pPr>
              <w:pStyle w:val="TableParagraph"/>
              <w:spacing w:before="73"/>
              <w:ind w:left="136" w:right="119"/>
              <w:jc w:val="center"/>
              <w:rPr>
                <w:sz w:val="22"/>
              </w:rPr>
            </w:pPr>
            <w:r>
              <w:rPr>
                <w:sz w:val="22"/>
              </w:rPr>
              <w:t>–1,2</w:t>
            </w:r>
          </w:p>
        </w:tc>
        <w:tc>
          <w:tcPr>
            <w:tcW w:w="917" w:type="dxa"/>
          </w:tcPr>
          <w:p>
            <w:pPr>
              <w:pStyle w:val="TableParagraph"/>
              <w:spacing w:before="73"/>
              <w:ind w:left="135" w:right="122"/>
              <w:jc w:val="center"/>
              <w:rPr>
                <w:sz w:val="22"/>
              </w:rPr>
            </w:pPr>
            <w:r>
              <w:rPr>
                <w:sz w:val="22"/>
              </w:rPr>
              <w:t>–6,7</w:t>
            </w:r>
          </w:p>
        </w:tc>
        <w:tc>
          <w:tcPr>
            <w:tcW w:w="912" w:type="dxa"/>
          </w:tcPr>
          <w:p>
            <w:pPr>
              <w:pStyle w:val="TableParagraph"/>
              <w:spacing w:before="86"/>
              <w:ind w:left="8"/>
              <w:jc w:val="center"/>
              <w:rPr>
                <w:sz w:val="20"/>
              </w:rPr>
            </w:pPr>
            <w:r>
              <w:rPr>
                <w:w w:val="100"/>
                <w:sz w:val="20"/>
              </w:rPr>
              <w:t>х</w:t>
            </w:r>
          </w:p>
        </w:tc>
        <w:tc>
          <w:tcPr>
            <w:tcW w:w="921" w:type="dxa"/>
          </w:tcPr>
          <w:p>
            <w:pPr>
              <w:pStyle w:val="TableParagraph"/>
              <w:spacing w:before="86"/>
              <w:ind w:left="10"/>
              <w:jc w:val="center"/>
              <w:rPr>
                <w:sz w:val="20"/>
              </w:rPr>
            </w:pPr>
            <w:r>
              <w:rPr>
                <w:w w:val="100"/>
                <w:sz w:val="20"/>
              </w:rPr>
              <w:t>х</w:t>
            </w:r>
          </w:p>
        </w:tc>
      </w:tr>
      <w:tr>
        <w:trPr>
          <w:trHeight w:val="508" w:hRule="atLeast"/>
        </w:trPr>
        <w:tc>
          <w:tcPr>
            <w:tcW w:w="1935" w:type="dxa"/>
          </w:tcPr>
          <w:p>
            <w:pPr>
              <w:pStyle w:val="TableParagraph"/>
              <w:spacing w:line="249" w:lineRule="exact"/>
              <w:ind w:left="116" w:right="113"/>
              <w:jc w:val="center"/>
              <w:rPr>
                <w:sz w:val="22"/>
              </w:rPr>
            </w:pPr>
            <w:r>
              <w:rPr>
                <w:sz w:val="22"/>
              </w:rPr>
              <w:t>Вівці та кози на</w:t>
            </w:r>
          </w:p>
          <w:p>
            <w:pPr>
              <w:pStyle w:val="TableParagraph"/>
              <w:spacing w:line="238" w:lineRule="exact" w:before="1"/>
              <w:ind w:left="115" w:right="115"/>
              <w:jc w:val="center"/>
              <w:rPr>
                <w:sz w:val="22"/>
              </w:rPr>
            </w:pPr>
            <w:r>
              <w:rPr>
                <w:sz w:val="22"/>
              </w:rPr>
              <w:t>м’ясо</w:t>
            </w:r>
          </w:p>
        </w:tc>
        <w:tc>
          <w:tcPr>
            <w:tcW w:w="1099" w:type="dxa"/>
          </w:tcPr>
          <w:p>
            <w:pPr>
              <w:pStyle w:val="TableParagraph"/>
              <w:spacing w:before="121"/>
              <w:ind w:left="221" w:right="216"/>
              <w:jc w:val="center"/>
              <w:rPr>
                <w:sz w:val="22"/>
              </w:rPr>
            </w:pPr>
            <w:r>
              <w:rPr>
                <w:sz w:val="22"/>
              </w:rPr>
              <w:t>–13,7</w:t>
            </w:r>
          </w:p>
        </w:tc>
        <w:tc>
          <w:tcPr>
            <w:tcW w:w="912" w:type="dxa"/>
          </w:tcPr>
          <w:p>
            <w:pPr>
              <w:pStyle w:val="TableParagraph"/>
              <w:spacing w:before="121"/>
              <w:ind w:right="246"/>
              <w:jc w:val="right"/>
              <w:rPr>
                <w:sz w:val="22"/>
              </w:rPr>
            </w:pPr>
            <w:r>
              <w:rPr>
                <w:sz w:val="22"/>
              </w:rPr>
              <w:t>–2,6</w:t>
            </w:r>
          </w:p>
        </w:tc>
        <w:tc>
          <w:tcPr>
            <w:tcW w:w="917" w:type="dxa"/>
          </w:tcPr>
          <w:p>
            <w:pPr>
              <w:pStyle w:val="TableParagraph"/>
              <w:spacing w:before="121"/>
              <w:ind w:left="132" w:right="126"/>
              <w:jc w:val="center"/>
              <w:rPr>
                <w:sz w:val="22"/>
              </w:rPr>
            </w:pPr>
            <w:r>
              <w:rPr>
                <w:sz w:val="22"/>
              </w:rPr>
              <w:t>–14,0</w:t>
            </w:r>
          </w:p>
        </w:tc>
        <w:tc>
          <w:tcPr>
            <w:tcW w:w="917" w:type="dxa"/>
          </w:tcPr>
          <w:p>
            <w:pPr>
              <w:pStyle w:val="TableParagraph"/>
              <w:spacing w:before="121"/>
              <w:ind w:left="135" w:right="124"/>
              <w:jc w:val="center"/>
              <w:rPr>
                <w:sz w:val="22"/>
              </w:rPr>
            </w:pPr>
            <w:r>
              <w:rPr>
                <w:sz w:val="22"/>
              </w:rPr>
              <w:t>–2,9</w:t>
            </w:r>
          </w:p>
        </w:tc>
        <w:tc>
          <w:tcPr>
            <w:tcW w:w="912" w:type="dxa"/>
          </w:tcPr>
          <w:p>
            <w:pPr>
              <w:pStyle w:val="TableParagraph"/>
              <w:spacing w:before="121"/>
              <w:ind w:left="7"/>
              <w:jc w:val="center"/>
              <w:rPr>
                <w:sz w:val="22"/>
              </w:rPr>
            </w:pPr>
            <w:r>
              <w:rPr>
                <w:w w:val="100"/>
                <w:sz w:val="22"/>
              </w:rPr>
              <w:t>6</w:t>
            </w:r>
          </w:p>
        </w:tc>
        <w:tc>
          <w:tcPr>
            <w:tcW w:w="917" w:type="dxa"/>
          </w:tcPr>
          <w:p>
            <w:pPr>
              <w:pStyle w:val="TableParagraph"/>
              <w:spacing w:before="121"/>
              <w:ind w:left="134" w:right="126"/>
              <w:jc w:val="center"/>
              <w:rPr>
                <w:sz w:val="22"/>
              </w:rPr>
            </w:pPr>
            <w:r>
              <w:rPr>
                <w:sz w:val="22"/>
              </w:rPr>
              <w:t>–15,1</w:t>
            </w:r>
          </w:p>
        </w:tc>
        <w:tc>
          <w:tcPr>
            <w:tcW w:w="912" w:type="dxa"/>
          </w:tcPr>
          <w:p>
            <w:pPr>
              <w:pStyle w:val="TableParagraph"/>
              <w:spacing w:before="134"/>
              <w:ind w:left="8"/>
              <w:jc w:val="center"/>
              <w:rPr>
                <w:sz w:val="20"/>
              </w:rPr>
            </w:pPr>
            <w:r>
              <w:rPr>
                <w:w w:val="100"/>
                <w:sz w:val="20"/>
              </w:rPr>
              <w:t>х</w:t>
            </w:r>
          </w:p>
        </w:tc>
        <w:tc>
          <w:tcPr>
            <w:tcW w:w="921" w:type="dxa"/>
          </w:tcPr>
          <w:p>
            <w:pPr>
              <w:pStyle w:val="TableParagraph"/>
              <w:spacing w:before="134"/>
              <w:ind w:left="10"/>
              <w:jc w:val="center"/>
              <w:rPr>
                <w:sz w:val="20"/>
              </w:rPr>
            </w:pPr>
            <w:r>
              <w:rPr>
                <w:w w:val="100"/>
                <w:sz w:val="20"/>
              </w:rPr>
              <w:t>х</w:t>
            </w:r>
          </w:p>
        </w:tc>
      </w:tr>
      <w:tr>
        <w:trPr>
          <w:trHeight w:val="412" w:hRule="atLeast"/>
        </w:trPr>
        <w:tc>
          <w:tcPr>
            <w:tcW w:w="1935" w:type="dxa"/>
          </w:tcPr>
          <w:p>
            <w:pPr>
              <w:pStyle w:val="TableParagraph"/>
              <w:spacing w:before="73"/>
              <w:ind w:left="116" w:right="113"/>
              <w:jc w:val="center"/>
              <w:rPr>
                <w:sz w:val="22"/>
              </w:rPr>
            </w:pPr>
            <w:r>
              <w:rPr>
                <w:sz w:val="22"/>
              </w:rPr>
              <w:t>Птиця на м’ясо</w:t>
            </w:r>
          </w:p>
        </w:tc>
        <w:tc>
          <w:tcPr>
            <w:tcW w:w="1099" w:type="dxa"/>
          </w:tcPr>
          <w:p>
            <w:pPr>
              <w:pStyle w:val="TableParagraph"/>
              <w:spacing w:before="73"/>
              <w:ind w:left="221" w:right="221"/>
              <w:jc w:val="center"/>
              <w:rPr>
                <w:sz w:val="22"/>
              </w:rPr>
            </w:pPr>
            <w:r>
              <w:rPr>
                <w:sz w:val="22"/>
              </w:rPr>
              <w:t>13,4</w:t>
            </w:r>
          </w:p>
        </w:tc>
        <w:tc>
          <w:tcPr>
            <w:tcW w:w="912" w:type="dxa"/>
          </w:tcPr>
          <w:p>
            <w:pPr>
              <w:pStyle w:val="TableParagraph"/>
              <w:spacing w:before="73"/>
              <w:ind w:left="132" w:right="121"/>
              <w:jc w:val="center"/>
              <w:rPr>
                <w:sz w:val="22"/>
              </w:rPr>
            </w:pPr>
            <w:r>
              <w:rPr>
                <w:sz w:val="22"/>
              </w:rPr>
              <w:t>3,4</w:t>
            </w:r>
          </w:p>
        </w:tc>
        <w:tc>
          <w:tcPr>
            <w:tcW w:w="917" w:type="dxa"/>
          </w:tcPr>
          <w:p>
            <w:pPr>
              <w:pStyle w:val="TableParagraph"/>
              <w:spacing w:before="73"/>
              <w:ind w:left="132" w:right="126"/>
              <w:jc w:val="center"/>
              <w:rPr>
                <w:sz w:val="22"/>
              </w:rPr>
            </w:pPr>
            <w:r>
              <w:rPr>
                <w:sz w:val="22"/>
              </w:rPr>
              <w:t>2,6</w:t>
            </w:r>
          </w:p>
        </w:tc>
        <w:tc>
          <w:tcPr>
            <w:tcW w:w="917" w:type="dxa"/>
          </w:tcPr>
          <w:p>
            <w:pPr>
              <w:pStyle w:val="TableParagraph"/>
              <w:spacing w:before="73"/>
              <w:ind w:left="135" w:right="124"/>
              <w:jc w:val="center"/>
              <w:rPr>
                <w:sz w:val="22"/>
              </w:rPr>
            </w:pPr>
            <w:r>
              <w:rPr>
                <w:sz w:val="22"/>
              </w:rPr>
              <w:t>10,2</w:t>
            </w:r>
          </w:p>
        </w:tc>
        <w:tc>
          <w:tcPr>
            <w:tcW w:w="912" w:type="dxa"/>
          </w:tcPr>
          <w:p>
            <w:pPr>
              <w:pStyle w:val="TableParagraph"/>
              <w:spacing w:before="73"/>
              <w:ind w:left="133" w:right="121"/>
              <w:jc w:val="center"/>
              <w:rPr>
                <w:sz w:val="22"/>
              </w:rPr>
            </w:pPr>
            <w:r>
              <w:rPr>
                <w:sz w:val="22"/>
              </w:rPr>
              <w:t>2,3</w:t>
            </w:r>
          </w:p>
        </w:tc>
        <w:tc>
          <w:tcPr>
            <w:tcW w:w="917" w:type="dxa"/>
          </w:tcPr>
          <w:p>
            <w:pPr>
              <w:pStyle w:val="TableParagraph"/>
              <w:spacing w:before="73"/>
              <w:ind w:left="134" w:right="126"/>
              <w:jc w:val="center"/>
              <w:rPr>
                <w:sz w:val="22"/>
              </w:rPr>
            </w:pPr>
            <w:r>
              <w:rPr>
                <w:sz w:val="22"/>
              </w:rPr>
              <w:t>3,5</w:t>
            </w:r>
          </w:p>
        </w:tc>
        <w:tc>
          <w:tcPr>
            <w:tcW w:w="912" w:type="dxa"/>
          </w:tcPr>
          <w:p>
            <w:pPr>
              <w:pStyle w:val="TableParagraph"/>
              <w:spacing w:before="86"/>
              <w:ind w:left="136" w:right="118"/>
              <w:jc w:val="center"/>
              <w:rPr>
                <w:sz w:val="20"/>
              </w:rPr>
            </w:pPr>
            <w:r>
              <w:rPr>
                <w:sz w:val="20"/>
              </w:rPr>
              <w:t>-9,9</w:t>
            </w:r>
          </w:p>
        </w:tc>
        <w:tc>
          <w:tcPr>
            <w:tcW w:w="921" w:type="dxa"/>
          </w:tcPr>
          <w:p>
            <w:pPr>
              <w:pStyle w:val="TableParagraph"/>
              <w:spacing w:before="86"/>
              <w:ind w:left="229" w:right="220"/>
              <w:jc w:val="center"/>
              <w:rPr>
                <w:sz w:val="20"/>
              </w:rPr>
            </w:pPr>
            <w:r>
              <w:rPr>
                <w:sz w:val="20"/>
              </w:rPr>
              <w:t>-6,7</w:t>
            </w:r>
          </w:p>
        </w:tc>
      </w:tr>
      <w:tr>
        <w:trPr>
          <w:trHeight w:val="331" w:hRule="atLeast"/>
        </w:trPr>
        <w:tc>
          <w:tcPr>
            <w:tcW w:w="1935" w:type="dxa"/>
          </w:tcPr>
          <w:p>
            <w:pPr>
              <w:pStyle w:val="TableParagraph"/>
              <w:spacing w:before="35"/>
              <w:ind w:left="115" w:right="115"/>
              <w:jc w:val="center"/>
              <w:rPr>
                <w:sz w:val="22"/>
              </w:rPr>
            </w:pPr>
            <w:r>
              <w:rPr>
                <w:sz w:val="22"/>
              </w:rPr>
              <w:t>Яйця курячі</w:t>
            </w:r>
          </w:p>
        </w:tc>
        <w:tc>
          <w:tcPr>
            <w:tcW w:w="1099" w:type="dxa"/>
          </w:tcPr>
          <w:p>
            <w:pPr>
              <w:pStyle w:val="TableParagraph"/>
              <w:spacing w:before="35"/>
              <w:ind w:left="2"/>
              <w:jc w:val="center"/>
              <w:rPr>
                <w:sz w:val="22"/>
              </w:rPr>
            </w:pPr>
            <w:r>
              <w:rPr>
                <w:w w:val="100"/>
                <w:sz w:val="22"/>
              </w:rPr>
              <w:t>-</w:t>
            </w:r>
          </w:p>
        </w:tc>
        <w:tc>
          <w:tcPr>
            <w:tcW w:w="912" w:type="dxa"/>
          </w:tcPr>
          <w:p>
            <w:pPr>
              <w:pStyle w:val="TableParagraph"/>
              <w:spacing w:before="35"/>
              <w:ind w:left="8"/>
              <w:jc w:val="center"/>
              <w:rPr>
                <w:sz w:val="22"/>
              </w:rPr>
            </w:pPr>
            <w:r>
              <w:rPr>
                <w:w w:val="100"/>
                <w:sz w:val="22"/>
              </w:rPr>
              <w:t>-</w:t>
            </w:r>
          </w:p>
        </w:tc>
        <w:tc>
          <w:tcPr>
            <w:tcW w:w="917" w:type="dxa"/>
          </w:tcPr>
          <w:p>
            <w:pPr>
              <w:pStyle w:val="TableParagraph"/>
              <w:spacing w:before="35"/>
              <w:ind w:left="3"/>
              <w:jc w:val="center"/>
              <w:rPr>
                <w:sz w:val="22"/>
              </w:rPr>
            </w:pPr>
            <w:r>
              <w:rPr>
                <w:w w:val="100"/>
                <w:sz w:val="22"/>
              </w:rPr>
              <w:t>-</w:t>
            </w:r>
          </w:p>
        </w:tc>
        <w:tc>
          <w:tcPr>
            <w:tcW w:w="917" w:type="dxa"/>
          </w:tcPr>
          <w:p>
            <w:pPr>
              <w:pStyle w:val="TableParagraph"/>
              <w:spacing w:before="35"/>
              <w:ind w:left="3"/>
              <w:jc w:val="center"/>
              <w:rPr>
                <w:sz w:val="22"/>
              </w:rPr>
            </w:pPr>
            <w:r>
              <w:rPr>
                <w:w w:val="100"/>
                <w:sz w:val="22"/>
              </w:rPr>
              <w:t>-</w:t>
            </w:r>
          </w:p>
        </w:tc>
        <w:tc>
          <w:tcPr>
            <w:tcW w:w="912" w:type="dxa"/>
          </w:tcPr>
          <w:p>
            <w:pPr>
              <w:pStyle w:val="TableParagraph"/>
              <w:spacing w:before="35"/>
              <w:ind w:left="9"/>
              <w:jc w:val="center"/>
              <w:rPr>
                <w:sz w:val="22"/>
              </w:rPr>
            </w:pPr>
            <w:r>
              <w:rPr>
                <w:w w:val="100"/>
                <w:sz w:val="22"/>
              </w:rPr>
              <w:t>-</w:t>
            </w:r>
          </w:p>
        </w:tc>
        <w:tc>
          <w:tcPr>
            <w:tcW w:w="917" w:type="dxa"/>
          </w:tcPr>
          <w:p>
            <w:pPr>
              <w:pStyle w:val="TableParagraph"/>
              <w:spacing w:before="35"/>
              <w:ind w:left="135" w:right="122"/>
              <w:jc w:val="center"/>
              <w:rPr>
                <w:sz w:val="22"/>
              </w:rPr>
            </w:pPr>
            <w:r>
              <w:rPr>
                <w:sz w:val="22"/>
              </w:rPr>
              <w:t>14,1</w:t>
            </w:r>
          </w:p>
        </w:tc>
        <w:tc>
          <w:tcPr>
            <w:tcW w:w="912" w:type="dxa"/>
          </w:tcPr>
          <w:p>
            <w:pPr>
              <w:pStyle w:val="TableParagraph"/>
              <w:spacing w:before="48"/>
              <w:ind w:left="8"/>
              <w:jc w:val="center"/>
              <w:rPr>
                <w:sz w:val="20"/>
              </w:rPr>
            </w:pPr>
            <w:r>
              <w:rPr>
                <w:w w:val="100"/>
                <w:sz w:val="20"/>
              </w:rPr>
              <w:t>х</w:t>
            </w:r>
          </w:p>
        </w:tc>
        <w:tc>
          <w:tcPr>
            <w:tcW w:w="921" w:type="dxa"/>
          </w:tcPr>
          <w:p>
            <w:pPr>
              <w:pStyle w:val="TableParagraph"/>
              <w:spacing w:before="48"/>
              <w:ind w:left="10"/>
              <w:jc w:val="center"/>
              <w:rPr>
                <w:sz w:val="20"/>
              </w:rPr>
            </w:pPr>
            <w:r>
              <w:rPr>
                <w:w w:val="100"/>
                <w:sz w:val="20"/>
              </w:rPr>
              <w:t>х</w:t>
            </w:r>
          </w:p>
        </w:tc>
      </w:tr>
    </w:tbl>
    <w:p>
      <w:pPr>
        <w:spacing w:before="0"/>
        <w:ind w:left="193" w:right="0" w:firstLine="0"/>
        <w:jc w:val="both"/>
        <w:rPr>
          <w:i/>
          <w:sz w:val="24"/>
        </w:rPr>
      </w:pPr>
      <w:r>
        <w:rPr>
          <w:i/>
          <w:sz w:val="24"/>
        </w:rPr>
        <w:t>Джерело: Розраховано автором з використанням даних Державної служби статистики</w:t>
      </w:r>
    </w:p>
    <w:p>
      <w:pPr>
        <w:spacing w:after="0"/>
        <w:jc w:val="both"/>
        <w:rPr>
          <w:sz w:val="24"/>
        </w:rPr>
        <w:sectPr>
          <w:pgSz w:w="11910" w:h="16840"/>
          <w:pgMar w:header="713" w:footer="778" w:top="1140" w:bottom="960" w:left="940" w:right="520"/>
        </w:sectPr>
      </w:pPr>
    </w:p>
    <w:p>
      <w:pPr>
        <w:spacing w:before="91"/>
        <w:ind w:left="193" w:right="0" w:firstLine="0"/>
        <w:jc w:val="left"/>
        <w:rPr>
          <w:i/>
          <w:sz w:val="24"/>
        </w:rPr>
      </w:pPr>
      <w:r>
        <w:rPr>
          <w:i/>
          <w:sz w:val="24"/>
        </w:rPr>
        <w:t>України.</w:t>
      </w:r>
    </w:p>
    <w:p>
      <w:pPr>
        <w:pStyle w:val="BodyText"/>
        <w:spacing w:before="3"/>
        <w:ind w:right="610" w:firstLine="710"/>
      </w:pPr>
      <w:r>
        <w:rPr>
          <w:spacing w:val="-3"/>
        </w:rPr>
        <w:t>На </w:t>
      </w:r>
      <w:r>
        <w:rPr/>
        <w:t>початку 2017 р. була запроваджена нова система підтримки сільського господарства. Скасовано спрощену систему оподаткування сільськогосподарських виробників. Нова система передбачає значно зменшити підтримку тваринництва. Підтримка виробництва зернових і олійних культур була скасована. Однак ці втрати були частково компенсовані за рахунок більш ефективного експортного відшкодування ПДВ для цих культур. </w:t>
      </w:r>
      <w:r>
        <w:rPr>
          <w:spacing w:val="-3"/>
        </w:rPr>
        <w:t>На </w:t>
      </w:r>
      <w:r>
        <w:rPr/>
        <w:t>основі ліквідації субсидій очікується уповільнення зростання цього сектора в довгостроковій перспективі. Нова система меншою мірою забезпечує</w:t>
      </w:r>
      <w:r>
        <w:rPr>
          <w:spacing w:val="-43"/>
        </w:rPr>
        <w:t> </w:t>
      </w:r>
      <w:r>
        <w:rPr/>
        <w:t>підтримку виробників сільськогосподарської продукції у</w:t>
      </w:r>
      <w:r>
        <w:rPr>
          <w:spacing w:val="-10"/>
        </w:rPr>
        <w:t> </w:t>
      </w:r>
      <w:r>
        <w:rPr/>
        <w:t>цілому.</w:t>
      </w:r>
    </w:p>
    <w:p>
      <w:pPr>
        <w:pStyle w:val="BodyText"/>
        <w:ind w:right="612" w:firstLine="710"/>
      </w:pPr>
      <w:r>
        <w:rPr/>
        <w:t>Такі</w:t>
      </w:r>
      <w:r>
        <w:rPr>
          <w:spacing w:val="-25"/>
        </w:rPr>
        <w:t> </w:t>
      </w:r>
      <w:r>
        <w:rPr/>
        <w:t>заходи</w:t>
      </w:r>
      <w:r>
        <w:rPr>
          <w:spacing w:val="-20"/>
        </w:rPr>
        <w:t> </w:t>
      </w:r>
      <w:r>
        <w:rPr/>
        <w:t>держави</w:t>
      </w:r>
      <w:r>
        <w:rPr>
          <w:spacing w:val="-20"/>
        </w:rPr>
        <w:t> </w:t>
      </w:r>
      <w:r>
        <w:rPr/>
        <w:t>призводять</w:t>
      </w:r>
      <w:r>
        <w:rPr>
          <w:spacing w:val="-21"/>
        </w:rPr>
        <w:t> </w:t>
      </w:r>
      <w:r>
        <w:rPr/>
        <w:t>до</w:t>
      </w:r>
      <w:r>
        <w:rPr>
          <w:spacing w:val="-20"/>
        </w:rPr>
        <w:t> </w:t>
      </w:r>
      <w:r>
        <w:rPr/>
        <w:t>скорочення</w:t>
      </w:r>
      <w:r>
        <w:rPr>
          <w:spacing w:val="-19"/>
        </w:rPr>
        <w:t> </w:t>
      </w:r>
      <w:r>
        <w:rPr/>
        <w:t>темпів</w:t>
      </w:r>
      <w:r>
        <w:rPr>
          <w:spacing w:val="-22"/>
        </w:rPr>
        <w:t> </w:t>
      </w:r>
      <w:r>
        <w:rPr/>
        <w:t>зростання</w:t>
      </w:r>
      <w:r>
        <w:rPr>
          <w:spacing w:val="-19"/>
        </w:rPr>
        <w:t> </w:t>
      </w:r>
      <w:r>
        <w:rPr/>
        <w:t>в</w:t>
      </w:r>
      <w:r>
        <w:rPr>
          <w:spacing w:val="-22"/>
        </w:rPr>
        <w:t> </w:t>
      </w:r>
      <w:r>
        <w:rPr/>
        <w:t>аграрній сфері та банкрутства сільськогосподарських підприємств. Оскільки через таку політику працівники втрачають робочі місця, зменшується їх заробітна плата, тому обов’язковим напрямом аграрної політики України, як і в зарубіжних країнах, має бути фінансова підтримка</w:t>
      </w:r>
      <w:r>
        <w:rPr>
          <w:spacing w:val="4"/>
        </w:rPr>
        <w:t> </w:t>
      </w:r>
      <w:r>
        <w:rPr/>
        <w:t>сільгоспвиробників.</w:t>
      </w:r>
    </w:p>
    <w:p>
      <w:pPr>
        <w:pStyle w:val="BodyText"/>
        <w:spacing w:before="1"/>
        <w:ind w:right="611" w:firstLine="710"/>
      </w:pPr>
      <w:r>
        <w:rPr/>
        <w:t>Також необхідно відзначити інші фактори, що гальмують рівень розвитку сільського</w:t>
      </w:r>
      <w:r>
        <w:rPr>
          <w:spacing w:val="-22"/>
        </w:rPr>
        <w:t> </w:t>
      </w:r>
      <w:r>
        <w:rPr/>
        <w:t>господарства</w:t>
      </w:r>
      <w:r>
        <w:rPr>
          <w:spacing w:val="-20"/>
        </w:rPr>
        <w:t> </w:t>
      </w:r>
      <w:r>
        <w:rPr/>
        <w:t>в</w:t>
      </w:r>
      <w:r>
        <w:rPr>
          <w:spacing w:val="-23"/>
        </w:rPr>
        <w:t> </w:t>
      </w:r>
      <w:r>
        <w:rPr/>
        <w:t>цілому:</w:t>
      </w:r>
      <w:r>
        <w:rPr>
          <w:spacing w:val="-26"/>
        </w:rPr>
        <w:t> </w:t>
      </w:r>
      <w:r>
        <w:rPr/>
        <w:t>погано</w:t>
      </w:r>
      <w:r>
        <w:rPr>
          <w:spacing w:val="-17"/>
        </w:rPr>
        <w:t> </w:t>
      </w:r>
      <w:r>
        <w:rPr/>
        <w:t>розвинена</w:t>
      </w:r>
      <w:r>
        <w:rPr>
          <w:spacing w:val="-16"/>
        </w:rPr>
        <w:t> </w:t>
      </w:r>
      <w:r>
        <w:rPr/>
        <w:t>інфраструктура,</w:t>
      </w:r>
      <w:r>
        <w:rPr>
          <w:spacing w:val="-20"/>
        </w:rPr>
        <w:t> </w:t>
      </w:r>
      <w:r>
        <w:rPr/>
        <w:t>нестабільна політична та економічна ситуація, зношеність техніки, нестабільні та непрогнозовані ціни на паливо, недосконала нормативно-законодавча база, застаріла технологія виробництва, недотримання сівозмін та засівання рослинами, які виснажують землю та погіршують якість</w:t>
      </w:r>
      <w:r>
        <w:rPr>
          <w:spacing w:val="-9"/>
        </w:rPr>
        <w:t> </w:t>
      </w:r>
      <w:r>
        <w:rPr/>
        <w:t>ґрунту.</w:t>
      </w:r>
    </w:p>
    <w:p>
      <w:pPr>
        <w:pStyle w:val="BodyText"/>
        <w:ind w:right="608" w:firstLine="710"/>
      </w:pPr>
      <w:r>
        <w:rPr/>
        <w:t>Отже, основними стратегічними напрямами розвитку фермерських господарств в Україні мають бути: вдосконалення нормативно-законодавчої бази, яка б забезпечувала стабільний розвиток сільського господарства; виробництво органічної, безпечної та екологічно чистої сільськогосподарської продукції; встановлення ринкових цін на продукцію, які забезпечуватимуть рентабельність її виробництва для основної маси виробників; упровадження досягнення НТП та інновацій; залучення молодих людей у сільське господарство; забезпечення гідної оплати праці в сільському господарстві та ін.</w:t>
      </w:r>
    </w:p>
    <w:p>
      <w:pPr>
        <w:pStyle w:val="BodyText"/>
        <w:spacing w:before="1"/>
        <w:ind w:right="610" w:firstLine="710"/>
      </w:pPr>
      <w:r>
        <w:rPr/>
        <w:t>Державна підтримка повинна бути спрямована на розвиток інформаційно- консультаційного забезпечення, розвиток страхування, доступності кредитів, розвиток агролізингу. Доступні кредити дадуть фермерам можливість подолати сезонну нестачу грошових коштів, прискорити виробництво товарів, накопичення і розвиток матеріально-технічної бази.</w:t>
      </w:r>
    </w:p>
    <w:p>
      <w:pPr>
        <w:pStyle w:val="BodyText"/>
        <w:ind w:right="616" w:firstLine="710"/>
      </w:pPr>
      <w:r>
        <w:rPr/>
        <w:t>З метою підвищення ефективності функціонування і розвитку фермерських господарств доцільно формування сільськогосподарської кооперативної системи, використання різних варіантів міжгосподарського партнерства. Розвиток сільськогосподарської кооперації в сучасній ринковій економіці може сприяти вирішенню основних завдань, що стоять перед фермерами - підвищення економічної ефективності, конкурентоспроможності, збільшення прибутковості за рахунок скорочення посередників, зростання товарності виробництва.</w:t>
      </w:r>
    </w:p>
    <w:p>
      <w:pPr>
        <w:spacing w:before="1"/>
        <w:ind w:left="193" w:right="607" w:firstLine="710"/>
        <w:jc w:val="both"/>
        <w:rPr>
          <w:sz w:val="28"/>
        </w:rPr>
      </w:pPr>
      <w:r>
        <w:rPr>
          <w:b/>
          <w:sz w:val="28"/>
        </w:rPr>
        <w:t>Висновки та перспективи подальших досліджень. </w:t>
      </w:r>
      <w:r>
        <w:rPr>
          <w:sz w:val="28"/>
        </w:rPr>
        <w:t>Проведені дослідження засвідчують, що у сучасних умовах фермерські господарства займають значну частку у структурі сільськогосподарського</w:t>
      </w:r>
      <w:r>
        <w:rPr>
          <w:spacing w:val="55"/>
          <w:sz w:val="28"/>
        </w:rPr>
        <w:t> </w:t>
      </w:r>
      <w:r>
        <w:rPr>
          <w:sz w:val="28"/>
        </w:rPr>
        <w:t>виробництва</w:t>
      </w:r>
    </w:p>
    <w:p>
      <w:pPr>
        <w:spacing w:after="0"/>
        <w:jc w:val="both"/>
        <w:rPr>
          <w:sz w:val="28"/>
        </w:rPr>
        <w:sectPr>
          <w:pgSz w:w="11910" w:h="16840"/>
          <w:pgMar w:header="713" w:footer="778" w:top="1140" w:bottom="960" w:left="940" w:right="520"/>
        </w:sectPr>
      </w:pPr>
    </w:p>
    <w:p>
      <w:pPr>
        <w:pStyle w:val="BodyText"/>
        <w:spacing w:before="92"/>
        <w:ind w:right="615"/>
      </w:pPr>
      <w:r>
        <w:rPr/>
        <w:t>Україні.</w:t>
      </w:r>
      <w:r>
        <w:rPr>
          <w:spacing w:val="3"/>
        </w:rPr>
        <w:t> </w:t>
      </w:r>
      <w:r>
        <w:rPr/>
        <w:t>Фермерство</w:t>
      </w:r>
      <w:r>
        <w:rPr>
          <w:spacing w:val="-9"/>
        </w:rPr>
        <w:t> </w:t>
      </w:r>
      <w:r>
        <w:rPr/>
        <w:t>є</w:t>
      </w:r>
      <w:r>
        <w:rPr>
          <w:spacing w:val="-8"/>
        </w:rPr>
        <w:t> </w:t>
      </w:r>
      <w:r>
        <w:rPr/>
        <w:t>перспективною</w:t>
      </w:r>
      <w:r>
        <w:rPr>
          <w:spacing w:val="-9"/>
        </w:rPr>
        <w:t> </w:t>
      </w:r>
      <w:r>
        <w:rPr/>
        <w:t>частиною</w:t>
      </w:r>
      <w:r>
        <w:rPr>
          <w:spacing w:val="-10"/>
        </w:rPr>
        <w:t> </w:t>
      </w:r>
      <w:r>
        <w:rPr/>
        <w:t>багатоукладної</w:t>
      </w:r>
      <w:r>
        <w:rPr>
          <w:spacing w:val="-14"/>
        </w:rPr>
        <w:t> </w:t>
      </w:r>
      <w:r>
        <w:rPr/>
        <w:t>аграрної</w:t>
      </w:r>
      <w:r>
        <w:rPr>
          <w:spacing w:val="-14"/>
        </w:rPr>
        <w:t> </w:t>
      </w:r>
      <w:r>
        <w:rPr/>
        <w:t>сфери, що динамічно розвивається. Зняття перепон, що гальмують розвиток фермерського укладу, і створення нормальних умов для його діяльності дозволять підвищити доходи сільського населення, дати потужний стимул зростанню виробництва продовольства, створити правові та економічні умови здійснення діяльності</w:t>
      </w:r>
      <w:r>
        <w:rPr>
          <w:spacing w:val="-3"/>
        </w:rPr>
        <w:t> </w:t>
      </w:r>
      <w:r>
        <w:rPr/>
        <w:t>фермера.</w:t>
      </w:r>
    </w:p>
    <w:p>
      <w:pPr>
        <w:pStyle w:val="BodyText"/>
        <w:spacing w:before="3"/>
        <w:ind w:right="610" w:firstLine="710"/>
      </w:pPr>
      <w:r>
        <w:rPr/>
        <w:t>Подальший розвиток фермерства в Україні потребує проведення науково- прикладних досліджень, спрямованих на розробку механізму створення інтеграційних зв'язків за участю фермерських господарств, що дозволить застосовувати прогресивні методи переробки, знизити втрати сировини, підвищити якість переробленої продукції та полегшить її збут. Інтегровані галузеві структури можуть стати основним суб'єктом, здатним забезпечити стабільну діяльність фермерських господарств, ефективні канали збуту сільськогосподарської продукції, оптимізувати витрати і підвищити окупність.</w:t>
      </w:r>
    </w:p>
    <w:p>
      <w:pPr>
        <w:pStyle w:val="BodyText"/>
        <w:spacing w:before="2"/>
        <w:ind w:left="0"/>
        <w:jc w:val="left"/>
      </w:pPr>
    </w:p>
    <w:p>
      <w:pPr>
        <w:pStyle w:val="Heading1"/>
        <w:spacing w:line="319" w:lineRule="exact"/>
        <w:ind w:left="894"/>
      </w:pPr>
      <w:r>
        <w:rPr/>
        <w:t>ЛІТЕРАТУРА</w:t>
      </w:r>
    </w:p>
    <w:p>
      <w:pPr>
        <w:pStyle w:val="ListParagraph"/>
        <w:numPr>
          <w:ilvl w:val="0"/>
          <w:numId w:val="24"/>
        </w:numPr>
        <w:tabs>
          <w:tab w:pos="1610" w:val="left" w:leader="none"/>
        </w:tabs>
        <w:spacing w:line="242" w:lineRule="auto" w:before="0" w:after="0"/>
        <w:ind w:left="193" w:right="615" w:firstLine="710"/>
        <w:jc w:val="both"/>
        <w:rPr>
          <w:sz w:val="28"/>
        </w:rPr>
      </w:pPr>
      <w:r>
        <w:rPr>
          <w:sz w:val="28"/>
        </w:rPr>
        <w:t>Стратегічні напрями розвитку сільського господарства України на період</w:t>
      </w:r>
      <w:r>
        <w:rPr>
          <w:spacing w:val="-17"/>
          <w:sz w:val="28"/>
        </w:rPr>
        <w:t> </w:t>
      </w:r>
      <w:r>
        <w:rPr>
          <w:sz w:val="28"/>
        </w:rPr>
        <w:t>до</w:t>
      </w:r>
      <w:r>
        <w:rPr>
          <w:spacing w:val="-18"/>
          <w:sz w:val="28"/>
        </w:rPr>
        <w:t> </w:t>
      </w:r>
      <w:r>
        <w:rPr>
          <w:sz w:val="28"/>
        </w:rPr>
        <w:t>2020</w:t>
      </w:r>
      <w:r>
        <w:rPr>
          <w:spacing w:val="-18"/>
          <w:sz w:val="28"/>
        </w:rPr>
        <w:t> </w:t>
      </w:r>
      <w:r>
        <w:rPr>
          <w:sz w:val="28"/>
        </w:rPr>
        <w:t>року/За</w:t>
      </w:r>
      <w:r>
        <w:rPr>
          <w:spacing w:val="-18"/>
          <w:sz w:val="28"/>
        </w:rPr>
        <w:t> </w:t>
      </w:r>
      <w:r>
        <w:rPr>
          <w:sz w:val="28"/>
        </w:rPr>
        <w:t>ред.</w:t>
      </w:r>
      <w:r>
        <w:rPr>
          <w:spacing w:val="-16"/>
          <w:sz w:val="28"/>
        </w:rPr>
        <w:t> </w:t>
      </w:r>
      <w:r>
        <w:rPr>
          <w:sz w:val="28"/>
        </w:rPr>
        <w:t>Ю.О.</w:t>
      </w:r>
      <w:r>
        <w:rPr>
          <w:spacing w:val="-17"/>
          <w:sz w:val="28"/>
        </w:rPr>
        <w:t> </w:t>
      </w:r>
      <w:r>
        <w:rPr>
          <w:sz w:val="28"/>
        </w:rPr>
        <w:t>Лупенка,</w:t>
      </w:r>
      <w:r>
        <w:rPr>
          <w:spacing w:val="-16"/>
          <w:sz w:val="28"/>
        </w:rPr>
        <w:t> </w:t>
      </w:r>
      <w:r>
        <w:rPr>
          <w:sz w:val="28"/>
        </w:rPr>
        <w:t>В.Я.</w:t>
      </w:r>
      <w:r>
        <w:rPr>
          <w:spacing w:val="-20"/>
          <w:sz w:val="28"/>
        </w:rPr>
        <w:t> </w:t>
      </w:r>
      <w:r>
        <w:rPr>
          <w:sz w:val="28"/>
        </w:rPr>
        <w:t>Месель-Веселяка.</w:t>
      </w:r>
      <w:r>
        <w:rPr>
          <w:spacing w:val="-17"/>
          <w:sz w:val="28"/>
        </w:rPr>
        <w:t> </w:t>
      </w:r>
      <w:r>
        <w:rPr>
          <w:sz w:val="28"/>
        </w:rPr>
        <w:t>Київ,</w:t>
      </w:r>
      <w:r>
        <w:rPr>
          <w:spacing w:val="-16"/>
          <w:sz w:val="28"/>
        </w:rPr>
        <w:t> </w:t>
      </w:r>
      <w:r>
        <w:rPr>
          <w:sz w:val="28"/>
        </w:rPr>
        <w:t>2012.</w:t>
      </w:r>
      <w:r>
        <w:rPr>
          <w:spacing w:val="-17"/>
          <w:sz w:val="28"/>
        </w:rPr>
        <w:t> </w:t>
      </w:r>
      <w:r>
        <w:rPr>
          <w:sz w:val="28"/>
        </w:rPr>
        <w:t>182 с.</w:t>
      </w:r>
    </w:p>
    <w:p>
      <w:pPr>
        <w:pStyle w:val="ListParagraph"/>
        <w:numPr>
          <w:ilvl w:val="0"/>
          <w:numId w:val="24"/>
        </w:numPr>
        <w:tabs>
          <w:tab w:pos="1610" w:val="left" w:leader="none"/>
        </w:tabs>
        <w:spacing w:line="240" w:lineRule="auto" w:before="0" w:after="0"/>
        <w:ind w:left="193" w:right="622" w:firstLine="710"/>
        <w:jc w:val="both"/>
        <w:rPr>
          <w:sz w:val="28"/>
        </w:rPr>
      </w:pPr>
      <w:r>
        <w:rPr>
          <w:sz w:val="28"/>
        </w:rPr>
        <w:t>Макаренко П.М., Мельник Л.Л. Економічний потенціал різних</w:t>
      </w:r>
      <w:r>
        <w:rPr>
          <w:spacing w:val="-51"/>
          <w:sz w:val="28"/>
        </w:rPr>
        <w:t> </w:t>
      </w:r>
      <w:r>
        <w:rPr>
          <w:sz w:val="28"/>
        </w:rPr>
        <w:t>форм аграрних підприємств. </w:t>
      </w:r>
      <w:r>
        <w:rPr>
          <w:i/>
          <w:sz w:val="28"/>
        </w:rPr>
        <w:t>Економіка АПК. </w:t>
      </w:r>
      <w:r>
        <w:rPr>
          <w:sz w:val="28"/>
        </w:rPr>
        <w:t>2011. №7. С.</w:t>
      </w:r>
      <w:r>
        <w:rPr>
          <w:spacing w:val="16"/>
          <w:sz w:val="28"/>
        </w:rPr>
        <w:t> </w:t>
      </w:r>
      <w:r>
        <w:rPr>
          <w:sz w:val="28"/>
        </w:rPr>
        <w:t>89-97.</w:t>
      </w:r>
    </w:p>
    <w:p>
      <w:pPr>
        <w:pStyle w:val="ListParagraph"/>
        <w:numPr>
          <w:ilvl w:val="0"/>
          <w:numId w:val="24"/>
        </w:numPr>
        <w:tabs>
          <w:tab w:pos="1610" w:val="left" w:leader="none"/>
        </w:tabs>
        <w:spacing w:line="240" w:lineRule="auto" w:before="0" w:after="0"/>
        <w:ind w:left="193" w:right="607" w:firstLine="710"/>
        <w:jc w:val="both"/>
        <w:rPr>
          <w:sz w:val="28"/>
        </w:rPr>
      </w:pPr>
      <w:r>
        <w:rPr>
          <w:sz w:val="28"/>
        </w:rPr>
        <w:t>Мельник Л.Ю., Ільченко О.Є. Фермерські господарства: проблеми ефективного функціонування та розвитку. </w:t>
      </w:r>
      <w:r>
        <w:rPr>
          <w:i/>
          <w:sz w:val="28"/>
        </w:rPr>
        <w:t>Держава та регіони. </w:t>
      </w:r>
      <w:r>
        <w:rPr>
          <w:sz w:val="28"/>
        </w:rPr>
        <w:t>Серія: Економіка та підприємництво. 2012. № 2 (65). С.</w:t>
      </w:r>
      <w:r>
        <w:rPr>
          <w:spacing w:val="14"/>
          <w:sz w:val="28"/>
        </w:rPr>
        <w:t> </w:t>
      </w:r>
      <w:r>
        <w:rPr>
          <w:sz w:val="28"/>
        </w:rPr>
        <w:t>131-134.</w:t>
      </w:r>
    </w:p>
    <w:p>
      <w:pPr>
        <w:pStyle w:val="ListParagraph"/>
        <w:numPr>
          <w:ilvl w:val="0"/>
          <w:numId w:val="24"/>
        </w:numPr>
        <w:tabs>
          <w:tab w:pos="1610" w:val="left" w:leader="none"/>
        </w:tabs>
        <w:spacing w:line="240" w:lineRule="auto" w:before="0" w:after="0"/>
        <w:ind w:left="193" w:right="620" w:firstLine="710"/>
        <w:jc w:val="both"/>
        <w:rPr>
          <w:sz w:val="28"/>
        </w:rPr>
      </w:pPr>
      <w:r>
        <w:rPr>
          <w:sz w:val="28"/>
        </w:rPr>
        <w:t>Розвиток</w:t>
      </w:r>
      <w:r>
        <w:rPr>
          <w:spacing w:val="-20"/>
          <w:sz w:val="28"/>
        </w:rPr>
        <w:t> </w:t>
      </w:r>
      <w:r>
        <w:rPr>
          <w:sz w:val="28"/>
        </w:rPr>
        <w:t>підприємництва:</w:t>
      </w:r>
      <w:r>
        <w:rPr>
          <w:spacing w:val="-20"/>
          <w:sz w:val="28"/>
        </w:rPr>
        <w:t> </w:t>
      </w:r>
      <w:r>
        <w:rPr>
          <w:sz w:val="28"/>
        </w:rPr>
        <w:t>інституціональний</w:t>
      </w:r>
      <w:r>
        <w:rPr>
          <w:spacing w:val="-19"/>
          <w:sz w:val="28"/>
        </w:rPr>
        <w:t> </w:t>
      </w:r>
      <w:r>
        <w:rPr>
          <w:sz w:val="28"/>
        </w:rPr>
        <w:t>аспект.</w:t>
      </w:r>
      <w:r>
        <w:rPr>
          <w:spacing w:val="-17"/>
          <w:sz w:val="28"/>
        </w:rPr>
        <w:t> </w:t>
      </w:r>
      <w:r>
        <w:rPr>
          <w:sz w:val="28"/>
        </w:rPr>
        <w:t>Монографія/За ред. Маліка М.Й. Київ. 2016. 432</w:t>
      </w:r>
      <w:r>
        <w:rPr>
          <w:spacing w:val="17"/>
          <w:sz w:val="28"/>
        </w:rPr>
        <w:t> </w:t>
      </w:r>
      <w:r>
        <w:rPr>
          <w:sz w:val="28"/>
        </w:rPr>
        <w:t>с.</w:t>
      </w:r>
    </w:p>
    <w:p>
      <w:pPr>
        <w:pStyle w:val="ListParagraph"/>
        <w:numPr>
          <w:ilvl w:val="0"/>
          <w:numId w:val="24"/>
        </w:numPr>
        <w:tabs>
          <w:tab w:pos="1610" w:val="left" w:leader="none"/>
        </w:tabs>
        <w:spacing w:line="240" w:lineRule="auto" w:before="0" w:after="0"/>
        <w:ind w:left="193" w:right="623" w:firstLine="710"/>
        <w:jc w:val="both"/>
        <w:rPr>
          <w:sz w:val="28"/>
        </w:rPr>
      </w:pPr>
      <w:r>
        <w:rPr>
          <w:sz w:val="28"/>
        </w:rPr>
        <w:t>Спаський Г.В. Підвищення ефективності функціонування фермерських господарств Закарпаття. </w:t>
      </w:r>
      <w:r>
        <w:rPr>
          <w:i/>
          <w:sz w:val="28"/>
        </w:rPr>
        <w:t>Економіка АПК</w:t>
      </w:r>
      <w:r>
        <w:rPr>
          <w:sz w:val="28"/>
        </w:rPr>
        <w:t>. 2017. № 3. С.</w:t>
      </w:r>
      <w:r>
        <w:rPr>
          <w:spacing w:val="8"/>
          <w:sz w:val="28"/>
        </w:rPr>
        <w:t> </w:t>
      </w:r>
      <w:r>
        <w:rPr>
          <w:sz w:val="28"/>
        </w:rPr>
        <w:t>50.</w:t>
      </w:r>
    </w:p>
    <w:p>
      <w:pPr>
        <w:pStyle w:val="ListParagraph"/>
        <w:numPr>
          <w:ilvl w:val="0"/>
          <w:numId w:val="24"/>
        </w:numPr>
        <w:tabs>
          <w:tab w:pos="1610" w:val="left" w:leader="none"/>
        </w:tabs>
        <w:spacing w:line="240" w:lineRule="auto" w:before="0" w:after="0"/>
        <w:ind w:left="193" w:right="615" w:firstLine="710"/>
        <w:jc w:val="both"/>
        <w:rPr>
          <w:sz w:val="28"/>
        </w:rPr>
      </w:pPr>
      <w:r>
        <w:rPr>
          <w:sz w:val="28"/>
        </w:rPr>
        <w:t>Збарський В.К., Кальченко С.В., Єременко Д.В. Оптимізація методики оцінки конкурентоспроможності високотоварних фермерських господарств сімейно-трудового типу. </w:t>
      </w:r>
      <w:r>
        <w:rPr>
          <w:i/>
          <w:sz w:val="28"/>
        </w:rPr>
        <w:t>Науковий вісник Ужгородського </w:t>
      </w:r>
      <w:r>
        <w:rPr>
          <w:i/>
          <w:sz w:val="28"/>
        </w:rPr>
        <w:t>університету. </w:t>
      </w:r>
      <w:r>
        <w:rPr>
          <w:sz w:val="28"/>
        </w:rPr>
        <w:t>Серія Економіка. 2016. Випуск 1(47). Т.2. С.</w:t>
      </w:r>
      <w:r>
        <w:rPr>
          <w:spacing w:val="11"/>
          <w:sz w:val="28"/>
        </w:rPr>
        <w:t> </w:t>
      </w:r>
      <w:r>
        <w:rPr>
          <w:sz w:val="28"/>
        </w:rPr>
        <w:t>272-278.</w:t>
      </w:r>
    </w:p>
    <w:p>
      <w:pPr>
        <w:pStyle w:val="ListParagraph"/>
        <w:numPr>
          <w:ilvl w:val="0"/>
          <w:numId w:val="24"/>
        </w:numPr>
        <w:tabs>
          <w:tab w:pos="1610" w:val="left" w:leader="none"/>
        </w:tabs>
        <w:spacing w:line="240" w:lineRule="auto" w:before="0" w:after="0"/>
        <w:ind w:left="193" w:right="605" w:firstLine="710"/>
        <w:jc w:val="both"/>
        <w:rPr>
          <w:sz w:val="28"/>
        </w:rPr>
      </w:pPr>
      <w:r>
        <w:rPr>
          <w:sz w:val="28"/>
        </w:rPr>
        <w:t>Биба В.А., Корінець Р.Я. Організаційно-економічні засади підвищення ефективності виробництва сільськогосподарської продукції в фермерських господарствах України. </w:t>
      </w:r>
      <w:r>
        <w:rPr>
          <w:i/>
          <w:sz w:val="28"/>
        </w:rPr>
        <w:t>Економiка та держава. </w:t>
      </w:r>
      <w:r>
        <w:rPr>
          <w:sz w:val="28"/>
        </w:rPr>
        <w:t>2018. № 6. С.88- 92.</w:t>
      </w:r>
    </w:p>
    <w:p>
      <w:pPr>
        <w:pStyle w:val="ListParagraph"/>
        <w:numPr>
          <w:ilvl w:val="0"/>
          <w:numId w:val="24"/>
        </w:numPr>
        <w:tabs>
          <w:tab w:pos="1610" w:val="left" w:leader="none"/>
        </w:tabs>
        <w:spacing w:line="240" w:lineRule="auto" w:before="0" w:after="0"/>
        <w:ind w:left="193" w:right="613" w:firstLine="710"/>
        <w:jc w:val="both"/>
        <w:rPr>
          <w:sz w:val="28"/>
        </w:rPr>
      </w:pPr>
      <w:r>
        <w:rPr>
          <w:sz w:val="28"/>
        </w:rPr>
        <w:t>Осипова М.М., Доброва Н.В. Фермерські господарства України: особливості, проблеми, перспективи розвитку. </w:t>
      </w:r>
      <w:r>
        <w:rPr>
          <w:i/>
          <w:sz w:val="28"/>
        </w:rPr>
        <w:t>Науковий вісник Одеського </w:t>
      </w:r>
      <w:r>
        <w:rPr>
          <w:i/>
          <w:sz w:val="28"/>
        </w:rPr>
        <w:t>національного економічного університету</w:t>
      </w:r>
      <w:r>
        <w:rPr>
          <w:sz w:val="28"/>
        </w:rPr>
        <w:t>. Науки: економіка, політологія, історія. 2016. № 10 (242). С.</w:t>
      </w:r>
      <w:r>
        <w:rPr>
          <w:spacing w:val="14"/>
          <w:sz w:val="28"/>
        </w:rPr>
        <w:t> </w:t>
      </w:r>
      <w:r>
        <w:rPr>
          <w:sz w:val="28"/>
        </w:rPr>
        <w:t>98-121.</w:t>
      </w:r>
    </w:p>
    <w:p>
      <w:pPr>
        <w:spacing w:after="0" w:line="240" w:lineRule="auto"/>
        <w:jc w:val="both"/>
        <w:rPr>
          <w:sz w:val="28"/>
        </w:rPr>
        <w:sectPr>
          <w:pgSz w:w="11910" w:h="16840"/>
          <w:pgMar w:header="713" w:footer="778" w:top="1140" w:bottom="960" w:left="940" w:right="520"/>
        </w:sectPr>
      </w:pPr>
    </w:p>
    <w:p>
      <w:pPr>
        <w:spacing w:before="96"/>
        <w:ind w:left="3179" w:right="799" w:hanging="1993"/>
        <w:jc w:val="left"/>
        <w:rPr>
          <w:b/>
          <w:sz w:val="28"/>
        </w:rPr>
      </w:pPr>
      <w:r>
        <w:rPr>
          <w:b/>
          <w:color w:val="212121"/>
          <w:sz w:val="28"/>
        </w:rPr>
        <w:t>ПОВЫШЕНИЕ ЭФФЕКТИВНОСТИ ФУНКЦИОНИРОВАНИЯ ФЕРМЕРСКИХ ХАЗЯЙСТВ</w:t>
      </w:r>
    </w:p>
    <w:p>
      <w:pPr>
        <w:pStyle w:val="BodyText"/>
        <w:spacing w:line="316" w:lineRule="exact"/>
        <w:ind w:left="4740"/>
      </w:pPr>
      <w:r>
        <w:rPr>
          <w:color w:val="212121"/>
        </w:rPr>
        <w:t>Дидур А.</w:t>
      </w:r>
    </w:p>
    <w:p>
      <w:pPr>
        <w:spacing w:line="240" w:lineRule="auto" w:before="0"/>
        <w:ind w:left="193" w:right="614" w:firstLine="561"/>
        <w:jc w:val="both"/>
        <w:rPr>
          <w:i/>
          <w:sz w:val="28"/>
        </w:rPr>
      </w:pPr>
      <w:r>
        <w:rPr>
          <w:i/>
          <w:color w:val="212121"/>
          <w:sz w:val="28"/>
        </w:rPr>
        <w:t>В статье рассматриваются тенденции развития фермерских хозяйств </w:t>
      </w:r>
      <w:r>
        <w:rPr>
          <w:i/>
          <w:color w:val="212121"/>
          <w:sz w:val="28"/>
        </w:rPr>
        <w:t>Украины за период с 2010 по 2017 годы. Проанализировано динамику и структуру производства продукции. Исследовано уровень эффективности сельскохозяйственного производства в фермерских хозяйствах. Выявлены проблемы, с которыми сталкиваются современные фермерские хозяйства. Дана оценка уровню государственной поддержки фермерских хозяйств и определены направления её совершенствования. Обоснована необходимость разработки системных мер по повышению эффективности функционирования фермерских хозяйств.</w:t>
      </w:r>
    </w:p>
    <w:p>
      <w:pPr>
        <w:spacing w:before="3"/>
        <w:ind w:left="193" w:right="616" w:firstLine="710"/>
        <w:jc w:val="both"/>
        <w:rPr>
          <w:i/>
          <w:sz w:val="28"/>
        </w:rPr>
      </w:pPr>
      <w:r>
        <w:rPr>
          <w:b/>
          <w:i/>
          <w:sz w:val="28"/>
        </w:rPr>
        <w:t>Ключевые слова: </w:t>
      </w:r>
      <w:r>
        <w:rPr>
          <w:i/>
          <w:sz w:val="28"/>
        </w:rPr>
        <w:t>фермерские хозяйства; эффективность; </w:t>
      </w:r>
      <w:r>
        <w:rPr>
          <w:i/>
          <w:sz w:val="28"/>
        </w:rPr>
        <w:t>рентабельность; государственная поддержка.</w:t>
      </w:r>
    </w:p>
    <w:p>
      <w:pPr>
        <w:pStyle w:val="BodyText"/>
        <w:spacing w:before="4"/>
        <w:ind w:left="0"/>
        <w:jc w:val="left"/>
        <w:rPr>
          <w:i/>
        </w:rPr>
      </w:pPr>
    </w:p>
    <w:p>
      <w:pPr>
        <w:pStyle w:val="Heading1"/>
        <w:spacing w:line="319" w:lineRule="exact"/>
        <w:ind w:left="892"/>
      </w:pPr>
      <w:r>
        <w:rPr/>
        <w:t>IMPROVING THE EFFICIENCY OF FARMS</w:t>
      </w:r>
    </w:p>
    <w:p>
      <w:pPr>
        <w:pStyle w:val="BodyText"/>
        <w:spacing w:line="319" w:lineRule="exact"/>
        <w:ind w:left="4798"/>
      </w:pPr>
      <w:r>
        <w:rPr/>
        <w:t>Didur H.</w:t>
      </w:r>
    </w:p>
    <w:p>
      <w:pPr>
        <w:spacing w:line="240" w:lineRule="auto" w:before="0"/>
        <w:ind w:left="193" w:right="611" w:firstLine="561"/>
        <w:jc w:val="both"/>
        <w:rPr>
          <w:i/>
          <w:sz w:val="28"/>
        </w:rPr>
      </w:pPr>
      <w:r>
        <w:rPr>
          <w:i/>
          <w:sz w:val="28"/>
        </w:rPr>
        <w:t>Despite of multi-aspect researches by domestic scientists concerning the search </w:t>
      </w:r>
      <w:r>
        <w:rPr>
          <w:i/>
          <w:sz w:val="28"/>
        </w:rPr>
        <w:t>of the problem of farms operation efficiency, further scientific grounding is required by the questions of the search of main directions of supporting efficient development of private farms taking into account contemporary challenges of their functioning external environment.</w:t>
      </w:r>
    </w:p>
    <w:p>
      <w:pPr>
        <w:spacing w:before="3"/>
        <w:ind w:left="193" w:right="615" w:firstLine="561"/>
        <w:jc w:val="right"/>
        <w:rPr>
          <w:i/>
          <w:sz w:val="28"/>
        </w:rPr>
      </w:pPr>
      <w:r>
        <w:rPr>
          <w:i/>
          <w:sz w:val="28"/>
        </w:rPr>
        <w:t>Private</w:t>
      </w:r>
      <w:r>
        <w:rPr>
          <w:i/>
          <w:spacing w:val="-16"/>
          <w:sz w:val="28"/>
        </w:rPr>
        <w:t> </w:t>
      </w:r>
      <w:r>
        <w:rPr>
          <w:i/>
          <w:sz w:val="28"/>
        </w:rPr>
        <w:t>farm</w:t>
      </w:r>
      <w:r>
        <w:rPr>
          <w:i/>
          <w:spacing w:val="-15"/>
          <w:sz w:val="28"/>
        </w:rPr>
        <w:t> </w:t>
      </w:r>
      <w:r>
        <w:rPr>
          <w:i/>
          <w:sz w:val="28"/>
        </w:rPr>
        <w:t>is</w:t>
      </w:r>
      <w:r>
        <w:rPr>
          <w:i/>
          <w:spacing w:val="-15"/>
          <w:sz w:val="28"/>
        </w:rPr>
        <w:t> </w:t>
      </w:r>
      <w:r>
        <w:rPr>
          <w:i/>
          <w:sz w:val="28"/>
        </w:rPr>
        <w:t>a</w:t>
      </w:r>
      <w:r>
        <w:rPr>
          <w:i/>
          <w:spacing w:val="-17"/>
          <w:sz w:val="28"/>
        </w:rPr>
        <w:t> </w:t>
      </w:r>
      <w:r>
        <w:rPr>
          <w:i/>
          <w:sz w:val="28"/>
        </w:rPr>
        <w:t>contemporary</w:t>
      </w:r>
      <w:r>
        <w:rPr>
          <w:i/>
          <w:spacing w:val="-15"/>
          <w:sz w:val="28"/>
        </w:rPr>
        <w:t> </w:t>
      </w:r>
      <w:r>
        <w:rPr>
          <w:i/>
          <w:sz w:val="28"/>
        </w:rPr>
        <w:t>form</w:t>
      </w:r>
      <w:r>
        <w:rPr>
          <w:i/>
          <w:spacing w:val="-15"/>
          <w:sz w:val="28"/>
        </w:rPr>
        <w:t> </w:t>
      </w:r>
      <w:r>
        <w:rPr>
          <w:i/>
          <w:sz w:val="28"/>
        </w:rPr>
        <w:t>of</w:t>
      </w:r>
      <w:r>
        <w:rPr>
          <w:i/>
          <w:spacing w:val="-16"/>
          <w:sz w:val="28"/>
        </w:rPr>
        <w:t> </w:t>
      </w:r>
      <w:r>
        <w:rPr>
          <w:i/>
          <w:sz w:val="28"/>
        </w:rPr>
        <w:t>organization</w:t>
      </w:r>
      <w:r>
        <w:rPr>
          <w:i/>
          <w:spacing w:val="-17"/>
          <w:sz w:val="28"/>
        </w:rPr>
        <w:t> </w:t>
      </w:r>
      <w:r>
        <w:rPr>
          <w:i/>
          <w:sz w:val="28"/>
        </w:rPr>
        <w:t>of</w:t>
      </w:r>
      <w:r>
        <w:rPr>
          <w:i/>
          <w:spacing w:val="-16"/>
          <w:sz w:val="28"/>
        </w:rPr>
        <w:t> </w:t>
      </w:r>
      <w:r>
        <w:rPr>
          <w:i/>
          <w:sz w:val="28"/>
        </w:rPr>
        <w:t>agricultural</w:t>
      </w:r>
      <w:r>
        <w:rPr>
          <w:i/>
          <w:spacing w:val="-16"/>
          <w:sz w:val="28"/>
        </w:rPr>
        <w:t> </w:t>
      </w:r>
      <w:r>
        <w:rPr>
          <w:i/>
          <w:sz w:val="28"/>
        </w:rPr>
        <w:t>business,</w:t>
      </w:r>
      <w:r>
        <w:rPr>
          <w:i/>
          <w:spacing w:val="-14"/>
          <w:sz w:val="28"/>
        </w:rPr>
        <w:t> </w:t>
      </w:r>
      <w:r>
        <w:rPr>
          <w:i/>
          <w:sz w:val="28"/>
        </w:rPr>
        <w:t>free</w:t>
      </w:r>
      <w:r>
        <w:rPr>
          <w:i/>
          <w:w w:val="99"/>
          <w:sz w:val="28"/>
        </w:rPr>
        <w:t> </w:t>
      </w:r>
      <w:r>
        <w:rPr>
          <w:i/>
          <w:sz w:val="28"/>
        </w:rPr>
        <w:t>agricultural entrepreneurship, that is carried out based on the principles</w:t>
      </w:r>
      <w:r>
        <w:rPr>
          <w:i/>
          <w:spacing w:val="-1"/>
          <w:sz w:val="28"/>
        </w:rPr>
        <w:t> </w:t>
      </w:r>
      <w:r>
        <w:rPr>
          <w:i/>
          <w:sz w:val="28"/>
        </w:rPr>
        <w:t>of</w:t>
      </w:r>
      <w:r>
        <w:rPr>
          <w:i/>
          <w:spacing w:val="-2"/>
          <w:sz w:val="28"/>
        </w:rPr>
        <w:t> </w:t>
      </w:r>
      <w:r>
        <w:rPr>
          <w:i/>
          <w:sz w:val="28"/>
        </w:rPr>
        <w:t>economic</w:t>
      </w:r>
      <w:r>
        <w:rPr>
          <w:i/>
          <w:w w:val="99"/>
          <w:sz w:val="28"/>
        </w:rPr>
        <w:t> </w:t>
      </w:r>
      <w:r>
        <w:rPr>
          <w:i/>
          <w:sz w:val="28"/>
        </w:rPr>
        <w:t>benefit.</w:t>
      </w:r>
      <w:r>
        <w:rPr>
          <w:i/>
          <w:spacing w:val="41"/>
          <w:sz w:val="28"/>
        </w:rPr>
        <w:t> </w:t>
      </w:r>
      <w:r>
        <w:rPr>
          <w:i/>
          <w:sz w:val="28"/>
        </w:rPr>
        <w:t>It</w:t>
      </w:r>
      <w:r>
        <w:rPr>
          <w:i/>
          <w:spacing w:val="40"/>
          <w:sz w:val="28"/>
        </w:rPr>
        <w:t> </w:t>
      </w:r>
      <w:r>
        <w:rPr>
          <w:i/>
          <w:sz w:val="28"/>
        </w:rPr>
        <w:t>is</w:t>
      </w:r>
      <w:r>
        <w:rPr>
          <w:i/>
          <w:spacing w:val="41"/>
          <w:sz w:val="28"/>
        </w:rPr>
        <w:t> </w:t>
      </w:r>
      <w:r>
        <w:rPr>
          <w:i/>
          <w:sz w:val="28"/>
        </w:rPr>
        <w:t>based</w:t>
      </w:r>
      <w:r>
        <w:rPr>
          <w:i/>
          <w:spacing w:val="40"/>
          <w:sz w:val="28"/>
        </w:rPr>
        <w:t> </w:t>
      </w:r>
      <w:r>
        <w:rPr>
          <w:i/>
          <w:sz w:val="28"/>
        </w:rPr>
        <w:t>on</w:t>
      </w:r>
      <w:r>
        <w:rPr>
          <w:i/>
          <w:spacing w:val="39"/>
          <w:sz w:val="28"/>
        </w:rPr>
        <w:t> </w:t>
      </w:r>
      <w:r>
        <w:rPr>
          <w:i/>
          <w:sz w:val="28"/>
        </w:rPr>
        <w:t>private</w:t>
      </w:r>
      <w:r>
        <w:rPr>
          <w:i/>
          <w:spacing w:val="41"/>
          <w:sz w:val="28"/>
        </w:rPr>
        <w:t> </w:t>
      </w:r>
      <w:r>
        <w:rPr>
          <w:i/>
          <w:sz w:val="28"/>
        </w:rPr>
        <w:t>(individual)</w:t>
      </w:r>
      <w:r>
        <w:rPr>
          <w:i/>
          <w:spacing w:val="38"/>
          <w:sz w:val="28"/>
        </w:rPr>
        <w:t> </w:t>
      </w:r>
      <w:r>
        <w:rPr>
          <w:i/>
          <w:sz w:val="28"/>
        </w:rPr>
        <w:t>property</w:t>
      </w:r>
      <w:r>
        <w:rPr>
          <w:i/>
          <w:spacing w:val="41"/>
          <w:sz w:val="28"/>
        </w:rPr>
        <w:t> </w:t>
      </w:r>
      <w:r>
        <w:rPr>
          <w:i/>
          <w:sz w:val="28"/>
        </w:rPr>
        <w:t>over</w:t>
      </w:r>
      <w:r>
        <w:rPr>
          <w:i/>
          <w:spacing w:val="41"/>
          <w:sz w:val="28"/>
        </w:rPr>
        <w:t> </w:t>
      </w:r>
      <w:r>
        <w:rPr>
          <w:i/>
          <w:sz w:val="28"/>
        </w:rPr>
        <w:t>the</w:t>
      </w:r>
      <w:r>
        <w:rPr>
          <w:i/>
          <w:spacing w:val="41"/>
          <w:sz w:val="28"/>
        </w:rPr>
        <w:t> </w:t>
      </w:r>
      <w:r>
        <w:rPr>
          <w:i/>
          <w:sz w:val="28"/>
        </w:rPr>
        <w:t>means</w:t>
      </w:r>
      <w:r>
        <w:rPr>
          <w:i/>
          <w:spacing w:val="41"/>
          <w:sz w:val="28"/>
        </w:rPr>
        <w:t> </w:t>
      </w:r>
      <w:r>
        <w:rPr>
          <w:i/>
          <w:sz w:val="28"/>
        </w:rPr>
        <w:t>of</w:t>
      </w:r>
      <w:r>
        <w:rPr>
          <w:i/>
          <w:spacing w:val="40"/>
          <w:sz w:val="28"/>
        </w:rPr>
        <w:t> </w:t>
      </w:r>
      <w:r>
        <w:rPr>
          <w:i/>
          <w:sz w:val="28"/>
        </w:rPr>
        <w:t>production,</w:t>
      </w:r>
      <w:r>
        <w:rPr>
          <w:i/>
          <w:w w:val="99"/>
          <w:sz w:val="28"/>
        </w:rPr>
        <w:t> </w:t>
      </w:r>
      <w:r>
        <w:rPr>
          <w:i/>
          <w:sz w:val="28"/>
        </w:rPr>
        <w:t>including land, and on small-group, that’s mostly family, form of</w:t>
      </w:r>
      <w:r>
        <w:rPr>
          <w:i/>
          <w:spacing w:val="-29"/>
          <w:sz w:val="28"/>
        </w:rPr>
        <w:t> </w:t>
      </w:r>
      <w:r>
        <w:rPr>
          <w:i/>
          <w:sz w:val="28"/>
        </w:rPr>
        <w:t>labour</w:t>
      </w:r>
      <w:r>
        <w:rPr>
          <w:i/>
          <w:spacing w:val="-3"/>
          <w:sz w:val="28"/>
        </w:rPr>
        <w:t> </w:t>
      </w:r>
      <w:r>
        <w:rPr>
          <w:i/>
          <w:sz w:val="28"/>
        </w:rPr>
        <w:t>exploitation.</w:t>
      </w:r>
      <w:r>
        <w:rPr>
          <w:i/>
          <w:w w:val="99"/>
          <w:sz w:val="28"/>
        </w:rPr>
        <w:t> </w:t>
      </w:r>
      <w:r>
        <w:rPr>
          <w:i/>
          <w:sz w:val="28"/>
        </w:rPr>
        <w:t>Within the structure of domestic agricultural industry, individual farms</w:t>
      </w:r>
      <w:r>
        <w:rPr>
          <w:i/>
          <w:spacing w:val="6"/>
          <w:sz w:val="28"/>
        </w:rPr>
        <w:t> </w:t>
      </w:r>
      <w:r>
        <w:rPr>
          <w:i/>
          <w:sz w:val="28"/>
        </w:rPr>
        <w:t>produce</w:t>
      </w:r>
    </w:p>
    <w:p>
      <w:pPr>
        <w:spacing w:line="320" w:lineRule="exact" w:before="0"/>
        <w:ind w:left="193" w:right="0" w:firstLine="0"/>
        <w:jc w:val="both"/>
        <w:rPr>
          <w:i/>
          <w:sz w:val="28"/>
        </w:rPr>
      </w:pPr>
      <w:r>
        <w:rPr>
          <w:i/>
          <w:sz w:val="28"/>
        </w:rPr>
        <w:t>15,5% of gross agricultural output.</w:t>
      </w:r>
    </w:p>
    <w:p>
      <w:pPr>
        <w:spacing w:before="0"/>
        <w:ind w:left="193" w:right="621" w:firstLine="561"/>
        <w:jc w:val="both"/>
        <w:rPr>
          <w:i/>
          <w:sz w:val="28"/>
        </w:rPr>
      </w:pPr>
      <w:r>
        <w:rPr>
          <w:i/>
          <w:sz w:val="28"/>
        </w:rPr>
        <w:t>Increase</w:t>
      </w:r>
      <w:r>
        <w:rPr>
          <w:i/>
          <w:spacing w:val="-16"/>
          <w:sz w:val="28"/>
        </w:rPr>
        <w:t> </w:t>
      </w:r>
      <w:r>
        <w:rPr>
          <w:i/>
          <w:sz w:val="28"/>
        </w:rPr>
        <w:t>of</w:t>
      </w:r>
      <w:r>
        <w:rPr>
          <w:i/>
          <w:spacing w:val="-17"/>
          <w:sz w:val="28"/>
        </w:rPr>
        <w:t> </w:t>
      </w:r>
      <w:r>
        <w:rPr>
          <w:i/>
          <w:sz w:val="28"/>
        </w:rPr>
        <w:t>agricultural</w:t>
      </w:r>
      <w:r>
        <w:rPr>
          <w:i/>
          <w:spacing w:val="-16"/>
          <w:sz w:val="28"/>
        </w:rPr>
        <w:t> </w:t>
      </w:r>
      <w:r>
        <w:rPr>
          <w:i/>
          <w:sz w:val="28"/>
        </w:rPr>
        <w:t>crops</w:t>
      </w:r>
      <w:r>
        <w:rPr>
          <w:i/>
          <w:spacing w:val="-15"/>
          <w:sz w:val="28"/>
        </w:rPr>
        <w:t> </w:t>
      </w:r>
      <w:r>
        <w:rPr>
          <w:i/>
          <w:sz w:val="28"/>
        </w:rPr>
        <w:t>yield</w:t>
      </w:r>
      <w:r>
        <w:rPr>
          <w:i/>
          <w:spacing w:val="-16"/>
          <w:sz w:val="28"/>
        </w:rPr>
        <w:t> </w:t>
      </w:r>
      <w:r>
        <w:rPr>
          <w:i/>
          <w:sz w:val="28"/>
        </w:rPr>
        <w:t>has</w:t>
      </w:r>
      <w:r>
        <w:rPr>
          <w:i/>
          <w:spacing w:val="-15"/>
          <w:sz w:val="28"/>
        </w:rPr>
        <w:t> </w:t>
      </w:r>
      <w:r>
        <w:rPr>
          <w:i/>
          <w:sz w:val="28"/>
        </w:rPr>
        <w:t>been</w:t>
      </w:r>
      <w:r>
        <w:rPr>
          <w:i/>
          <w:spacing w:val="-16"/>
          <w:sz w:val="28"/>
        </w:rPr>
        <w:t> </w:t>
      </w:r>
      <w:r>
        <w:rPr>
          <w:i/>
          <w:sz w:val="28"/>
        </w:rPr>
        <w:t>noticed.</w:t>
      </w:r>
      <w:r>
        <w:rPr>
          <w:i/>
          <w:spacing w:val="-15"/>
          <w:sz w:val="28"/>
        </w:rPr>
        <w:t> </w:t>
      </w:r>
      <w:r>
        <w:rPr>
          <w:i/>
          <w:sz w:val="28"/>
        </w:rPr>
        <w:t>At</w:t>
      </w:r>
      <w:r>
        <w:rPr>
          <w:i/>
          <w:spacing w:val="-16"/>
          <w:sz w:val="28"/>
        </w:rPr>
        <w:t> </w:t>
      </w:r>
      <w:r>
        <w:rPr>
          <w:i/>
          <w:sz w:val="28"/>
        </w:rPr>
        <w:t>the</w:t>
      </w:r>
      <w:r>
        <w:rPr>
          <w:i/>
          <w:spacing w:val="-16"/>
          <w:sz w:val="28"/>
        </w:rPr>
        <w:t> </w:t>
      </w:r>
      <w:r>
        <w:rPr>
          <w:i/>
          <w:sz w:val="28"/>
        </w:rPr>
        <w:t>same</w:t>
      </w:r>
      <w:r>
        <w:rPr>
          <w:i/>
          <w:spacing w:val="-14"/>
          <w:sz w:val="28"/>
        </w:rPr>
        <w:t> </w:t>
      </w:r>
      <w:r>
        <w:rPr>
          <w:i/>
          <w:sz w:val="28"/>
        </w:rPr>
        <w:t>time,</w:t>
      </w:r>
      <w:r>
        <w:rPr>
          <w:i/>
          <w:spacing w:val="-15"/>
          <w:sz w:val="28"/>
        </w:rPr>
        <w:t> </w:t>
      </w:r>
      <w:r>
        <w:rPr>
          <w:i/>
          <w:sz w:val="28"/>
        </w:rPr>
        <w:t>in</w:t>
      </w:r>
      <w:r>
        <w:rPr>
          <w:i/>
          <w:spacing w:val="-17"/>
          <w:sz w:val="28"/>
        </w:rPr>
        <w:t> </w:t>
      </w:r>
      <w:r>
        <w:rPr>
          <w:i/>
          <w:sz w:val="28"/>
        </w:rPr>
        <w:t>relation </w:t>
      </w:r>
      <w:r>
        <w:rPr>
          <w:i/>
          <w:sz w:val="28"/>
        </w:rPr>
        <w:t>to most of crops, private farms have lesser crops yield than agricultural companies in whole.</w:t>
      </w:r>
    </w:p>
    <w:p>
      <w:pPr>
        <w:spacing w:before="4"/>
        <w:ind w:left="193" w:right="610" w:firstLine="561"/>
        <w:jc w:val="both"/>
        <w:rPr>
          <w:i/>
          <w:sz w:val="28"/>
        </w:rPr>
      </w:pPr>
      <w:r>
        <w:rPr>
          <w:i/>
          <w:sz w:val="28"/>
        </w:rPr>
        <w:t>The task of increasing the yield capacity can be solved by means of using </w:t>
      </w:r>
      <w:r>
        <w:rPr>
          <w:i/>
          <w:sz w:val="28"/>
        </w:rPr>
        <w:t>breakthrough technologies with the use of scientific achievement, study of the experience of leading companies and ensuring high quality of labour. But it should be also taken into account that commencing production of intensive crops and sorts can have negative consequences. Development of intensive arable farming without compliance with respective conditions leads to soil depletion.</w:t>
      </w:r>
    </w:p>
    <w:p>
      <w:pPr>
        <w:spacing w:before="0"/>
        <w:ind w:left="193" w:right="608" w:firstLine="561"/>
        <w:jc w:val="both"/>
        <w:rPr>
          <w:i/>
          <w:sz w:val="28"/>
        </w:rPr>
      </w:pPr>
      <w:r>
        <w:rPr>
          <w:i/>
          <w:sz w:val="28"/>
        </w:rPr>
        <w:t>During the last 7 years one can notice a significant fluctuations of the level of </w:t>
      </w:r>
      <w:r>
        <w:rPr>
          <w:i/>
          <w:sz w:val="28"/>
        </w:rPr>
        <w:t>profitability of agricultural products that is a sign of its great dependence on natural and</w:t>
      </w:r>
      <w:r>
        <w:rPr>
          <w:i/>
          <w:spacing w:val="-13"/>
          <w:sz w:val="28"/>
        </w:rPr>
        <w:t> </w:t>
      </w:r>
      <w:r>
        <w:rPr>
          <w:i/>
          <w:sz w:val="28"/>
        </w:rPr>
        <w:t>climatic</w:t>
      </w:r>
      <w:r>
        <w:rPr>
          <w:i/>
          <w:spacing w:val="-12"/>
          <w:sz w:val="28"/>
        </w:rPr>
        <w:t> </w:t>
      </w:r>
      <w:r>
        <w:rPr>
          <w:i/>
          <w:sz w:val="28"/>
        </w:rPr>
        <w:t>circumstances</w:t>
      </w:r>
      <w:r>
        <w:rPr>
          <w:i/>
          <w:spacing w:val="-11"/>
          <w:sz w:val="28"/>
        </w:rPr>
        <w:t> </w:t>
      </w:r>
      <w:r>
        <w:rPr>
          <w:i/>
          <w:sz w:val="28"/>
        </w:rPr>
        <w:t>of</w:t>
      </w:r>
      <w:r>
        <w:rPr>
          <w:i/>
          <w:spacing w:val="-13"/>
          <w:sz w:val="28"/>
        </w:rPr>
        <w:t> </w:t>
      </w:r>
      <w:r>
        <w:rPr>
          <w:i/>
          <w:sz w:val="28"/>
        </w:rPr>
        <w:t>respective</w:t>
      </w:r>
      <w:r>
        <w:rPr>
          <w:i/>
          <w:spacing w:val="-12"/>
          <w:sz w:val="28"/>
        </w:rPr>
        <w:t> </w:t>
      </w:r>
      <w:r>
        <w:rPr>
          <w:i/>
          <w:sz w:val="28"/>
        </w:rPr>
        <w:t>year.</w:t>
      </w:r>
      <w:r>
        <w:rPr>
          <w:i/>
          <w:spacing w:val="-10"/>
          <w:sz w:val="28"/>
        </w:rPr>
        <w:t> </w:t>
      </w:r>
      <w:r>
        <w:rPr>
          <w:i/>
          <w:sz w:val="28"/>
        </w:rPr>
        <w:t>In</w:t>
      </w:r>
      <w:r>
        <w:rPr>
          <w:i/>
          <w:spacing w:val="-13"/>
          <w:sz w:val="28"/>
        </w:rPr>
        <w:t> </w:t>
      </w:r>
      <w:r>
        <w:rPr>
          <w:i/>
          <w:sz w:val="28"/>
        </w:rPr>
        <w:t>plant</w:t>
      </w:r>
      <w:r>
        <w:rPr>
          <w:i/>
          <w:spacing w:val="-13"/>
          <w:sz w:val="28"/>
        </w:rPr>
        <w:t> </w:t>
      </w:r>
      <w:r>
        <w:rPr>
          <w:i/>
          <w:sz w:val="28"/>
        </w:rPr>
        <w:t>industry,</w:t>
      </w:r>
      <w:r>
        <w:rPr>
          <w:i/>
          <w:spacing w:val="-10"/>
          <w:sz w:val="28"/>
        </w:rPr>
        <w:t> </w:t>
      </w:r>
      <w:r>
        <w:rPr>
          <w:i/>
          <w:sz w:val="28"/>
        </w:rPr>
        <w:t>decrease</w:t>
      </w:r>
      <w:r>
        <w:rPr>
          <w:i/>
          <w:spacing w:val="-12"/>
          <w:sz w:val="28"/>
        </w:rPr>
        <w:t> </w:t>
      </w:r>
      <w:r>
        <w:rPr>
          <w:i/>
          <w:sz w:val="28"/>
        </w:rPr>
        <w:t>of</w:t>
      </w:r>
      <w:r>
        <w:rPr>
          <w:i/>
          <w:spacing w:val="-13"/>
          <w:sz w:val="28"/>
        </w:rPr>
        <w:t> </w:t>
      </w:r>
      <w:r>
        <w:rPr>
          <w:i/>
          <w:sz w:val="28"/>
        </w:rPr>
        <w:t>sunflower and grape profitability within the period from 2012 to 2017 has been detected. In livestock breeding almost all types of products are loss-making, apart from milk, that requires taking effective actions, including those from the part of state bodies, to support this industry. Developing livestock breeding provides for</w:t>
      </w:r>
      <w:r>
        <w:rPr>
          <w:i/>
          <w:spacing w:val="-18"/>
          <w:sz w:val="28"/>
        </w:rPr>
        <w:t> </w:t>
      </w:r>
      <w:r>
        <w:rPr>
          <w:i/>
          <w:sz w:val="28"/>
        </w:rPr>
        <w:t>ensuring keeping</w:t>
      </w:r>
    </w:p>
    <w:p>
      <w:pPr>
        <w:spacing w:after="0"/>
        <w:jc w:val="both"/>
        <w:rPr>
          <w:sz w:val="28"/>
        </w:rPr>
        <w:sectPr>
          <w:pgSz w:w="11910" w:h="16840"/>
          <w:pgMar w:header="713" w:footer="778" w:top="1140" w:bottom="960" w:left="940" w:right="520"/>
        </w:sectPr>
      </w:pPr>
    </w:p>
    <w:p>
      <w:pPr>
        <w:spacing w:before="92"/>
        <w:ind w:left="193" w:right="625" w:firstLine="0"/>
        <w:jc w:val="both"/>
        <w:rPr>
          <w:i/>
          <w:sz w:val="28"/>
        </w:rPr>
      </w:pPr>
      <w:r>
        <w:rPr>
          <w:i/>
          <w:sz w:val="28"/>
        </w:rPr>
        <w:t>rational planting rotation in plant industry and is also socially significant within the </w:t>
      </w:r>
      <w:r>
        <w:rPr>
          <w:i/>
          <w:sz w:val="28"/>
        </w:rPr>
        <w:t>context of supplying rural population with workplaces.</w:t>
      </w:r>
    </w:p>
    <w:p>
      <w:pPr>
        <w:spacing w:line="240" w:lineRule="auto" w:before="0"/>
        <w:ind w:left="193" w:right="615" w:firstLine="561"/>
        <w:jc w:val="both"/>
        <w:rPr>
          <w:i/>
          <w:sz w:val="28"/>
        </w:rPr>
      </w:pPr>
      <w:r>
        <w:rPr>
          <w:i/>
          <w:sz w:val="28"/>
        </w:rPr>
        <w:t>The main strategic direction of individual farms development in Ukraine should </w:t>
      </w:r>
      <w:r>
        <w:rPr>
          <w:i/>
          <w:sz w:val="28"/>
        </w:rPr>
        <w:t>be: improvement of legislation and regulations that could ensure steady development of agricultural industry; production of organic, safe and ecologically clean agricultural</w:t>
      </w:r>
      <w:r>
        <w:rPr>
          <w:i/>
          <w:spacing w:val="-14"/>
          <w:sz w:val="28"/>
        </w:rPr>
        <w:t> </w:t>
      </w:r>
      <w:r>
        <w:rPr>
          <w:i/>
          <w:sz w:val="28"/>
        </w:rPr>
        <w:t>products;</w:t>
      </w:r>
      <w:r>
        <w:rPr>
          <w:i/>
          <w:spacing w:val="-15"/>
          <w:sz w:val="28"/>
        </w:rPr>
        <w:t> </w:t>
      </w:r>
      <w:r>
        <w:rPr>
          <w:i/>
          <w:sz w:val="28"/>
        </w:rPr>
        <w:t>setting</w:t>
      </w:r>
      <w:r>
        <w:rPr>
          <w:i/>
          <w:spacing w:val="-14"/>
          <w:sz w:val="28"/>
        </w:rPr>
        <w:t> </w:t>
      </w:r>
      <w:r>
        <w:rPr>
          <w:i/>
          <w:sz w:val="28"/>
        </w:rPr>
        <w:t>market</w:t>
      </w:r>
      <w:r>
        <w:rPr>
          <w:i/>
          <w:spacing w:val="-14"/>
          <w:sz w:val="28"/>
        </w:rPr>
        <w:t> </w:t>
      </w:r>
      <w:r>
        <w:rPr>
          <w:i/>
          <w:sz w:val="28"/>
        </w:rPr>
        <w:t>prices</w:t>
      </w:r>
      <w:r>
        <w:rPr>
          <w:i/>
          <w:spacing w:val="-11"/>
          <w:sz w:val="28"/>
        </w:rPr>
        <w:t> </w:t>
      </w:r>
      <w:r>
        <w:rPr>
          <w:i/>
          <w:sz w:val="28"/>
        </w:rPr>
        <w:t>to</w:t>
      </w:r>
      <w:r>
        <w:rPr>
          <w:i/>
          <w:spacing w:val="-14"/>
          <w:sz w:val="28"/>
        </w:rPr>
        <w:t> </w:t>
      </w:r>
      <w:r>
        <w:rPr>
          <w:i/>
          <w:sz w:val="28"/>
        </w:rPr>
        <w:t>products</w:t>
      </w:r>
      <w:r>
        <w:rPr>
          <w:i/>
          <w:spacing w:val="-12"/>
          <w:sz w:val="28"/>
        </w:rPr>
        <w:t> </w:t>
      </w:r>
      <w:r>
        <w:rPr>
          <w:i/>
          <w:sz w:val="28"/>
        </w:rPr>
        <w:t>that</w:t>
      </w:r>
      <w:r>
        <w:rPr>
          <w:i/>
          <w:spacing w:val="-14"/>
          <w:sz w:val="28"/>
        </w:rPr>
        <w:t> </w:t>
      </w:r>
      <w:r>
        <w:rPr>
          <w:i/>
          <w:sz w:val="28"/>
        </w:rPr>
        <w:t>would</w:t>
      </w:r>
      <w:r>
        <w:rPr>
          <w:i/>
          <w:spacing w:val="-13"/>
          <w:sz w:val="28"/>
        </w:rPr>
        <w:t> </w:t>
      </w:r>
      <w:r>
        <w:rPr>
          <w:i/>
          <w:sz w:val="28"/>
        </w:rPr>
        <w:t>ensure</w:t>
      </w:r>
      <w:r>
        <w:rPr>
          <w:i/>
          <w:spacing w:val="-13"/>
          <w:sz w:val="28"/>
        </w:rPr>
        <w:t> </w:t>
      </w:r>
      <w:r>
        <w:rPr>
          <w:i/>
          <w:sz w:val="28"/>
        </w:rPr>
        <w:t>profitability of production thereof for the main amount of manufacturers; introduction of scientific and technological progress and innovations; involving young people to agricultural industry; ensuring fare wages in agricultural industry,</w:t>
      </w:r>
      <w:r>
        <w:rPr>
          <w:i/>
          <w:spacing w:val="7"/>
          <w:sz w:val="28"/>
        </w:rPr>
        <w:t> </w:t>
      </w:r>
      <w:r>
        <w:rPr>
          <w:i/>
          <w:sz w:val="28"/>
        </w:rPr>
        <w:t>etc.</w:t>
      </w:r>
    </w:p>
    <w:p>
      <w:pPr>
        <w:spacing w:before="2"/>
        <w:ind w:left="193" w:right="610" w:firstLine="561"/>
        <w:jc w:val="both"/>
        <w:rPr>
          <w:i/>
          <w:sz w:val="28"/>
        </w:rPr>
      </w:pPr>
      <w:r>
        <w:rPr>
          <w:i/>
          <w:sz w:val="28"/>
        </w:rPr>
        <w:t>State support should be aimed at development of informative-consulting support, </w:t>
      </w:r>
      <w:r>
        <w:rPr>
          <w:i/>
          <w:sz w:val="28"/>
        </w:rPr>
        <w:t>development of insurance, availability of loans, agricultural leasing. Available loans shall enable farmers to overcome seasonal lack of financial funds, to accelerate production of goods, accumulation and development of material and technical base.</w:t>
      </w:r>
    </w:p>
    <w:p>
      <w:pPr>
        <w:spacing w:before="0"/>
        <w:ind w:left="193" w:right="613" w:firstLine="561"/>
        <w:jc w:val="both"/>
        <w:rPr>
          <w:i/>
          <w:sz w:val="28"/>
        </w:rPr>
      </w:pPr>
      <w:r>
        <w:rPr>
          <w:i/>
          <w:sz w:val="28"/>
        </w:rPr>
        <w:t>Farming is high-potential part of complicated agricultural industry that </w:t>
      </w:r>
      <w:r>
        <w:rPr>
          <w:i/>
          <w:sz w:val="28"/>
        </w:rPr>
        <w:t>dynamically develops. Removing obstacles slowing the development of farms and creation</w:t>
      </w:r>
      <w:r>
        <w:rPr>
          <w:i/>
          <w:spacing w:val="-21"/>
          <w:sz w:val="28"/>
        </w:rPr>
        <w:t> </w:t>
      </w:r>
      <w:r>
        <w:rPr>
          <w:i/>
          <w:sz w:val="28"/>
        </w:rPr>
        <w:t>of</w:t>
      </w:r>
      <w:r>
        <w:rPr>
          <w:i/>
          <w:spacing w:val="-20"/>
          <w:sz w:val="28"/>
        </w:rPr>
        <w:t> </w:t>
      </w:r>
      <w:r>
        <w:rPr>
          <w:i/>
          <w:sz w:val="28"/>
        </w:rPr>
        <w:t>normal</w:t>
      </w:r>
      <w:r>
        <w:rPr>
          <w:i/>
          <w:spacing w:val="-21"/>
          <w:sz w:val="28"/>
        </w:rPr>
        <w:t> </w:t>
      </w:r>
      <w:r>
        <w:rPr>
          <w:i/>
          <w:sz w:val="28"/>
        </w:rPr>
        <w:t>conditions</w:t>
      </w:r>
      <w:r>
        <w:rPr>
          <w:i/>
          <w:spacing w:val="-19"/>
          <w:sz w:val="28"/>
        </w:rPr>
        <w:t> </w:t>
      </w:r>
      <w:r>
        <w:rPr>
          <w:i/>
          <w:sz w:val="28"/>
        </w:rPr>
        <w:t>for</w:t>
      </w:r>
      <w:r>
        <w:rPr>
          <w:i/>
          <w:spacing w:val="-18"/>
          <w:sz w:val="28"/>
        </w:rPr>
        <w:t> </w:t>
      </w:r>
      <w:r>
        <w:rPr>
          <w:i/>
          <w:sz w:val="28"/>
        </w:rPr>
        <w:t>their</w:t>
      </w:r>
      <w:r>
        <w:rPr>
          <w:i/>
          <w:spacing w:val="-19"/>
          <w:sz w:val="28"/>
        </w:rPr>
        <w:t> </w:t>
      </w:r>
      <w:r>
        <w:rPr>
          <w:i/>
          <w:sz w:val="28"/>
        </w:rPr>
        <w:t>development</w:t>
      </w:r>
      <w:r>
        <w:rPr>
          <w:i/>
          <w:spacing w:val="-20"/>
          <w:sz w:val="28"/>
        </w:rPr>
        <w:t> </w:t>
      </w:r>
      <w:r>
        <w:rPr>
          <w:i/>
          <w:sz w:val="28"/>
        </w:rPr>
        <w:t>shall</w:t>
      </w:r>
      <w:r>
        <w:rPr>
          <w:i/>
          <w:spacing w:val="-22"/>
          <w:sz w:val="28"/>
        </w:rPr>
        <w:t> </w:t>
      </w:r>
      <w:r>
        <w:rPr>
          <w:i/>
          <w:sz w:val="28"/>
        </w:rPr>
        <w:t>enable</w:t>
      </w:r>
      <w:r>
        <w:rPr>
          <w:i/>
          <w:spacing w:val="-19"/>
          <w:sz w:val="28"/>
        </w:rPr>
        <w:t> </w:t>
      </w:r>
      <w:r>
        <w:rPr>
          <w:i/>
          <w:sz w:val="28"/>
        </w:rPr>
        <w:t>to</w:t>
      </w:r>
      <w:r>
        <w:rPr>
          <w:i/>
          <w:spacing w:val="-21"/>
          <w:sz w:val="28"/>
        </w:rPr>
        <w:t> </w:t>
      </w:r>
      <w:r>
        <w:rPr>
          <w:i/>
          <w:sz w:val="28"/>
        </w:rPr>
        <w:t>increase</w:t>
      </w:r>
      <w:r>
        <w:rPr>
          <w:i/>
          <w:spacing w:val="-19"/>
          <w:sz w:val="28"/>
        </w:rPr>
        <w:t> </w:t>
      </w:r>
      <w:r>
        <w:rPr>
          <w:i/>
          <w:spacing w:val="2"/>
          <w:sz w:val="28"/>
        </w:rPr>
        <w:t>the</w:t>
      </w:r>
      <w:r>
        <w:rPr>
          <w:i/>
          <w:spacing w:val="-20"/>
          <w:sz w:val="28"/>
        </w:rPr>
        <w:t> </w:t>
      </w:r>
      <w:r>
        <w:rPr>
          <w:i/>
          <w:sz w:val="28"/>
        </w:rPr>
        <w:t>income of rural population, give a powerful stimulus for increase of food supplies</w:t>
      </w:r>
      <w:r>
        <w:rPr>
          <w:i/>
          <w:spacing w:val="-49"/>
          <w:sz w:val="28"/>
        </w:rPr>
        <w:t> </w:t>
      </w:r>
      <w:r>
        <w:rPr>
          <w:i/>
          <w:sz w:val="28"/>
        </w:rPr>
        <w:t>production, create legal and economic conditions for carrying out farmer’s</w:t>
      </w:r>
      <w:r>
        <w:rPr>
          <w:i/>
          <w:spacing w:val="2"/>
          <w:sz w:val="28"/>
        </w:rPr>
        <w:t> </w:t>
      </w:r>
      <w:r>
        <w:rPr>
          <w:i/>
          <w:sz w:val="28"/>
        </w:rPr>
        <w:t>activity.</w:t>
      </w:r>
    </w:p>
    <w:p>
      <w:pPr>
        <w:spacing w:before="2"/>
        <w:ind w:left="193" w:right="621" w:firstLine="710"/>
        <w:jc w:val="both"/>
        <w:rPr>
          <w:i/>
          <w:sz w:val="28"/>
        </w:rPr>
      </w:pPr>
      <w:r>
        <w:rPr>
          <w:i/>
          <w:sz w:val="28"/>
        </w:rPr>
        <w:t>Further development of farming in Ukraine requires introduction of scientific </w:t>
      </w:r>
      <w:r>
        <w:rPr>
          <w:i/>
          <w:sz w:val="28"/>
        </w:rPr>
        <w:t>and</w:t>
      </w:r>
      <w:r>
        <w:rPr>
          <w:i/>
          <w:spacing w:val="-12"/>
          <w:sz w:val="28"/>
        </w:rPr>
        <w:t> </w:t>
      </w:r>
      <w:r>
        <w:rPr>
          <w:i/>
          <w:sz w:val="28"/>
        </w:rPr>
        <w:t>applied</w:t>
      </w:r>
      <w:r>
        <w:rPr>
          <w:i/>
          <w:spacing w:val="-12"/>
          <w:sz w:val="28"/>
        </w:rPr>
        <w:t> </w:t>
      </w:r>
      <w:r>
        <w:rPr>
          <w:i/>
          <w:sz w:val="28"/>
        </w:rPr>
        <w:t>researches</w:t>
      </w:r>
      <w:r>
        <w:rPr>
          <w:i/>
          <w:spacing w:val="-10"/>
          <w:sz w:val="28"/>
        </w:rPr>
        <w:t> </w:t>
      </w:r>
      <w:r>
        <w:rPr>
          <w:i/>
          <w:sz w:val="28"/>
        </w:rPr>
        <w:t>aimed</w:t>
      </w:r>
      <w:r>
        <w:rPr>
          <w:i/>
          <w:spacing w:val="-12"/>
          <w:sz w:val="28"/>
        </w:rPr>
        <w:t> </w:t>
      </w:r>
      <w:r>
        <w:rPr>
          <w:i/>
          <w:sz w:val="28"/>
        </w:rPr>
        <w:t>at</w:t>
      </w:r>
      <w:r>
        <w:rPr>
          <w:i/>
          <w:spacing w:val="-13"/>
          <w:sz w:val="28"/>
        </w:rPr>
        <w:t> </w:t>
      </w:r>
      <w:r>
        <w:rPr>
          <w:i/>
          <w:sz w:val="28"/>
        </w:rPr>
        <w:t>development</w:t>
      </w:r>
      <w:r>
        <w:rPr>
          <w:i/>
          <w:spacing w:val="-12"/>
          <w:sz w:val="28"/>
        </w:rPr>
        <w:t> </w:t>
      </w:r>
      <w:r>
        <w:rPr>
          <w:i/>
          <w:sz w:val="28"/>
        </w:rPr>
        <w:t>of</w:t>
      </w:r>
      <w:r>
        <w:rPr>
          <w:i/>
          <w:spacing w:val="-13"/>
          <w:sz w:val="28"/>
        </w:rPr>
        <w:t> </w:t>
      </w:r>
      <w:r>
        <w:rPr>
          <w:i/>
          <w:sz w:val="28"/>
        </w:rPr>
        <w:t>mechanism</w:t>
      </w:r>
      <w:r>
        <w:rPr>
          <w:i/>
          <w:spacing w:val="-12"/>
          <w:sz w:val="28"/>
        </w:rPr>
        <w:t> </w:t>
      </w:r>
      <w:r>
        <w:rPr>
          <w:i/>
          <w:sz w:val="28"/>
        </w:rPr>
        <w:t>of</w:t>
      </w:r>
      <w:r>
        <w:rPr>
          <w:i/>
          <w:spacing w:val="-13"/>
          <w:sz w:val="28"/>
        </w:rPr>
        <w:t> </w:t>
      </w:r>
      <w:r>
        <w:rPr>
          <w:i/>
          <w:sz w:val="28"/>
        </w:rPr>
        <w:t>integrational</w:t>
      </w:r>
      <w:r>
        <w:rPr>
          <w:i/>
          <w:spacing w:val="-13"/>
          <w:sz w:val="28"/>
        </w:rPr>
        <w:t> </w:t>
      </w:r>
      <w:r>
        <w:rPr>
          <w:i/>
          <w:sz w:val="28"/>
        </w:rPr>
        <w:t>links</w:t>
      </w:r>
      <w:r>
        <w:rPr>
          <w:i/>
          <w:spacing w:val="-5"/>
          <w:sz w:val="28"/>
        </w:rPr>
        <w:t> </w:t>
      </w:r>
      <w:r>
        <w:rPr>
          <w:i/>
          <w:sz w:val="28"/>
        </w:rPr>
        <w:t>with participation of individual farms, that should enable to apply progressive methods of processing, decrease loss of raw materials, increase the quality of processed</w:t>
      </w:r>
      <w:r>
        <w:rPr>
          <w:i/>
          <w:spacing w:val="-50"/>
          <w:sz w:val="28"/>
        </w:rPr>
        <w:t> </w:t>
      </w:r>
      <w:r>
        <w:rPr>
          <w:i/>
          <w:sz w:val="28"/>
        </w:rPr>
        <w:t>products and simplify marketing</w:t>
      </w:r>
      <w:r>
        <w:rPr>
          <w:i/>
          <w:spacing w:val="4"/>
          <w:sz w:val="28"/>
        </w:rPr>
        <w:t> </w:t>
      </w:r>
      <w:r>
        <w:rPr>
          <w:i/>
          <w:sz w:val="28"/>
        </w:rPr>
        <w:t>thereof.</w:t>
      </w:r>
    </w:p>
    <w:p>
      <w:pPr>
        <w:spacing w:line="321" w:lineRule="exact" w:before="0"/>
        <w:ind w:left="903" w:right="0" w:firstLine="0"/>
        <w:jc w:val="both"/>
        <w:rPr>
          <w:i/>
          <w:sz w:val="28"/>
        </w:rPr>
      </w:pPr>
      <w:r>
        <w:rPr>
          <w:b/>
          <w:i/>
          <w:sz w:val="28"/>
        </w:rPr>
        <w:t>Key words: </w:t>
      </w:r>
      <w:r>
        <w:rPr>
          <w:i/>
          <w:sz w:val="28"/>
        </w:rPr>
        <w:t>farms, efficiency, profitability, government support.</w:t>
      </w:r>
    </w:p>
    <w:p>
      <w:pPr>
        <w:spacing w:after="0" w:line="321" w:lineRule="exact"/>
        <w:jc w:val="both"/>
        <w:rPr>
          <w:sz w:val="28"/>
        </w:rPr>
        <w:sectPr>
          <w:pgSz w:w="11910" w:h="16840"/>
          <w:pgMar w:header="713" w:footer="778" w:top="1140" w:bottom="960" w:left="940" w:right="520"/>
        </w:sectPr>
      </w:pPr>
    </w:p>
    <w:p>
      <w:pPr>
        <w:pStyle w:val="Heading1"/>
        <w:tabs>
          <w:tab w:pos="5859" w:val="left" w:leader="none"/>
        </w:tabs>
        <w:spacing w:before="96"/>
        <w:ind w:right="0"/>
        <w:jc w:val="left"/>
      </w:pPr>
      <w:r>
        <w:rPr/>
        <w:t>УДК:</w:t>
      </w:r>
      <w:r>
        <w:rPr>
          <w:spacing w:val="-3"/>
        </w:rPr>
        <w:t> </w:t>
      </w:r>
      <w:r>
        <w:rPr/>
        <w:t>528.722.2-028.63:332.3</w:t>
        <w:tab/>
        <w:t>DOI:</w:t>
      </w:r>
      <w:r>
        <w:rPr>
          <w:spacing w:val="-1"/>
        </w:rPr>
        <w:t> </w:t>
      </w:r>
      <w:r>
        <w:rPr/>
        <w:t>10.37000/abbsl.2020.96.16</w:t>
      </w:r>
    </w:p>
    <w:p>
      <w:pPr>
        <w:pStyle w:val="BodyText"/>
        <w:spacing w:before="11"/>
        <w:ind w:left="0"/>
        <w:jc w:val="left"/>
        <w:rPr>
          <w:b/>
          <w:sz w:val="27"/>
        </w:rPr>
      </w:pPr>
    </w:p>
    <w:p>
      <w:pPr>
        <w:spacing w:before="0"/>
        <w:ind w:left="3040" w:right="821" w:hanging="2627"/>
        <w:jc w:val="left"/>
        <w:rPr>
          <w:b/>
          <w:sz w:val="28"/>
        </w:rPr>
      </w:pPr>
      <w:r>
        <w:rPr>
          <w:b/>
          <w:sz w:val="28"/>
        </w:rPr>
        <w:t>ПРИНЦИПИ ЦИФРОВОЇ ТРАНСФОРМАЦІЇ І ВПРОВАДЖЕННЯ ЇЇ В ГЕОДЕЗІЇ ТА ЗЕМЛЕУСТРОЇ</w:t>
      </w:r>
    </w:p>
    <w:p>
      <w:pPr>
        <w:spacing w:line="322" w:lineRule="exact" w:before="0"/>
        <w:ind w:left="890" w:right="603" w:firstLine="0"/>
        <w:jc w:val="center"/>
        <w:rPr>
          <w:b/>
          <w:sz w:val="28"/>
        </w:rPr>
      </w:pPr>
      <w:r>
        <w:rPr>
          <w:b/>
          <w:sz w:val="28"/>
        </w:rPr>
        <w:t>В. Артемов , Т. Мовчан</w:t>
      </w:r>
    </w:p>
    <w:p>
      <w:pPr>
        <w:spacing w:before="0"/>
        <w:ind w:left="890" w:right="603" w:firstLine="0"/>
        <w:jc w:val="center"/>
        <w:rPr>
          <w:i/>
          <w:sz w:val="28"/>
        </w:rPr>
      </w:pPr>
      <w:r>
        <w:rPr>
          <w:i/>
          <w:sz w:val="28"/>
        </w:rPr>
        <w:t>Одеський державний аграрний університет</w:t>
      </w:r>
    </w:p>
    <w:p>
      <w:pPr>
        <w:pStyle w:val="Heading1"/>
        <w:spacing w:line="319" w:lineRule="exact" w:before="4"/>
        <w:ind w:left="897"/>
      </w:pPr>
      <w:r>
        <w:rPr/>
        <w:t>Е. Бахчеван, Т. Данько</w:t>
      </w:r>
    </w:p>
    <w:p>
      <w:pPr>
        <w:spacing w:line="319" w:lineRule="exact" w:before="0"/>
        <w:ind w:left="890" w:right="603" w:firstLine="0"/>
        <w:jc w:val="center"/>
        <w:rPr>
          <w:i/>
          <w:sz w:val="28"/>
        </w:rPr>
      </w:pPr>
      <w:r>
        <w:rPr>
          <w:i/>
          <w:sz w:val="28"/>
        </w:rPr>
        <w:t>Одеський фінансово-економічний коледж КНТЕУ</w:t>
      </w:r>
    </w:p>
    <w:p>
      <w:pPr>
        <w:pStyle w:val="BodyText"/>
        <w:spacing w:before="11"/>
        <w:ind w:left="0"/>
        <w:jc w:val="left"/>
        <w:rPr>
          <w:i/>
          <w:sz w:val="27"/>
        </w:rPr>
      </w:pPr>
    </w:p>
    <w:p>
      <w:pPr>
        <w:spacing w:line="240" w:lineRule="auto" w:before="0"/>
        <w:ind w:left="193" w:right="610" w:firstLine="710"/>
        <w:jc w:val="both"/>
        <w:rPr>
          <w:i/>
          <w:sz w:val="28"/>
        </w:rPr>
      </w:pPr>
      <w:r>
        <w:rPr>
          <w:i/>
          <w:sz w:val="28"/>
        </w:rPr>
        <w:t>Досліджено сучасний стан цифрової трансформації в Україні і принципи </w:t>
      </w:r>
      <w:r>
        <w:rPr>
          <w:i/>
          <w:sz w:val="28"/>
        </w:rPr>
        <w:t>впровадження її в геодезії та землеустрої. Визначено взаємозв’язок розвитку і підготовки професійних кадрів, максимально орієнтованих на реальні потреби ІТ-індустрії країни. Сформульовано запуск технології у 2020 році. Простежено концепції розвитку цифрової економіки й суспільства нашої держави та проаналізовано прогнозну частку цифрової економіки у ВВП 2030Е. Проаналізовано особливості впровадження цифрової трансформації в геодезії, картографії, землеустрої та кадастрі, які пов’язані, з використанням ГІС- технологій, призначених для виконання задач по збереженню інформації про земельні ділянки, побудови топографічних планів, створення формалізованих звітних документів. Висвітлено основні проблеми і принципи, що гальмують розвиток цифрової трансформації в Україні. Наведено ідеї щодо розвитку і удосконалення вітчизняного ринку цифрової трансформації.</w:t>
      </w:r>
    </w:p>
    <w:p>
      <w:pPr>
        <w:spacing w:before="2"/>
        <w:ind w:left="193" w:right="614" w:firstLine="710"/>
        <w:jc w:val="both"/>
        <w:rPr>
          <w:i/>
          <w:sz w:val="28"/>
        </w:rPr>
      </w:pPr>
      <w:r>
        <w:rPr>
          <w:b/>
          <w:i/>
          <w:sz w:val="28"/>
        </w:rPr>
        <w:t>Ключові слова: </w:t>
      </w:r>
      <w:r>
        <w:rPr>
          <w:i/>
          <w:sz w:val="28"/>
        </w:rPr>
        <w:t>цифрова трансформація, цифровізація, принципи </w:t>
      </w:r>
      <w:r>
        <w:rPr>
          <w:i/>
          <w:sz w:val="28"/>
        </w:rPr>
        <w:t>цифровізації, геодезія, ГІС, землеустрій, кадастр, KPI (Key Performance Indicator), Держгеокадастр.</w:t>
      </w:r>
    </w:p>
    <w:p>
      <w:pPr>
        <w:pStyle w:val="BodyText"/>
        <w:spacing w:before="10"/>
        <w:ind w:left="0"/>
        <w:jc w:val="left"/>
        <w:rPr>
          <w:i/>
          <w:sz w:val="27"/>
        </w:rPr>
      </w:pPr>
    </w:p>
    <w:p>
      <w:pPr>
        <w:pStyle w:val="BodyText"/>
        <w:ind w:right="611" w:firstLine="710"/>
      </w:pPr>
      <w:r>
        <w:rPr>
          <w:b/>
        </w:rPr>
        <w:t>Вступ. </w:t>
      </w:r>
      <w:r>
        <w:rPr/>
        <w:t>Прискорення темпів розвитку економіки, геодезії та землеустрою обумовлені стрімким розвитком високих технологій, які вимагають переорієнтації: налагодження сучасних цифрових каналів зв'язку, розвитку омніканальності, задіяння штучного інтелекту для обробки великих масивів даних, роботизації та автоматизації поточних операцій, що підвищить продуктивність</w:t>
      </w:r>
      <w:r>
        <w:rPr>
          <w:spacing w:val="-20"/>
        </w:rPr>
        <w:t> </w:t>
      </w:r>
      <w:r>
        <w:rPr/>
        <w:t>співробітників.</w:t>
      </w:r>
      <w:r>
        <w:rPr>
          <w:spacing w:val="-17"/>
        </w:rPr>
        <w:t> </w:t>
      </w:r>
      <w:r>
        <w:rPr/>
        <w:t>Останні</w:t>
      </w:r>
      <w:r>
        <w:rPr>
          <w:spacing w:val="-18"/>
        </w:rPr>
        <w:t> </w:t>
      </w:r>
      <w:r>
        <w:rPr/>
        <w:t>п’ять</w:t>
      </w:r>
      <w:r>
        <w:rPr>
          <w:spacing w:val="-20"/>
        </w:rPr>
        <w:t> </w:t>
      </w:r>
      <w:r>
        <w:rPr/>
        <w:t>років</w:t>
      </w:r>
      <w:r>
        <w:rPr>
          <w:spacing w:val="-19"/>
        </w:rPr>
        <w:t> </w:t>
      </w:r>
      <w:r>
        <w:rPr/>
        <w:t>в</w:t>
      </w:r>
      <w:r>
        <w:rPr>
          <w:spacing w:val="-20"/>
        </w:rPr>
        <w:t> </w:t>
      </w:r>
      <w:r>
        <w:rPr/>
        <w:t>нашій</w:t>
      </w:r>
      <w:r>
        <w:rPr>
          <w:spacing w:val="-18"/>
        </w:rPr>
        <w:t> </w:t>
      </w:r>
      <w:r>
        <w:rPr/>
        <w:t>країні</w:t>
      </w:r>
      <w:r>
        <w:rPr>
          <w:spacing w:val="-23"/>
        </w:rPr>
        <w:t> </w:t>
      </w:r>
      <w:r>
        <w:rPr/>
        <w:t>простежується масова агресивна і нав'язлива реклама навколо цифрової трансформації (ЦТ). Землеустрій, геодезія та картографія не можуть існувати без цифрових технологій, адже всі вишукування виконуються з використанням цифрового обладнання,</w:t>
      </w:r>
      <w:r>
        <w:rPr>
          <w:spacing w:val="-20"/>
        </w:rPr>
        <w:t> </w:t>
      </w:r>
      <w:r>
        <w:rPr/>
        <w:t>а</w:t>
      </w:r>
      <w:r>
        <w:rPr>
          <w:spacing w:val="-16"/>
        </w:rPr>
        <w:t> </w:t>
      </w:r>
      <w:r>
        <w:rPr/>
        <w:t>результати</w:t>
      </w:r>
      <w:r>
        <w:rPr>
          <w:spacing w:val="-17"/>
        </w:rPr>
        <w:t> </w:t>
      </w:r>
      <w:r>
        <w:rPr/>
        <w:t>обробляються</w:t>
      </w:r>
      <w:r>
        <w:rPr>
          <w:spacing w:val="-16"/>
        </w:rPr>
        <w:t> </w:t>
      </w:r>
      <w:r>
        <w:rPr/>
        <w:t>за</w:t>
      </w:r>
      <w:r>
        <w:rPr>
          <w:spacing w:val="-17"/>
        </w:rPr>
        <w:t> </w:t>
      </w:r>
      <w:r>
        <w:rPr/>
        <w:t>допомогою</w:t>
      </w:r>
      <w:r>
        <w:rPr>
          <w:spacing w:val="-18"/>
        </w:rPr>
        <w:t> </w:t>
      </w:r>
      <w:r>
        <w:rPr/>
        <w:t>відповідного</w:t>
      </w:r>
      <w:r>
        <w:rPr>
          <w:spacing w:val="-17"/>
        </w:rPr>
        <w:t> </w:t>
      </w:r>
      <w:r>
        <w:rPr/>
        <w:t>програмного забезпечення. В далеке минуле відійшло креслення карт, планів, картограм. Інформатизація вимагає створення геоінформаційного та картографічного продукту, що вирішуватиме завдання моніторингу земель, земельного кадастру, контролю за використанням й охороною земельних ресурсів, управління землекористуванням і забезпечення впровадження ринку земель</w:t>
      </w:r>
      <w:r>
        <w:rPr>
          <w:spacing w:val="-6"/>
        </w:rPr>
        <w:t> </w:t>
      </w:r>
      <w:r>
        <w:rPr/>
        <w:t>тощо.</w:t>
      </w:r>
    </w:p>
    <w:p>
      <w:pPr>
        <w:pStyle w:val="BodyText"/>
        <w:spacing w:line="249" w:lineRule="auto"/>
        <w:ind w:right="610" w:firstLine="710"/>
      </w:pPr>
      <w:r>
        <w:rPr>
          <w:b/>
        </w:rPr>
        <w:t>Аналіз останніх досліджень. </w:t>
      </w:r>
      <w:r>
        <w:rPr/>
        <w:t>Плеяда закордонних та українських вчених- економістів</w:t>
      </w:r>
      <w:r>
        <w:rPr>
          <w:spacing w:val="-12"/>
        </w:rPr>
        <w:t> </w:t>
      </w:r>
      <w:r>
        <w:rPr/>
        <w:t>вивчала</w:t>
      </w:r>
      <w:r>
        <w:rPr>
          <w:spacing w:val="-9"/>
        </w:rPr>
        <w:t> </w:t>
      </w:r>
      <w:r>
        <w:rPr/>
        <w:t>питання</w:t>
      </w:r>
      <w:r>
        <w:rPr>
          <w:spacing w:val="-9"/>
        </w:rPr>
        <w:t> </w:t>
      </w:r>
      <w:r>
        <w:rPr/>
        <w:t>цифрової</w:t>
      </w:r>
      <w:r>
        <w:rPr>
          <w:spacing w:val="-10"/>
        </w:rPr>
        <w:t> </w:t>
      </w:r>
      <w:r>
        <w:rPr/>
        <w:t>трансформації,</w:t>
      </w:r>
      <w:r>
        <w:rPr>
          <w:spacing w:val="-7"/>
        </w:rPr>
        <w:t> </w:t>
      </w:r>
      <w:r>
        <w:rPr/>
        <w:t>серед</w:t>
      </w:r>
      <w:r>
        <w:rPr>
          <w:spacing w:val="-8"/>
        </w:rPr>
        <w:t> </w:t>
      </w:r>
      <w:r>
        <w:rPr/>
        <w:t>них</w:t>
      </w:r>
      <w:r>
        <w:rPr>
          <w:spacing w:val="-14"/>
        </w:rPr>
        <w:t> </w:t>
      </w:r>
      <w:r>
        <w:rPr/>
        <w:t>слід</w:t>
      </w:r>
      <w:r>
        <w:rPr>
          <w:spacing w:val="-7"/>
        </w:rPr>
        <w:t> </w:t>
      </w:r>
      <w:r>
        <w:rPr/>
        <w:t>відзначити Д. Боннета, </w:t>
      </w:r>
      <w:r>
        <w:rPr>
          <w:spacing w:val="-3"/>
        </w:rPr>
        <w:t>П. </w:t>
      </w:r>
      <w:r>
        <w:rPr/>
        <w:t>Крейа, В.Апалькову, Шульца Р.В., Ковальчук І. П., Ковальчук</w:t>
      </w:r>
      <w:r>
        <w:rPr>
          <w:spacing w:val="-34"/>
        </w:rPr>
        <w:t> </w:t>
      </w:r>
      <w:r>
        <w:rPr>
          <w:spacing w:val="-3"/>
        </w:rPr>
        <w:t>А.</w:t>
      </w:r>
    </w:p>
    <w:p>
      <w:pPr>
        <w:spacing w:after="0" w:line="249" w:lineRule="auto"/>
        <w:sectPr>
          <w:pgSz w:w="11910" w:h="16840"/>
          <w:pgMar w:header="713" w:footer="778" w:top="1140" w:bottom="960" w:left="940" w:right="520"/>
        </w:sectPr>
      </w:pPr>
    </w:p>
    <w:p>
      <w:pPr>
        <w:pStyle w:val="BodyText"/>
        <w:spacing w:line="242" w:lineRule="auto" w:before="120"/>
        <w:ind w:right="606" w:firstLine="139"/>
      </w:pPr>
      <w:r>
        <w:rPr/>
        <w:t>І.</w:t>
      </w:r>
      <w:r>
        <w:rPr>
          <w:spacing w:val="-12"/>
        </w:rPr>
        <w:t> </w:t>
      </w:r>
      <w:r>
        <w:rPr/>
        <w:t>та</w:t>
      </w:r>
      <w:r>
        <w:rPr>
          <w:spacing w:val="-12"/>
        </w:rPr>
        <w:t> </w:t>
      </w:r>
      <w:r>
        <w:rPr>
          <w:spacing w:val="-3"/>
        </w:rPr>
        <w:t>ін.</w:t>
      </w:r>
      <w:r>
        <w:rPr>
          <w:spacing w:val="-12"/>
        </w:rPr>
        <w:t> </w:t>
      </w:r>
      <w:r>
        <w:rPr/>
        <w:t>З</w:t>
      </w:r>
      <w:r>
        <w:rPr>
          <w:spacing w:val="-13"/>
        </w:rPr>
        <w:t> </w:t>
      </w:r>
      <w:r>
        <w:rPr>
          <w:spacing w:val="-3"/>
        </w:rPr>
        <w:t>їх</w:t>
      </w:r>
      <w:r>
        <w:rPr>
          <w:spacing w:val="-18"/>
        </w:rPr>
        <w:t> </w:t>
      </w:r>
      <w:r>
        <w:rPr/>
        <w:t>досліджень</w:t>
      </w:r>
      <w:r>
        <w:rPr>
          <w:spacing w:val="-14"/>
        </w:rPr>
        <w:t> </w:t>
      </w:r>
      <w:r>
        <w:rPr/>
        <w:t>випливає,</w:t>
      </w:r>
      <w:r>
        <w:rPr>
          <w:spacing w:val="-10"/>
        </w:rPr>
        <w:t> </w:t>
      </w:r>
      <w:r>
        <w:rPr/>
        <w:t>що</w:t>
      </w:r>
      <w:r>
        <w:rPr>
          <w:spacing w:val="-14"/>
        </w:rPr>
        <w:t> </w:t>
      </w:r>
      <w:r>
        <w:rPr/>
        <w:t>цифрова</w:t>
      </w:r>
      <w:r>
        <w:rPr>
          <w:spacing w:val="-12"/>
        </w:rPr>
        <w:t> </w:t>
      </w:r>
      <w:r>
        <w:rPr/>
        <w:t>трансформація</w:t>
      </w:r>
      <w:r>
        <w:rPr>
          <w:spacing w:val="-4"/>
        </w:rPr>
        <w:t> </w:t>
      </w:r>
      <w:r>
        <w:rPr/>
        <w:t>–</w:t>
      </w:r>
      <w:r>
        <w:rPr>
          <w:spacing w:val="-13"/>
        </w:rPr>
        <w:t> </w:t>
      </w:r>
      <w:r>
        <w:rPr/>
        <w:t>це</w:t>
      </w:r>
      <w:r>
        <w:rPr>
          <w:spacing w:val="-13"/>
        </w:rPr>
        <w:t> </w:t>
      </w:r>
      <w:r>
        <w:rPr/>
        <w:t>перетворення компанії (підприємства) в сучасну та ефективну в еру промислової революції, коли кількість верстатів вже не має значення, адже кожен напрямок діяльності адаптує</w:t>
      </w:r>
      <w:r>
        <w:rPr>
          <w:spacing w:val="-16"/>
        </w:rPr>
        <w:t> </w:t>
      </w:r>
      <w:r>
        <w:rPr/>
        <w:t>цифрові</w:t>
      </w:r>
      <w:r>
        <w:rPr>
          <w:spacing w:val="-21"/>
        </w:rPr>
        <w:t> </w:t>
      </w:r>
      <w:r>
        <w:rPr/>
        <w:t>можливості</w:t>
      </w:r>
      <w:r>
        <w:rPr>
          <w:spacing w:val="-16"/>
        </w:rPr>
        <w:t> </w:t>
      </w:r>
      <w:r>
        <w:rPr/>
        <w:t>під</w:t>
      </w:r>
      <w:r>
        <w:rPr>
          <w:spacing w:val="-15"/>
        </w:rPr>
        <w:t> </w:t>
      </w:r>
      <w:r>
        <w:rPr/>
        <w:t>свої</w:t>
      </w:r>
      <w:r>
        <w:rPr>
          <w:spacing w:val="-21"/>
        </w:rPr>
        <w:t> </w:t>
      </w:r>
      <w:r>
        <w:rPr/>
        <w:t>потреби</w:t>
      </w:r>
      <w:r>
        <w:rPr>
          <w:spacing w:val="-10"/>
        </w:rPr>
        <w:t> </w:t>
      </w:r>
      <w:r>
        <w:rPr/>
        <w:t>–</w:t>
      </w:r>
      <w:r>
        <w:rPr>
          <w:spacing w:val="-16"/>
        </w:rPr>
        <w:t> </w:t>
      </w:r>
      <w:r>
        <w:rPr/>
        <w:t>розробляються</w:t>
      </w:r>
      <w:r>
        <w:rPr>
          <w:spacing w:val="-11"/>
        </w:rPr>
        <w:t> </w:t>
      </w:r>
      <w:r>
        <w:rPr/>
        <w:t>і</w:t>
      </w:r>
      <w:r>
        <w:rPr>
          <w:spacing w:val="-21"/>
        </w:rPr>
        <w:t> </w:t>
      </w:r>
      <w:r>
        <w:rPr/>
        <w:t>впроваджуються в практичну діяльність нові програми та програмні комплекси. Так, пропозиції щодо створення високотехнологічного інформаційного ресурсу, який слугуватиме базою для регулювання земельних відносин, забезпечення функціонування ринку земель та їх оподаткування – цифрового атласу вартості земель України внесені науковцями Ковальчук І. П., Ковальчук </w:t>
      </w:r>
      <w:r>
        <w:rPr>
          <w:spacing w:val="-3"/>
        </w:rPr>
        <w:t>А. </w:t>
      </w:r>
      <w:r>
        <w:rPr/>
        <w:t>І. [1], які обґрунтували необхідність запропонованого продукту для прийняття ефективних управлінських рішень у сфері просторового розвитку держави. Методи досліджень сільськогосподарських угідь </w:t>
      </w:r>
      <w:r>
        <w:rPr>
          <w:spacing w:val="-3"/>
        </w:rPr>
        <w:t>із </w:t>
      </w:r>
      <w:r>
        <w:rPr/>
        <w:t>використанням даних дистанційного зондування землі з космосу (супутникова система Sentinel 2) розглядаються вченими В. Люльчик, О. Качановським, С. Булакевичем [2]. Дослідження сучасного програмного забезпечення геодезичних розрахунків з точки зору можливості їх практичної реалізації в галузі землеустрою виконані науковцями</w:t>
      </w:r>
      <w:r>
        <w:rPr>
          <w:spacing w:val="-20"/>
        </w:rPr>
        <w:t> </w:t>
      </w:r>
      <w:r>
        <w:rPr>
          <w:spacing w:val="-3"/>
        </w:rPr>
        <w:t>Н.</w:t>
      </w:r>
      <w:r>
        <w:rPr>
          <w:spacing w:val="-21"/>
        </w:rPr>
        <w:t> </w:t>
      </w:r>
      <w:r>
        <w:rPr/>
        <w:t>Русіною</w:t>
      </w:r>
      <w:r>
        <w:rPr>
          <w:spacing w:val="-24"/>
        </w:rPr>
        <w:t> </w:t>
      </w:r>
      <w:r>
        <w:rPr/>
        <w:t>та</w:t>
      </w:r>
      <w:r>
        <w:rPr>
          <w:spacing w:val="-19"/>
        </w:rPr>
        <w:t> </w:t>
      </w:r>
      <w:r>
        <w:rPr/>
        <w:t>В.</w:t>
      </w:r>
      <w:r>
        <w:rPr>
          <w:spacing w:val="-21"/>
        </w:rPr>
        <w:t> </w:t>
      </w:r>
      <w:r>
        <w:rPr/>
        <w:t>Люльчик.</w:t>
      </w:r>
      <w:r>
        <w:rPr>
          <w:spacing w:val="-17"/>
        </w:rPr>
        <w:t> </w:t>
      </w:r>
      <w:r>
        <w:rPr/>
        <w:t>Ними</w:t>
      </w:r>
      <w:r>
        <w:rPr>
          <w:spacing w:val="-24"/>
        </w:rPr>
        <w:t> </w:t>
      </w:r>
      <w:r>
        <w:rPr/>
        <w:t>представлені</w:t>
      </w:r>
      <w:r>
        <w:rPr>
          <w:spacing w:val="-19"/>
        </w:rPr>
        <w:t> </w:t>
      </w:r>
      <w:r>
        <w:rPr/>
        <w:t>характеристики</w:t>
      </w:r>
      <w:r>
        <w:rPr>
          <w:spacing w:val="-14"/>
        </w:rPr>
        <w:t> </w:t>
      </w:r>
      <w:r>
        <w:rPr/>
        <w:t>CAD- програм, призначених для автоматизації обробки даних інструментальної геодезичної зйомки місцевості та можливості програмного комплексу CREDO для обробки матеріалів геодезичних вишукувань й автоматизованого проектування [3]. Проблемам цифрової трансформації економіки присвячені праці Е. Бахчеван, Т. Данько [4], дослідженню сучасних проблем електронної комерції,</w:t>
      </w:r>
      <w:r>
        <w:rPr>
          <w:spacing w:val="-11"/>
        </w:rPr>
        <w:t> </w:t>
      </w:r>
      <w:r>
        <w:rPr/>
        <w:t>впровадження</w:t>
      </w:r>
      <w:r>
        <w:rPr>
          <w:spacing w:val="-8"/>
        </w:rPr>
        <w:t> </w:t>
      </w:r>
      <w:r>
        <w:rPr/>
        <w:t>інтернет-технологій</w:t>
      </w:r>
      <w:r>
        <w:rPr>
          <w:spacing w:val="-13"/>
        </w:rPr>
        <w:t> </w:t>
      </w:r>
      <w:r>
        <w:rPr/>
        <w:t>в</w:t>
      </w:r>
      <w:r>
        <w:rPr>
          <w:spacing w:val="-15"/>
        </w:rPr>
        <w:t> </w:t>
      </w:r>
      <w:r>
        <w:rPr/>
        <w:t>економіку</w:t>
      </w:r>
      <w:r>
        <w:rPr>
          <w:spacing w:val="-11"/>
        </w:rPr>
        <w:t> </w:t>
      </w:r>
      <w:r>
        <w:rPr/>
        <w:t>–</w:t>
      </w:r>
      <w:r>
        <w:rPr>
          <w:spacing w:val="-12"/>
        </w:rPr>
        <w:t> </w:t>
      </w:r>
      <w:r>
        <w:rPr/>
        <w:t>праці</w:t>
      </w:r>
      <w:r>
        <w:rPr>
          <w:spacing w:val="-14"/>
        </w:rPr>
        <w:t> </w:t>
      </w:r>
      <w:r>
        <w:rPr/>
        <w:t>В. Артемова,</w:t>
      </w:r>
      <w:r>
        <w:rPr>
          <w:spacing w:val="-11"/>
        </w:rPr>
        <w:t> </w:t>
      </w:r>
      <w:r>
        <w:rPr/>
        <w:t>Е. Бахчеван та Т. Данько [5], проблемам управління в галузі використання та охорони земельних ресурсів – праці Т. Мовчан [6]. Залишились ще не вирішеними питання сучасного стану цифрової трансформації в геодезії та землеустрої і не сформульовані принципи цифровізації для даної</w:t>
      </w:r>
      <w:r>
        <w:rPr>
          <w:spacing w:val="-23"/>
        </w:rPr>
        <w:t> </w:t>
      </w:r>
      <w:r>
        <w:rPr/>
        <w:t>галузі.</w:t>
      </w:r>
    </w:p>
    <w:p>
      <w:pPr>
        <w:spacing w:line="290" w:lineRule="exact" w:before="0"/>
        <w:ind w:left="903" w:right="0" w:firstLine="0"/>
        <w:jc w:val="both"/>
        <w:rPr>
          <w:sz w:val="28"/>
        </w:rPr>
      </w:pPr>
      <w:r>
        <w:rPr>
          <w:b/>
          <w:sz w:val="28"/>
        </w:rPr>
        <w:t>Результати досліджень. </w:t>
      </w:r>
      <w:r>
        <w:rPr>
          <w:sz w:val="28"/>
        </w:rPr>
        <w:t>Цифрова трансформація включає в себе</w:t>
      </w:r>
    </w:p>
    <w:p>
      <w:pPr>
        <w:pStyle w:val="BodyText"/>
        <w:ind w:right="614"/>
      </w:pPr>
      <w:r>
        <w:rPr/>
        <w:t>розуміння потреб споживачів та постійне освоєння оновлених сучасних цифрових технологій. Звичайно, держава повинна підтримувати цифрові технології в усіх галузях, в тому числі в геодезії та землеустрої і стимулювати створення робочих місць, підвищення продуктивності, темпів економічного зростання та якості життя громадян нашої країни.</w:t>
      </w:r>
    </w:p>
    <w:p>
      <w:pPr>
        <w:pStyle w:val="BodyText"/>
        <w:spacing w:before="4"/>
        <w:ind w:right="610" w:firstLine="710"/>
      </w:pPr>
      <w:r>
        <w:rPr/>
        <w:t>Дослідивши «Цифрову адженду України - 2020» і Концепцію розвитку цифрової економіки та суспільства України, сформулюємо основні принципи цифровізації, які на нашу думку доцільно впровадити в геодезії та землеустрої (рис. 1). Основні складові цифрової трансформації сформовані нами та представлені на рисунку 2.</w:t>
      </w:r>
    </w:p>
    <w:p>
      <w:pPr>
        <w:pStyle w:val="BodyText"/>
        <w:ind w:right="613" w:firstLine="710"/>
      </w:pPr>
      <w:r>
        <w:rPr/>
        <w:t>Держава, в якості регулятора, захисника і популяризатора цифрових трансформацій, у вересні 2019 року утворила Міністерство цифрової трансформації України - центральний орган виконавчої влади, що відповідає за формування та реалізацію державної політики у сфері цифровізації, відкритих даних, національних електронних інформаційних ресурсів та інтероперабельності, впровадження електронних послуг, електронних</w:t>
      </w:r>
      <w:r>
        <w:rPr>
          <w:spacing w:val="62"/>
        </w:rPr>
        <w:t> </w:t>
      </w:r>
      <w:r>
        <w:rPr/>
        <w:t>довірчих</w:t>
      </w:r>
    </w:p>
    <w:p>
      <w:pPr>
        <w:spacing w:after="0"/>
        <w:sectPr>
          <w:pgSz w:w="11910" w:h="16840"/>
          <w:pgMar w:header="713" w:footer="778" w:top="1140" w:bottom="960" w:left="940" w:right="520"/>
        </w:sectPr>
      </w:pPr>
    </w:p>
    <w:p>
      <w:pPr>
        <w:pStyle w:val="BodyText"/>
        <w:spacing w:before="92"/>
        <w:jc w:val="left"/>
      </w:pPr>
      <w:r>
        <w:rPr/>
        <w:t>послуг тощо.</w:t>
      </w:r>
    </w:p>
    <w:p>
      <w:pPr>
        <w:pStyle w:val="BodyText"/>
        <w:spacing w:before="9"/>
        <w:ind w:left="0"/>
        <w:jc w:val="left"/>
      </w:pPr>
    </w:p>
    <w:p>
      <w:pPr>
        <w:pStyle w:val="ListParagraph"/>
        <w:numPr>
          <w:ilvl w:val="1"/>
          <w:numId w:val="24"/>
        </w:numPr>
        <w:tabs>
          <w:tab w:pos="1721" w:val="left" w:leader="none"/>
        </w:tabs>
        <w:spacing w:line="240" w:lineRule="auto" w:before="90" w:after="0"/>
        <w:ind w:left="1446" w:right="1618" w:firstLine="0"/>
        <w:jc w:val="both"/>
        <w:rPr>
          <w:sz w:val="24"/>
        </w:rPr>
      </w:pPr>
      <w:r>
        <w:rPr/>
        <w:pict>
          <v:group style="position:absolute;margin-left:60.625pt;margin-top:.441135pt;width:457.8pt;height:283.95pt;mso-position-horizontal-relative:page;mso-position-vertical-relative:paragraph;z-index:-267146240" coordorigin="1213,9" coordsize="9156,5679">
            <v:shape style="position:absolute;left:2226;top:8;width:7694;height:1286" type="#_x0000_t75" stroked="false">
              <v:imagedata r:id="rId52" o:title=""/>
            </v:shape>
            <v:shape style="position:absolute;left:1212;top:1720;width:4163;height:1899" type="#_x0000_t75" stroked="false">
              <v:imagedata r:id="rId53" o:title=""/>
            </v:shape>
            <v:shape style="position:absolute;left:4178;top:1286;width:120;height:442" coordorigin="4179,1286" coordsize="120,442" path="m4179,1607l4236,1728,4289,1628,4246,1628,4231,1628,4231,1608,4179,1607xm4231,1608l4231,1628,4246,1628,4246,1608,4231,1608xm4246,1608l4246,1628,4289,1628,4299,1610,4246,1608xm4240,1286l4231,1608,4246,1608,4255,1287,4240,1286xe" filled="true" fillcolor="#000000" stroked="false">
              <v:path arrowok="t"/>
              <v:fill type="solid"/>
            </v:shape>
            <v:shape style="position:absolute;left:6523;top:1720;width:3672;height:1899" type="#_x0000_t75" stroked="false">
              <v:imagedata r:id="rId54" o:title=""/>
            </v:shape>
            <v:shape style="position:absolute;left:5367;top:2567;width:1164;height:120" coordorigin="5368,2567" coordsize="1164,120" path="m6411,2635l6411,2687,6517,2635,6411,2635xm6411,2620l6411,2635,6431,2635,6431,2620,6411,2620xm6411,2567l6411,2620,6431,2620,6431,2635,6517,2635,6531,2627,6411,2567xm5368,2619l5368,2634,6411,2635,6411,2620,5368,2619xe" filled="true" fillcolor="#000000" stroked="false">
              <v:path arrowok="t"/>
              <v:fill type="solid"/>
            </v:shape>
            <v:shape style="position:absolute;left:6411;top:4108;width:3957;height:1458" type="#_x0000_t75" stroked="false">
              <v:imagedata r:id="rId55" o:title=""/>
            </v:shape>
            <v:shape style="position:absolute;left:1392;top:4108;width:3984;height:1579" type="#_x0000_t75" stroked="false">
              <v:imagedata r:id="rId56" o:title=""/>
            </v:shape>
            <v:shape style="position:absolute;left:5367;top:3611;width:3063;height:1236" coordorigin="5368,3611" coordsize="3063,1236" path="m6419,4793l6419,4778,5488,4779,5488,4727,5368,4787,5488,4847,5488,4794,5488,4794,6419,4793m8430,3996l8378,3996,8378,3611,8363,3611,8363,3996,8310,3996,8370,4116,8420,4016,8430,3996e" filled="true" fillcolor="#000000" stroked="false">
              <v:path arrowok="t"/>
              <v:fill type="solid"/>
            </v:shape>
            <w10:wrap type="none"/>
          </v:group>
        </w:pict>
      </w:r>
      <w:r>
        <w:rPr>
          <w:sz w:val="24"/>
        </w:rPr>
        <w:t>Цифровізація повинна забезпечувати кожному громадянину доступ до Державного фонду документації </w:t>
      </w:r>
      <w:r>
        <w:rPr>
          <w:spacing w:val="-3"/>
          <w:sz w:val="24"/>
        </w:rPr>
        <w:t>із </w:t>
      </w:r>
      <w:r>
        <w:rPr>
          <w:sz w:val="24"/>
        </w:rPr>
        <w:t>землеустрою, послуг, інформації та знань, що надаються на основі інформаційно-комунікаційних та цифрових</w:t>
      </w:r>
      <w:r>
        <w:rPr>
          <w:spacing w:val="-4"/>
          <w:sz w:val="24"/>
        </w:rPr>
        <w:t> </w:t>
      </w:r>
      <w:r>
        <w:rPr>
          <w:sz w:val="24"/>
        </w:rPr>
        <w:t>технологій.</w:t>
      </w:r>
    </w:p>
    <w:p>
      <w:pPr>
        <w:pStyle w:val="BodyText"/>
        <w:ind w:left="0"/>
        <w:jc w:val="left"/>
        <w:rPr>
          <w:sz w:val="20"/>
        </w:rPr>
      </w:pPr>
    </w:p>
    <w:p>
      <w:pPr>
        <w:pStyle w:val="BodyText"/>
        <w:spacing w:before="9"/>
        <w:ind w:left="0"/>
        <w:jc w:val="left"/>
        <w:rPr>
          <w:sz w:val="24"/>
        </w:rPr>
      </w:pPr>
    </w:p>
    <w:p>
      <w:pPr>
        <w:spacing w:after="0"/>
        <w:jc w:val="left"/>
        <w:rPr>
          <w:sz w:val="24"/>
        </w:rPr>
        <w:sectPr>
          <w:pgSz w:w="11910" w:h="16840"/>
          <w:pgMar w:header="713" w:footer="778" w:top="1140" w:bottom="960" w:left="940" w:right="520"/>
        </w:sectPr>
      </w:pPr>
    </w:p>
    <w:p>
      <w:pPr>
        <w:pStyle w:val="ListParagraph"/>
        <w:numPr>
          <w:ilvl w:val="1"/>
          <w:numId w:val="24"/>
        </w:numPr>
        <w:tabs>
          <w:tab w:pos="938" w:val="left" w:leader="none"/>
        </w:tabs>
        <w:spacing w:line="242" w:lineRule="auto" w:before="90" w:after="0"/>
        <w:ind w:left="433" w:right="38" w:firstLine="0"/>
        <w:jc w:val="both"/>
        <w:rPr>
          <w:sz w:val="24"/>
        </w:rPr>
      </w:pPr>
      <w:r>
        <w:rPr>
          <w:sz w:val="24"/>
        </w:rPr>
        <w:t>Цифровізація повинна </w:t>
      </w:r>
      <w:r>
        <w:rPr>
          <w:spacing w:val="-4"/>
          <w:sz w:val="24"/>
        </w:rPr>
        <w:t>бути </w:t>
      </w:r>
      <w:r>
        <w:rPr>
          <w:sz w:val="24"/>
        </w:rPr>
        <w:t>спрямована на створення переваг у отриманні землевпорядної освіти, створенні нових робочих місць, розвитку підприємництва в галузі геодезії, землеустрою та</w:t>
      </w:r>
      <w:r>
        <w:rPr>
          <w:spacing w:val="2"/>
          <w:sz w:val="24"/>
        </w:rPr>
        <w:t> </w:t>
      </w:r>
      <w:r>
        <w:rPr>
          <w:sz w:val="24"/>
        </w:rPr>
        <w:t>кадастру</w:t>
      </w:r>
    </w:p>
    <w:p>
      <w:pPr>
        <w:pStyle w:val="ListParagraph"/>
        <w:numPr>
          <w:ilvl w:val="1"/>
          <w:numId w:val="24"/>
        </w:numPr>
        <w:tabs>
          <w:tab w:pos="713" w:val="left" w:leader="none"/>
          <w:tab w:pos="2371" w:val="left" w:leader="none"/>
          <w:tab w:pos="3571" w:val="left" w:leader="none"/>
        </w:tabs>
        <w:spacing w:line="242" w:lineRule="auto" w:before="90" w:after="0"/>
        <w:ind w:left="433" w:right="1342" w:firstLine="0"/>
        <w:jc w:val="left"/>
        <w:rPr>
          <w:sz w:val="24"/>
        </w:rPr>
      </w:pPr>
      <w:r>
        <w:rPr>
          <w:spacing w:val="-1"/>
          <w:sz w:val="24"/>
        </w:rPr>
        <w:br w:type="column"/>
      </w:r>
      <w:r>
        <w:rPr>
          <w:sz w:val="24"/>
        </w:rPr>
        <w:t>Цифровізація є інструментом економічного зростання шляхом підвищення</w:t>
        <w:tab/>
        <w:t>ефективності, продуктивності</w:t>
        <w:tab/>
        <w:tab/>
      </w:r>
      <w:r>
        <w:rPr>
          <w:spacing w:val="-6"/>
          <w:sz w:val="24"/>
        </w:rPr>
        <w:t>та </w:t>
      </w:r>
      <w:r>
        <w:rPr>
          <w:sz w:val="24"/>
        </w:rPr>
        <w:t>конкурентоздатності землевпорядних</w:t>
      </w:r>
      <w:r>
        <w:rPr>
          <w:spacing w:val="-5"/>
          <w:sz w:val="24"/>
        </w:rPr>
        <w:t> </w:t>
      </w:r>
      <w:r>
        <w:rPr>
          <w:sz w:val="24"/>
        </w:rPr>
        <w:t>підприємств</w:t>
      </w:r>
    </w:p>
    <w:p>
      <w:pPr>
        <w:spacing w:after="0" w:line="242" w:lineRule="auto"/>
        <w:jc w:val="left"/>
        <w:rPr>
          <w:sz w:val="24"/>
        </w:rPr>
        <w:sectPr>
          <w:type w:val="continuous"/>
          <w:pgSz w:w="11910" w:h="16840"/>
          <w:pgMar w:top="1140" w:bottom="280" w:left="940" w:right="520"/>
          <w:cols w:num="2" w:equalWidth="0">
            <w:col w:w="4322" w:space="988"/>
            <w:col w:w="5140"/>
          </w:cols>
        </w:sectPr>
      </w:pPr>
    </w:p>
    <w:p>
      <w:pPr>
        <w:pStyle w:val="BodyText"/>
        <w:ind w:left="0"/>
        <w:jc w:val="left"/>
        <w:rPr>
          <w:sz w:val="20"/>
        </w:rPr>
      </w:pPr>
    </w:p>
    <w:p>
      <w:pPr>
        <w:pStyle w:val="BodyText"/>
        <w:ind w:left="0"/>
        <w:jc w:val="left"/>
        <w:rPr>
          <w:sz w:val="20"/>
        </w:rPr>
      </w:pPr>
    </w:p>
    <w:p>
      <w:pPr>
        <w:spacing w:after="0"/>
        <w:jc w:val="left"/>
        <w:rPr>
          <w:sz w:val="20"/>
        </w:rPr>
        <w:sectPr>
          <w:type w:val="continuous"/>
          <w:pgSz w:w="11910" w:h="16840"/>
          <w:pgMar w:top="1140" w:bottom="280" w:left="940" w:right="520"/>
        </w:sectPr>
      </w:pPr>
    </w:p>
    <w:p>
      <w:pPr>
        <w:pStyle w:val="BodyText"/>
        <w:spacing w:before="6"/>
        <w:ind w:left="0"/>
        <w:jc w:val="left"/>
        <w:rPr>
          <w:sz w:val="22"/>
        </w:rPr>
      </w:pPr>
    </w:p>
    <w:p>
      <w:pPr>
        <w:spacing w:line="242" w:lineRule="auto" w:before="0"/>
        <w:ind w:left="610" w:right="38" w:firstLine="0"/>
        <w:jc w:val="both"/>
        <w:rPr>
          <w:sz w:val="24"/>
        </w:rPr>
      </w:pPr>
      <w:r>
        <w:rPr>
          <w:sz w:val="24"/>
        </w:rPr>
        <w:t>5</w:t>
      </w:r>
      <w:r>
        <w:rPr>
          <w:i/>
          <w:sz w:val="24"/>
        </w:rPr>
        <w:t>. </w:t>
      </w:r>
      <w:r>
        <w:rPr>
          <w:sz w:val="24"/>
        </w:rPr>
        <w:t>Цифровізація повинна орієнтуватися на регіональне, європейське та міжнародне співробітництво з метою, виходу</w:t>
      </w:r>
      <w:r>
        <w:rPr>
          <w:spacing w:val="-43"/>
          <w:sz w:val="24"/>
        </w:rPr>
        <w:t> </w:t>
      </w:r>
      <w:r>
        <w:rPr>
          <w:sz w:val="24"/>
        </w:rPr>
        <w:t>на європейський і світовий</w:t>
      </w:r>
      <w:r>
        <w:rPr>
          <w:spacing w:val="-9"/>
          <w:sz w:val="24"/>
        </w:rPr>
        <w:t> </w:t>
      </w:r>
      <w:r>
        <w:rPr>
          <w:sz w:val="24"/>
        </w:rPr>
        <w:t>ринок.</w:t>
      </w:r>
    </w:p>
    <w:p>
      <w:pPr>
        <w:pStyle w:val="BodyText"/>
        <w:spacing w:before="6"/>
        <w:ind w:left="0"/>
        <w:jc w:val="left"/>
        <w:rPr>
          <w:sz w:val="22"/>
        </w:rPr>
      </w:pPr>
      <w:r>
        <w:rPr/>
        <w:br w:type="column"/>
      </w:r>
      <w:r>
        <w:rPr>
          <w:sz w:val="22"/>
        </w:rPr>
      </w:r>
    </w:p>
    <w:p>
      <w:pPr>
        <w:spacing w:line="242" w:lineRule="auto" w:before="0"/>
        <w:ind w:left="610" w:right="1162" w:firstLine="0"/>
        <w:jc w:val="both"/>
        <w:rPr>
          <w:sz w:val="24"/>
        </w:rPr>
      </w:pPr>
      <w:r>
        <w:rPr>
          <w:sz w:val="24"/>
        </w:rPr>
        <w:t>4</w:t>
      </w:r>
      <w:r>
        <w:rPr>
          <w:i/>
          <w:sz w:val="24"/>
        </w:rPr>
        <w:t>. </w:t>
      </w:r>
      <w:r>
        <w:rPr>
          <w:sz w:val="24"/>
        </w:rPr>
        <w:t>Стандартизація на базі міжнародних стандартів є основою цифровізації, одним із головних чинників її успішної реалізації.</w:t>
      </w:r>
    </w:p>
    <w:p>
      <w:pPr>
        <w:spacing w:after="0" w:line="242" w:lineRule="auto"/>
        <w:jc w:val="both"/>
        <w:rPr>
          <w:sz w:val="24"/>
        </w:rPr>
        <w:sectPr>
          <w:type w:val="continuous"/>
          <w:pgSz w:w="11910" w:h="16840"/>
          <w:pgMar w:top="1140" w:bottom="280" w:left="940" w:right="520"/>
          <w:cols w:num="2" w:equalWidth="0">
            <w:col w:w="4318" w:space="705"/>
            <w:col w:w="5427"/>
          </w:cols>
        </w:sectPr>
      </w:pPr>
    </w:p>
    <w:p>
      <w:pPr>
        <w:pStyle w:val="BodyText"/>
        <w:spacing w:before="4"/>
        <w:ind w:left="0"/>
        <w:jc w:val="left"/>
        <w:rPr>
          <w:sz w:val="10"/>
        </w:rPr>
      </w:pPr>
    </w:p>
    <w:p>
      <w:pPr>
        <w:pStyle w:val="BodyText"/>
        <w:spacing w:before="87"/>
        <w:ind w:left="887" w:right="603"/>
        <w:jc w:val="center"/>
      </w:pPr>
      <w:r>
        <w:rPr/>
        <w:t>Рис. 1. Принципи цифровізації, які доцільно впровадити в геодезії та</w:t>
      </w:r>
    </w:p>
    <w:p>
      <w:pPr>
        <w:pStyle w:val="BodyText"/>
        <w:spacing w:line="322" w:lineRule="exact"/>
        <w:ind w:left="188" w:right="603"/>
        <w:jc w:val="center"/>
      </w:pPr>
      <w:r>
        <w:rPr/>
        <w:t>землеустрої</w:t>
      </w:r>
    </w:p>
    <w:p>
      <w:pPr>
        <w:pStyle w:val="BodyText"/>
        <w:ind w:right="610" w:firstLine="710"/>
      </w:pPr>
      <w:r>
        <w:rPr/>
        <w:t>До компетенції Міністерства, яке стало центральним засвідчувальним органом у сфері електронних довірчих послуг, належить розвиток широкосмугового доступу до Інтернету, телекомунікаційних мереж та ІТ- індустрії.</w:t>
      </w:r>
    </w:p>
    <w:p>
      <w:pPr>
        <w:pStyle w:val="BodyText"/>
        <w:spacing w:before="5"/>
        <w:ind w:left="0"/>
        <w:jc w:val="left"/>
        <w:rPr>
          <w:sz w:val="16"/>
        </w:rPr>
      </w:pPr>
      <w:r>
        <w:rPr/>
        <w:pict>
          <v:group style="position:absolute;margin-left:51.95929pt;margin-top:11.441585pt;width:460.7pt;height:187.6pt;mso-position-horizontal-relative:page;mso-position-vertical-relative:paragraph;z-index:-251634688;mso-wrap-distance-left:0;mso-wrap-distance-right:0" coordorigin="1039,229" coordsize="9214,3752">
            <v:shape style="position:absolute;left:2812;top:228;width:4614;height:506" type="#_x0000_t75" stroked="false">
              <v:imagedata r:id="rId57" o:title=""/>
            </v:shape>
            <v:shape style="position:absolute;left:2870;top:286;width:4619;height:506" type="#_x0000_t75" stroked="false">
              <v:imagedata r:id="rId58" o:title=""/>
            </v:shape>
            <v:shape style="position:absolute;left:2936;top:353;width:4611;height:498" type="#_x0000_t75" stroked="false">
              <v:imagedata r:id="rId59" o:title=""/>
            </v:shape>
            <v:shape style="position:absolute;left:2836;top:980;width:4614;height:494" type="#_x0000_t75" stroked="false">
              <v:imagedata r:id="rId60" o:title=""/>
            </v:shape>
            <v:shape style="position:absolute;left:2899;top:1035;width:4610;height:496" type="#_x0000_t75" stroked="false">
              <v:imagedata r:id="rId61" o:title=""/>
            </v:shape>
            <v:shape style="position:absolute;left:2962;top:1098;width:4606;height:494" type="#_x0000_t75" stroked="false">
              <v:imagedata r:id="rId62" o:title=""/>
            </v:shape>
            <v:shape style="position:absolute;left:5131;top:713;width:247;height:395" type="#_x0000_t75" stroked="false">
              <v:imagedata r:id="rId63" o:title=""/>
            </v:shape>
            <v:shape style="position:absolute;left:5188;top:776;width:247;height:391" type="#_x0000_t75" stroked="false">
              <v:imagedata r:id="rId64" o:title=""/>
            </v:shape>
            <v:shape style="position:absolute;left:5306;top:838;width:120;height:266" type="#_x0000_t75" stroked="false">
              <v:imagedata r:id="rId65" o:title=""/>
            </v:shape>
            <v:shape style="position:absolute;left:1039;top:1913;width:1819;height:525" type="#_x0000_t75" stroked="false">
              <v:imagedata r:id="rId66" o:title=""/>
            </v:shape>
            <v:shape style="position:absolute;left:1094;top:1971;width:1826;height:525" type="#_x0000_t75" stroked="false">
              <v:imagedata r:id="rId67" o:title=""/>
            </v:shape>
            <v:shape style="position:absolute;left:1158;top:2037;width:1819;height:519" type="#_x0000_t75" stroked="false">
              <v:imagedata r:id="rId68" o:title=""/>
            </v:shape>
            <v:shape style="position:absolute;left:3129;top:1913;width:3856;height:525" type="#_x0000_t75" stroked="false">
              <v:imagedata r:id="rId69" o:title=""/>
            </v:shape>
            <v:shape style="position:absolute;left:3187;top:1971;width:3856;height:525" type="#_x0000_t75" stroked="false">
              <v:imagedata r:id="rId70" o:title=""/>
            </v:shape>
            <v:shape style="position:absolute;left:3252;top:2037;width:3849;height:519" type="#_x0000_t75" stroked="false">
              <v:imagedata r:id="rId71" o:title=""/>
            </v:shape>
            <v:shape style="position:absolute;left:1396;top:1452;width:2104;height:592" type="#_x0000_t75" stroked="false">
              <v:imagedata r:id="rId72" o:title=""/>
            </v:shape>
            <v:shape style="position:absolute;left:1459;top:1510;width:2099;height:597" type="#_x0000_t75" stroked="false">
              <v:imagedata r:id="rId73" o:title=""/>
            </v:shape>
            <v:shape style="position:absolute;left:1644;top:1575;width:1975;height:500" coordorigin="1644,1576" coordsize="1975,500" path="m1747,1958l1644,2044,1774,2075,1764,2028,1743,2028,1740,2014,1759,2009,1747,1958xm1759,2009l1740,2014,1743,2028,1763,2024,1759,2009xm1763,2024l1743,2028,1764,2028,1763,2024xm3615,1576l1759,2009,1763,2024,3619,1590,3615,1576xe" filled="true" fillcolor="#000000" stroked="false">
              <v:path arrowok="t"/>
              <v:fill type="solid"/>
            </v:shape>
            <v:shape style="position:absolute;left:4473;top:1452;width:770;height:592" type="#_x0000_t75" stroked="false">
              <v:imagedata r:id="rId74" o:title=""/>
            </v:shape>
            <v:shape style="position:absolute;left:4536;top:1510;width:765;height:597" type="#_x0000_t75" stroked="false">
              <v:imagedata r:id="rId75" o:title=""/>
            </v:shape>
            <v:shape style="position:absolute;left:4720;top:1576;width:641;height:467" coordorigin="4720,1577" coordsize="641,467" path="m4782,1925l4720,2044,4852,2022,4830,1991,4805,1991,4797,1979,4813,1967,4782,1925xm4813,1967l4797,1979,4805,1991,4822,1980,4813,1967xm4822,1980l4805,1991,4830,1991,4822,1980xm5352,1577l4813,1967,4822,1980,5360,1589,5352,1577xe" filled="true" fillcolor="#000000" stroked="false">
              <v:path arrowok="t"/>
              <v:fill type="solid"/>
            </v:shape>
            <v:shape style="position:absolute;left:7331;top:1913;width:2803;height:525" type="#_x0000_t75" stroked="false">
              <v:imagedata r:id="rId76" o:title=""/>
            </v:shape>
            <v:shape style="position:absolute;left:7387;top:1971;width:2810;height:525" type="#_x0000_t75" stroked="false">
              <v:imagedata r:id="rId77" o:title=""/>
            </v:shape>
            <v:shape style="position:absolute;left:7451;top:2037;width:2801;height:519" type="#_x0000_t75" stroked="false">
              <v:imagedata r:id="rId78" o:title=""/>
            </v:shape>
            <v:shape style="position:absolute;left:6763;top:1452;width:1595;height:592" type="#_x0000_t75" stroked="false">
              <v:imagedata r:id="rId79" o:title=""/>
            </v:shape>
            <v:shape style="position:absolute;left:6820;top:1510;width:1600;height:597" type="#_x0000_t75" stroked="false">
              <v:imagedata r:id="rId80" o:title=""/>
            </v:shape>
            <v:shape style="position:absolute;left:6886;top:1575;width:1471;height:490" coordorigin="6887,1576" coordsize="1471,490" path="m8240,2015l8225,2065,8357,2044,8333,2021,8259,2021,8240,2015xm8245,2001l8240,2015,8259,2021,8264,2007,8245,2001xm8260,1951l8245,2001,8264,2007,8259,2021,8333,2021,8260,1951xm6891,1576l6887,1590,8240,2015,8245,2001,6891,1576xe" filled="true" fillcolor="#000000" stroked="false">
              <v:path arrowok="t"/>
              <v:fill type="solid"/>
            </v:shape>
            <v:shape style="position:absolute;left:1917;top:3099;width:3513;height:765" type="#_x0000_t75" stroked="false">
              <v:imagedata r:id="rId81" o:title=""/>
            </v:shape>
            <v:shape style="position:absolute;left:1972;top:3156;width:3520;height:765" type="#_x0000_t75" stroked="false">
              <v:imagedata r:id="rId82" o:title=""/>
            </v:shape>
            <v:shape style="position:absolute;left:2036;top:3223;width:3513;height:757" type="#_x0000_t75" stroked="false">
              <v:imagedata r:id="rId83" o:title=""/>
            </v:shape>
            <v:shape style="position:absolute;left:1574;top:2417;width:1691;height:813" type="#_x0000_t75" stroked="false">
              <v:imagedata r:id="rId84" o:title=""/>
            </v:shape>
            <v:shape style="position:absolute;left:1632;top:2475;width:1691;height:818" type="#_x0000_t75" stroked="false">
              <v:imagedata r:id="rId85" o:title=""/>
            </v:shape>
            <v:shape style="position:absolute;left:1697;top:2540;width:1564;height:697" coordorigin="1697,2541" coordsize="1564,697" path="m3148,3189l3127,3237,3261,3230,3233,3197,3166,3197,3148,3189xm3154,3175l3148,3189,3166,3197,3172,3183,3154,3175xm3175,3127l3154,3175,3172,3183,3166,3197,3233,3197,3175,3127xm1703,2541l1697,2554,3148,3189,3154,3175,1703,2541xe" filled="true" fillcolor="#000000" stroked="false">
              <v:path arrowok="t"/>
              <v:fill type="solid"/>
            </v:shape>
            <v:shape style="position:absolute;left:3201;top:2417;width:1403;height:813" type="#_x0000_t75" stroked="false">
              <v:imagedata r:id="rId86" o:title=""/>
            </v:shape>
            <v:shape style="position:absolute;left:3264;top:2475;width:1403;height:818" type="#_x0000_t75" stroked="false">
              <v:imagedata r:id="rId87" o:title=""/>
            </v:shape>
            <v:shape style="position:absolute;left:3448;top:2541;width:1276;height:689" coordorigin="3448,2541" coordsize="1276,689" path="m3525,3120l3448,3230,3582,3226,3562,3189,3540,3189,3533,3176,3550,3167,3525,3120xm3550,3167l3533,3176,3540,3189,3557,3180,3550,3167xm3557,3180l3540,3189,3562,3189,3557,3180xm4716,2541l3550,3167,3557,3180,4724,2554,4716,2541xe" filled="true" fillcolor="#000000" stroked="false">
              <v:path arrowok="t"/>
              <v:fill type="solid"/>
            </v:shape>
            <v:shape style="position:absolute;left:6268;top:3075;width:3429;height:789" type="#_x0000_t75" stroked="false">
              <v:imagedata r:id="rId88" o:title=""/>
            </v:shape>
            <v:shape style="position:absolute;left:6331;top:3132;width:3424;height:789" type="#_x0000_t75" stroked="false">
              <v:imagedata r:id="rId89" o:title=""/>
            </v:shape>
            <v:shape style="position:absolute;left:6394;top:3198;width:3419;height:783" type="#_x0000_t75" stroked="false">
              <v:imagedata r:id="rId90" o:title=""/>
            </v:shape>
            <v:shape style="position:absolute;left:4089;top:2417;width:4149;height:813" type="#_x0000_t75" stroked="false">
              <v:imagedata r:id="rId91" o:title=""/>
            </v:shape>
            <v:shape style="position:absolute;left:4152;top:2475;width:4149;height:818" type="#_x0000_t75" stroked="false">
              <v:imagedata r:id="rId92" o:title=""/>
            </v:shape>
            <v:shape style="position:absolute;left:4337;top:2540;width:4022;height:729" coordorigin="4337,2540" coordsize="4022,729" path="m4445,3151l4337,3230,4465,3269,4457,3221,4437,3221,4434,3206,4454,3203,4445,3151xm4454,3203l4434,3206,4437,3221,4457,3217,4454,3203xm4457,3217l4437,3221,4457,3221,4457,3217xm8356,2540l4454,3203,4457,3217,8358,2555,8356,2540xe" filled="true" fillcolor="#000000" stroked="false">
              <v:path arrowok="t"/>
              <v:fill type="solid"/>
            </v:shape>
            <v:shape style="position:absolute;left:7785;top:2417;width:544;height:789" type="#_x0000_t75" stroked="false">
              <v:imagedata r:id="rId93" o:title=""/>
            </v:shape>
            <v:shape style="position:absolute;left:7843;top:2480;width:549;height:789" type="#_x0000_t75" stroked="false">
              <v:imagedata r:id="rId94" o:title=""/>
            </v:shape>
            <v:shape style="position:absolute;left:8030;top:2543;width:419;height:661" coordorigin="8030,2544" coordsize="419,661" path="m8043,3071l8030,3205,8145,3135,8127,3124,8089,3124,8077,3116,8087,3099,8043,3071xm8087,3099l8077,3116,8089,3124,8100,3107,8087,3099xm8100,3107l8089,3124,8127,3124,8100,3107xm8436,2544l8087,3099,8100,3107,8448,2552,8436,2544xe" filled="true" fillcolor="#000000" stroked="false">
              <v:path arrowok="t"/>
              <v:fill type="solid"/>
            </v:shape>
            <v:shape style="position:absolute;left:1574;top:2417;width:5128;height:789" type="#_x0000_t75" stroked="false">
              <v:imagedata r:id="rId95" o:title=""/>
            </v:shape>
            <v:shape style="position:absolute;left:1632;top:2475;width:5133;height:794" type="#_x0000_t75" stroked="false">
              <v:imagedata r:id="rId96" o:title=""/>
            </v:shape>
            <v:shape style="position:absolute;left:1699;top:2540;width:5003;height:709" coordorigin="1699,2540" coordsize="5003,709" path="m6582,3196l6575,3248,6702,3205,6694,3199,6602,3199,6582,3196xm6584,3181l6582,3196,6602,3199,6604,3184,6584,3181xm6591,3129l6584,3181,6604,3184,6602,3199,6694,3199,6591,3129xm1701,2540l1699,2555,6582,3196,6584,3181,1701,2540xe" filled="true" fillcolor="#000000" stroked="false">
              <v:path arrowok="t"/>
              <v:fill type="solid"/>
            </v:shape>
            <v:shape style="position:absolute;left:4593;top:2417;width:2867;height:789" type="#_x0000_t75" stroked="false">
              <v:imagedata r:id="rId97" o:title=""/>
            </v:shape>
            <v:shape style="position:absolute;left:4651;top:2475;width:2872;height:794" type="#_x0000_t75" stroked="false">
              <v:imagedata r:id="rId98" o:title=""/>
            </v:shape>
            <v:shape style="position:absolute;left:4718;top:2540;width:2742;height:695" coordorigin="4718,2540" coordsize="2742,695" path="m7342,3184l7329,3235,7460,3205,7441,3189,7361,3189,7342,3184xm7345,3169l7342,3184,7361,3189,7365,3174,7345,3169xm7357,3118l7345,3169,7365,3174,7361,3189,7441,3189,7357,3118xm4722,2540l4718,2555,7342,3184,7345,3169,4722,2540xe" filled="true" fillcolor="#000000" stroked="false">
              <v:path arrowok="t"/>
              <v:fill type="solid"/>
            </v:shape>
            <v:shape style="position:absolute;left:3783;top:454;width:3497;height:266" type="#_x0000_t202" filled="false" stroked="false">
              <v:textbox inset="0,0,0,0">
                <w:txbxContent>
                  <w:p>
                    <w:pPr>
                      <w:spacing w:line="266" w:lineRule="exact" w:before="0"/>
                      <w:ind w:left="0" w:right="0" w:firstLine="0"/>
                      <w:jc w:val="left"/>
                      <w:rPr>
                        <w:sz w:val="24"/>
                      </w:rPr>
                    </w:pPr>
                    <w:r>
                      <w:rPr>
                        <w:sz w:val="24"/>
                      </w:rPr>
                      <w:t>Складові цифрової трансформації</w:t>
                    </w:r>
                  </w:p>
                </w:txbxContent>
              </v:textbox>
              <w10:wrap type="none"/>
            </v:shape>
            <v:shape style="position:absolute;left:4461;top:1193;width:2194;height:266" type="#_x0000_t202" filled="false" stroked="false">
              <v:textbox inset="0,0,0,0">
                <w:txbxContent>
                  <w:p>
                    <w:pPr>
                      <w:spacing w:line="266" w:lineRule="exact" w:before="0"/>
                      <w:ind w:left="0" w:right="0" w:firstLine="0"/>
                      <w:jc w:val="left"/>
                      <w:rPr>
                        <w:sz w:val="24"/>
                      </w:rPr>
                    </w:pPr>
                    <w:r>
                      <w:rPr>
                        <w:sz w:val="24"/>
                      </w:rPr>
                      <w:t>безперервний процес</w:t>
                    </w:r>
                  </w:p>
                </w:txbxContent>
              </v:textbox>
              <w10:wrap type="none"/>
            </v:shape>
            <v:shape style="position:absolute;left:1608;top:2135;width:945;height:266" type="#_x0000_t202" filled="false" stroked="false">
              <v:textbox inset="0,0,0,0">
                <w:txbxContent>
                  <w:p>
                    <w:pPr>
                      <w:spacing w:line="266" w:lineRule="exact" w:before="0"/>
                      <w:ind w:left="0" w:right="0" w:firstLine="0"/>
                      <w:jc w:val="left"/>
                      <w:rPr>
                        <w:sz w:val="24"/>
                      </w:rPr>
                    </w:pPr>
                    <w:r>
                      <w:rPr>
                        <w:sz w:val="24"/>
                      </w:rPr>
                      <w:t>інновації</w:t>
                    </w:r>
                  </w:p>
                </w:txbxContent>
              </v:textbox>
              <w10:wrap type="none"/>
            </v:shape>
            <v:shape style="position:absolute;left:3668;top:2135;width:3042;height:266" type="#_x0000_t202" filled="false" stroked="false">
              <v:textbox inset="0,0,0,0">
                <w:txbxContent>
                  <w:p>
                    <w:pPr>
                      <w:spacing w:line="266" w:lineRule="exact" w:before="0"/>
                      <w:ind w:left="0" w:right="0" w:firstLine="0"/>
                      <w:jc w:val="left"/>
                      <w:rPr>
                        <w:sz w:val="24"/>
                      </w:rPr>
                    </w:pPr>
                    <w:r>
                      <w:rPr>
                        <w:sz w:val="24"/>
                      </w:rPr>
                      <w:t>нове програмне забезпечення</w:t>
                    </w:r>
                  </w:p>
                </w:txbxContent>
              </v:textbox>
              <w10:wrap type="none"/>
            </v:shape>
            <v:shape style="position:absolute;left:7836;top:2135;width:2053;height:266" type="#_x0000_t202" filled="false" stroked="false">
              <v:textbox inset="0,0,0,0">
                <w:txbxContent>
                  <w:p>
                    <w:pPr>
                      <w:spacing w:line="266" w:lineRule="exact" w:before="0"/>
                      <w:ind w:left="0" w:right="0" w:firstLine="0"/>
                      <w:jc w:val="left"/>
                      <w:rPr>
                        <w:sz w:val="24"/>
                      </w:rPr>
                    </w:pPr>
                    <w:r>
                      <w:rPr>
                        <w:sz w:val="24"/>
                      </w:rPr>
                      <w:t>проривні технології</w:t>
                    </w:r>
                  </w:p>
                </w:txbxContent>
              </v:textbox>
              <w10:wrap type="none"/>
            </v:shape>
            <v:shape style="position:absolute;left:2381;top:3315;width:2853;height:550" type="#_x0000_t202" filled="false" stroked="false">
              <v:textbox inset="0,0,0,0">
                <w:txbxContent>
                  <w:p>
                    <w:pPr>
                      <w:spacing w:line="266" w:lineRule="exact" w:before="0"/>
                      <w:ind w:left="0" w:right="18" w:firstLine="0"/>
                      <w:jc w:val="center"/>
                      <w:rPr>
                        <w:sz w:val="24"/>
                      </w:rPr>
                    </w:pPr>
                    <w:r>
                      <w:rPr>
                        <w:sz w:val="24"/>
                      </w:rPr>
                      <w:t>збільшення продуктивності</w:t>
                    </w:r>
                  </w:p>
                  <w:p>
                    <w:pPr>
                      <w:spacing w:before="7"/>
                      <w:ind w:left="0" w:right="18" w:firstLine="0"/>
                      <w:jc w:val="center"/>
                      <w:rPr>
                        <w:sz w:val="24"/>
                      </w:rPr>
                    </w:pPr>
                    <w:r>
                      <w:rPr>
                        <w:sz w:val="24"/>
                      </w:rPr>
                      <w:t>праці</w:t>
                    </w:r>
                  </w:p>
                </w:txbxContent>
              </v:textbox>
              <w10:wrap type="none"/>
            </v:shape>
            <v:shape style="position:absolute;left:6794;top:3291;width:2643;height:550" type="#_x0000_t202" filled="false" stroked="false">
              <v:textbox inset="0,0,0,0">
                <w:txbxContent>
                  <w:p>
                    <w:pPr>
                      <w:spacing w:line="266" w:lineRule="exact" w:before="0"/>
                      <w:ind w:left="0" w:right="20" w:firstLine="0"/>
                      <w:jc w:val="center"/>
                      <w:rPr>
                        <w:sz w:val="24"/>
                      </w:rPr>
                    </w:pPr>
                    <w:r>
                      <w:rPr>
                        <w:sz w:val="24"/>
                      </w:rPr>
                      <w:t>збільшення</w:t>
                    </w:r>
                  </w:p>
                  <w:p>
                    <w:pPr>
                      <w:spacing w:before="7"/>
                      <w:ind w:left="0" w:right="18" w:firstLine="0"/>
                      <w:jc w:val="center"/>
                      <w:rPr>
                        <w:sz w:val="24"/>
                      </w:rPr>
                    </w:pPr>
                    <w:r>
                      <w:rPr>
                        <w:sz w:val="24"/>
                      </w:rPr>
                      <w:t>конкурентоспроможності</w:t>
                    </w:r>
                  </w:p>
                </w:txbxContent>
              </v:textbox>
              <w10:wrap type="none"/>
            </v:shape>
            <w10:wrap type="topAndBottom"/>
          </v:group>
        </w:pict>
      </w:r>
    </w:p>
    <w:p>
      <w:pPr>
        <w:pStyle w:val="BodyText"/>
        <w:spacing w:before="176"/>
        <w:ind w:left="883" w:right="603"/>
        <w:jc w:val="center"/>
      </w:pPr>
      <w:r>
        <w:rPr/>
        <w:t>Рис. 2. Складові цифрової трансформації</w:t>
      </w:r>
    </w:p>
    <w:p>
      <w:pPr>
        <w:pStyle w:val="BodyText"/>
        <w:spacing w:before="10"/>
        <w:ind w:left="0"/>
        <w:jc w:val="left"/>
        <w:rPr>
          <w:sz w:val="27"/>
        </w:rPr>
      </w:pPr>
    </w:p>
    <w:p>
      <w:pPr>
        <w:pStyle w:val="BodyText"/>
        <w:ind w:right="620" w:firstLine="710"/>
      </w:pPr>
      <w:r>
        <w:rPr/>
        <w:t>Отже, вивчаючи запропоновані принципи цифровізації, доцільно наголосити</w:t>
      </w:r>
      <w:r>
        <w:rPr>
          <w:spacing w:val="-10"/>
        </w:rPr>
        <w:t> </w:t>
      </w:r>
      <w:r>
        <w:rPr/>
        <w:t>на</w:t>
      </w:r>
      <w:r>
        <w:rPr>
          <w:spacing w:val="-10"/>
        </w:rPr>
        <w:t> </w:t>
      </w:r>
      <w:r>
        <w:rPr/>
        <w:t>створенні</w:t>
      </w:r>
      <w:r>
        <w:rPr>
          <w:spacing w:val="-15"/>
        </w:rPr>
        <w:t> </w:t>
      </w:r>
      <w:r>
        <w:rPr/>
        <w:t>переваг</w:t>
      </w:r>
      <w:r>
        <w:rPr>
          <w:spacing w:val="-9"/>
        </w:rPr>
        <w:t> </w:t>
      </w:r>
      <w:r>
        <w:rPr/>
        <w:t>у</w:t>
      </w:r>
      <w:r>
        <w:rPr>
          <w:spacing w:val="-14"/>
        </w:rPr>
        <w:t> </w:t>
      </w:r>
      <w:r>
        <w:rPr/>
        <w:t>отриманні</w:t>
      </w:r>
      <w:r>
        <w:rPr>
          <w:spacing w:val="-15"/>
        </w:rPr>
        <w:t> </w:t>
      </w:r>
      <w:r>
        <w:rPr/>
        <w:t>землевпорядної</w:t>
      </w:r>
      <w:r>
        <w:rPr>
          <w:spacing w:val="-15"/>
        </w:rPr>
        <w:t> </w:t>
      </w:r>
      <w:r>
        <w:rPr/>
        <w:t>освіти</w:t>
      </w:r>
      <w:r>
        <w:rPr>
          <w:spacing w:val="-10"/>
        </w:rPr>
        <w:t> </w:t>
      </w:r>
      <w:r>
        <w:rPr/>
        <w:t>(відзначимо застарілу систему освіти, методик викладання і закріплення знань та</w:t>
      </w:r>
      <w:r>
        <w:rPr>
          <w:spacing w:val="41"/>
        </w:rPr>
        <w:t> </w:t>
      </w:r>
      <w:r>
        <w:rPr/>
        <w:t>умінь),</w:t>
      </w:r>
    </w:p>
    <w:p>
      <w:pPr>
        <w:spacing w:after="0"/>
        <w:sectPr>
          <w:type w:val="continuous"/>
          <w:pgSz w:w="11910" w:h="16840"/>
          <w:pgMar w:top="1140" w:bottom="280" w:left="940" w:right="520"/>
        </w:sectPr>
      </w:pPr>
    </w:p>
    <w:p>
      <w:pPr>
        <w:pStyle w:val="BodyText"/>
        <w:spacing w:before="92"/>
        <w:ind w:right="607"/>
      </w:pPr>
      <w:r>
        <w:rPr/>
        <w:t>створенні нових робочих місць (спостерігається дефіцит висококваліфікованих кадрів для повноцінного розвитку цифровізації), розвитку підприємництва в галузі геодезії, землеустрою та кадастру, адже це нагальна проблема в нашій державі у вузькоспеціалізованому полі.</w:t>
      </w:r>
    </w:p>
    <w:p>
      <w:pPr>
        <w:pStyle w:val="BodyText"/>
        <w:ind w:right="608" w:firstLine="710"/>
      </w:pPr>
      <w:r>
        <w:rPr/>
        <w:t>Через повільні темпи цифрової трансформації у землевпорядкуванні існує загроза витіснення з ринку невеликих підприємств, фізичних осіб-підприємців, гнучкими, орієнтованими на споживача, швидкими в наданні послуг інноваційними підприємствами. </w:t>
      </w:r>
      <w:r>
        <w:rPr>
          <w:spacing w:val="-3"/>
        </w:rPr>
        <w:t>На </w:t>
      </w:r>
      <w:r>
        <w:rPr/>
        <w:t>нашу думку існує великий ризик цифрової трансформації економіки нашої держави, який полягає у зростанні в майбутньому рівня безробіття, але позитивна сторона цифровізації в збільшенні продуктивності</w:t>
      </w:r>
      <w:r>
        <w:rPr>
          <w:spacing w:val="-22"/>
        </w:rPr>
        <w:t> </w:t>
      </w:r>
      <w:r>
        <w:rPr/>
        <w:t>праці</w:t>
      </w:r>
      <w:r>
        <w:rPr>
          <w:spacing w:val="-21"/>
        </w:rPr>
        <w:t> </w:t>
      </w:r>
      <w:r>
        <w:rPr/>
        <w:t>та</w:t>
      </w:r>
      <w:r>
        <w:rPr>
          <w:spacing w:val="-16"/>
        </w:rPr>
        <w:t> </w:t>
      </w:r>
      <w:r>
        <w:rPr/>
        <w:t>розширенні</w:t>
      </w:r>
      <w:r>
        <w:rPr>
          <w:spacing w:val="-17"/>
        </w:rPr>
        <w:t> </w:t>
      </w:r>
      <w:r>
        <w:rPr/>
        <w:t>нових</w:t>
      </w:r>
      <w:r>
        <w:rPr>
          <w:spacing w:val="-21"/>
        </w:rPr>
        <w:t> </w:t>
      </w:r>
      <w:r>
        <w:rPr/>
        <w:t>затребуваних</w:t>
      </w:r>
      <w:r>
        <w:rPr>
          <w:spacing w:val="-22"/>
        </w:rPr>
        <w:t> </w:t>
      </w:r>
      <w:r>
        <w:rPr/>
        <w:t>професій.</w:t>
      </w:r>
      <w:r>
        <w:rPr>
          <w:spacing w:val="-14"/>
        </w:rPr>
        <w:t> </w:t>
      </w:r>
      <w:r>
        <w:rPr/>
        <w:t>Проявами</w:t>
      </w:r>
      <w:r>
        <w:rPr>
          <w:spacing w:val="-17"/>
        </w:rPr>
        <w:t> </w:t>
      </w:r>
      <w:r>
        <w:rPr/>
        <w:t>ЦТ у досліджуваному колі є такі факти: цифрові кадастрові карти і плани витіснили паперові;</w:t>
      </w:r>
      <w:r>
        <w:rPr>
          <w:spacing w:val="-20"/>
        </w:rPr>
        <w:t> </w:t>
      </w:r>
      <w:r>
        <w:rPr/>
        <w:t>лазерні</w:t>
      </w:r>
      <w:r>
        <w:rPr>
          <w:spacing w:val="-25"/>
        </w:rPr>
        <w:t> </w:t>
      </w:r>
      <w:r>
        <w:rPr/>
        <w:t>рулетки</w:t>
      </w:r>
      <w:r>
        <w:rPr>
          <w:spacing w:val="-20"/>
        </w:rPr>
        <w:t> </w:t>
      </w:r>
      <w:r>
        <w:rPr/>
        <w:t>замінили</w:t>
      </w:r>
      <w:r>
        <w:rPr>
          <w:spacing w:val="-19"/>
        </w:rPr>
        <w:t> </w:t>
      </w:r>
      <w:r>
        <w:rPr/>
        <w:t>мірні</w:t>
      </w:r>
      <w:r>
        <w:rPr>
          <w:spacing w:val="-25"/>
        </w:rPr>
        <w:t> </w:t>
      </w:r>
      <w:r>
        <w:rPr/>
        <w:t>стрічки</w:t>
      </w:r>
      <w:r>
        <w:rPr>
          <w:spacing w:val="-20"/>
        </w:rPr>
        <w:t> </w:t>
      </w:r>
      <w:r>
        <w:rPr/>
        <w:t>та</w:t>
      </w:r>
      <w:r>
        <w:rPr>
          <w:spacing w:val="-19"/>
        </w:rPr>
        <w:t> </w:t>
      </w:r>
      <w:r>
        <w:rPr/>
        <w:t>рулетки;</w:t>
      </w:r>
      <w:r>
        <w:rPr>
          <w:spacing w:val="-20"/>
        </w:rPr>
        <w:t> </w:t>
      </w:r>
      <w:r>
        <w:rPr/>
        <w:t>теодоліти</w:t>
      </w:r>
      <w:r>
        <w:rPr>
          <w:spacing w:val="-20"/>
        </w:rPr>
        <w:t> </w:t>
      </w:r>
      <w:r>
        <w:rPr/>
        <w:t>витіснили фототеодоліти (прилади, в яких об'єднані теодоліт з фотокамерою); про новини в галузі геодезії, землеустрою та кадастру дізнаються з Twitter або Facebook, a науково-обґрунтовану інформацію нині шукають не в бібліотеці, а на Wikipedia або в</w:t>
      </w:r>
      <w:r>
        <w:rPr>
          <w:spacing w:val="1"/>
        </w:rPr>
        <w:t> </w:t>
      </w:r>
      <w:r>
        <w:rPr/>
        <w:t>YouTube.</w:t>
      </w:r>
    </w:p>
    <w:p>
      <w:pPr>
        <w:pStyle w:val="BodyText"/>
        <w:ind w:right="607" w:firstLine="710"/>
      </w:pPr>
      <w:r>
        <w:rPr/>
        <w:t>Відсутність моделі обрахування економічного впливу інформаційно- комунікаційних технологій (ІКТ) на ті чи інші індустрії та сфери життя в нашій країні сповільнює темпи розвитку цифровізації. Проте, за оцінками International Data Corporation, сукупний обсяг ІКТ-обладнання та послуг, спожитих в Україні 2018</w:t>
      </w:r>
      <w:r>
        <w:rPr>
          <w:spacing w:val="-5"/>
        </w:rPr>
        <w:t> </w:t>
      </w:r>
      <w:r>
        <w:rPr/>
        <w:t>року,</w:t>
      </w:r>
      <w:r>
        <w:rPr>
          <w:spacing w:val="-3"/>
        </w:rPr>
        <w:t> </w:t>
      </w:r>
      <w:r>
        <w:rPr/>
        <w:t>становить</w:t>
      </w:r>
      <w:r>
        <w:rPr>
          <w:spacing w:val="-6"/>
        </w:rPr>
        <w:t> </w:t>
      </w:r>
      <w:r>
        <w:rPr/>
        <w:t>орієнтовно</w:t>
      </w:r>
      <w:r>
        <w:rPr>
          <w:spacing w:val="-5"/>
        </w:rPr>
        <w:t> </w:t>
      </w:r>
      <w:r>
        <w:rPr/>
        <w:t>1</w:t>
      </w:r>
      <w:r>
        <w:rPr>
          <w:spacing w:val="-5"/>
        </w:rPr>
        <w:t> </w:t>
      </w:r>
      <w:r>
        <w:rPr/>
        <w:t>млрд</w:t>
      </w:r>
      <w:r>
        <w:rPr>
          <w:spacing w:val="-7"/>
        </w:rPr>
        <w:t> </w:t>
      </w:r>
      <w:r>
        <w:rPr/>
        <w:t>560</w:t>
      </w:r>
      <w:r>
        <w:rPr>
          <w:spacing w:val="-5"/>
        </w:rPr>
        <w:t> </w:t>
      </w:r>
      <w:r>
        <w:rPr/>
        <w:t>млн</w:t>
      </w:r>
      <w:r>
        <w:rPr>
          <w:spacing w:val="-5"/>
        </w:rPr>
        <w:t> </w:t>
      </w:r>
      <w:r>
        <w:rPr/>
        <w:t>дол.</w:t>
      </w:r>
      <w:r>
        <w:rPr>
          <w:spacing w:val="-6"/>
        </w:rPr>
        <w:t> </w:t>
      </w:r>
      <w:r>
        <w:rPr/>
        <w:t>Для</w:t>
      </w:r>
      <w:r>
        <w:rPr>
          <w:spacing w:val="-3"/>
        </w:rPr>
        <w:t> </w:t>
      </w:r>
      <w:r>
        <w:rPr/>
        <w:t>порівняння,</w:t>
      </w:r>
      <w:r>
        <w:rPr>
          <w:spacing w:val="-3"/>
        </w:rPr>
        <w:t> </w:t>
      </w:r>
      <w:r>
        <w:rPr/>
        <w:t>економіка Польщі 2018 року спожила ІТ-продукції на 6,5 млрд дол. </w:t>
      </w:r>
      <w:r>
        <w:rPr>
          <w:spacing w:val="-3"/>
        </w:rPr>
        <w:t>Це </w:t>
      </w:r>
      <w:r>
        <w:rPr/>
        <w:t>означає, що економіку України недофінансовано з погляду споживання нею технологій. Для досягнення</w:t>
      </w:r>
      <w:r>
        <w:rPr>
          <w:spacing w:val="-15"/>
        </w:rPr>
        <w:t> </w:t>
      </w:r>
      <w:r>
        <w:rPr/>
        <w:t>у</w:t>
      </w:r>
      <w:r>
        <w:rPr>
          <w:spacing w:val="-20"/>
        </w:rPr>
        <w:t> </w:t>
      </w:r>
      <w:r>
        <w:rPr/>
        <w:t>2030Е</w:t>
      </w:r>
      <w:r>
        <w:rPr>
          <w:spacing w:val="-17"/>
        </w:rPr>
        <w:t> </w:t>
      </w:r>
      <w:r>
        <w:rPr/>
        <w:t>розміру</w:t>
      </w:r>
      <w:r>
        <w:rPr>
          <w:spacing w:val="-15"/>
        </w:rPr>
        <w:t> </w:t>
      </w:r>
      <w:r>
        <w:rPr/>
        <w:t>ВВП</w:t>
      </w:r>
      <w:r>
        <w:rPr>
          <w:spacing w:val="-14"/>
        </w:rPr>
        <w:t> </w:t>
      </w:r>
      <w:r>
        <w:rPr/>
        <w:t>у</w:t>
      </w:r>
      <w:r>
        <w:rPr>
          <w:spacing w:val="-20"/>
        </w:rPr>
        <w:t> </w:t>
      </w:r>
      <w:r>
        <w:rPr/>
        <w:t>1</w:t>
      </w:r>
      <w:r>
        <w:rPr>
          <w:spacing w:val="-10"/>
        </w:rPr>
        <w:t> </w:t>
      </w:r>
      <w:r>
        <w:rPr/>
        <w:t>трлн</w:t>
      </w:r>
      <w:r>
        <w:rPr>
          <w:spacing w:val="-15"/>
        </w:rPr>
        <w:t> </w:t>
      </w:r>
      <w:r>
        <w:rPr/>
        <w:t>дол.,</w:t>
      </w:r>
      <w:r>
        <w:rPr>
          <w:spacing w:val="-13"/>
        </w:rPr>
        <w:t> </w:t>
      </w:r>
      <w:r>
        <w:rPr/>
        <w:t>рівень</w:t>
      </w:r>
      <w:r>
        <w:rPr>
          <w:spacing w:val="-17"/>
        </w:rPr>
        <w:t> </w:t>
      </w:r>
      <w:r>
        <w:rPr/>
        <w:t>споживання</w:t>
      </w:r>
      <w:r>
        <w:rPr>
          <w:spacing w:val="-14"/>
        </w:rPr>
        <w:t> </w:t>
      </w:r>
      <w:r>
        <w:rPr/>
        <w:t>ІКТ-продукції має істотно піднятися насамперед за рахунок упровадження масштабних національних проектів цифрових трансформацій – від пріоритетних галузей економіки</w:t>
      </w:r>
      <w:r>
        <w:rPr>
          <w:spacing w:val="-14"/>
        </w:rPr>
        <w:t> </w:t>
      </w:r>
      <w:r>
        <w:rPr/>
        <w:t>до</w:t>
      </w:r>
      <w:r>
        <w:rPr>
          <w:spacing w:val="-14"/>
        </w:rPr>
        <w:t> </w:t>
      </w:r>
      <w:r>
        <w:rPr/>
        <w:t>таких</w:t>
      </w:r>
      <w:r>
        <w:rPr>
          <w:spacing w:val="-19"/>
        </w:rPr>
        <w:t> </w:t>
      </w:r>
      <w:r>
        <w:rPr/>
        <w:t>сфер</w:t>
      </w:r>
      <w:r>
        <w:rPr>
          <w:spacing w:val="-13"/>
        </w:rPr>
        <w:t> </w:t>
      </w:r>
      <w:r>
        <w:rPr/>
        <w:t>життя,</w:t>
      </w:r>
      <w:r>
        <w:rPr>
          <w:spacing w:val="-12"/>
        </w:rPr>
        <w:t> </w:t>
      </w:r>
      <w:r>
        <w:rPr/>
        <w:t>як</w:t>
      </w:r>
      <w:r>
        <w:rPr>
          <w:spacing w:val="-15"/>
        </w:rPr>
        <w:t> </w:t>
      </w:r>
      <w:r>
        <w:rPr/>
        <w:t>медицина,</w:t>
      </w:r>
      <w:r>
        <w:rPr>
          <w:spacing w:val="-11"/>
        </w:rPr>
        <w:t> </w:t>
      </w:r>
      <w:r>
        <w:rPr/>
        <w:t>освіта,</w:t>
      </w:r>
      <w:r>
        <w:rPr>
          <w:spacing w:val="-12"/>
        </w:rPr>
        <w:t> </w:t>
      </w:r>
      <w:r>
        <w:rPr/>
        <w:t>транспорт,</w:t>
      </w:r>
      <w:r>
        <w:rPr>
          <w:spacing w:val="-12"/>
        </w:rPr>
        <w:t> </w:t>
      </w:r>
      <w:r>
        <w:rPr/>
        <w:t>екологія,</w:t>
      </w:r>
      <w:r>
        <w:rPr>
          <w:spacing w:val="-12"/>
        </w:rPr>
        <w:t> </w:t>
      </w:r>
      <w:r>
        <w:rPr/>
        <w:t>туризм тощо [7].</w:t>
      </w:r>
    </w:p>
    <w:p>
      <w:pPr>
        <w:pStyle w:val="BodyText"/>
        <w:spacing w:before="1"/>
        <w:ind w:right="609" w:firstLine="710"/>
      </w:pPr>
      <w:r>
        <w:rPr/>
        <w:t>Для виміру досягнення успіху в певній діяльності або в досягненні певних цілей в економіці використовують показник KPI (Key Performance Indicator), кількісно вимірний індикатор фактично досягнутих результатів, фінансова та нефінансова система оцінки, яка допомагає визначити досягнення стратегічних цілей підприємством. Прогнозні значення KPI цифровізації української економіки</w:t>
      </w:r>
      <w:r>
        <w:rPr>
          <w:spacing w:val="-8"/>
        </w:rPr>
        <w:t> </w:t>
      </w:r>
      <w:r>
        <w:rPr/>
        <w:t>на</w:t>
      </w:r>
      <w:r>
        <w:rPr>
          <w:spacing w:val="-12"/>
        </w:rPr>
        <w:t> </w:t>
      </w:r>
      <w:r>
        <w:rPr/>
        <w:t>2021-2030</w:t>
      </w:r>
      <w:r>
        <w:rPr>
          <w:spacing w:val="-13"/>
        </w:rPr>
        <w:t> </w:t>
      </w:r>
      <w:r>
        <w:rPr/>
        <w:t>роки</w:t>
      </w:r>
      <w:r>
        <w:rPr>
          <w:spacing w:val="-11"/>
        </w:rPr>
        <w:t> </w:t>
      </w:r>
      <w:r>
        <w:rPr/>
        <w:t>за</w:t>
      </w:r>
      <w:r>
        <w:rPr>
          <w:spacing w:val="-12"/>
        </w:rPr>
        <w:t> </w:t>
      </w:r>
      <w:r>
        <w:rPr/>
        <w:t>оцінкою</w:t>
      </w:r>
      <w:r>
        <w:rPr>
          <w:spacing w:val="-10"/>
        </w:rPr>
        <w:t> </w:t>
      </w:r>
      <w:r>
        <w:rPr/>
        <w:t>експертів</w:t>
      </w:r>
      <w:r>
        <w:rPr>
          <w:spacing w:val="-11"/>
        </w:rPr>
        <w:t> </w:t>
      </w:r>
      <w:r>
        <w:rPr/>
        <w:t>ініціативи</w:t>
      </w:r>
      <w:r>
        <w:rPr>
          <w:spacing w:val="-8"/>
        </w:rPr>
        <w:t> </w:t>
      </w:r>
      <w:r>
        <w:rPr/>
        <w:t>«Цифрова</w:t>
      </w:r>
      <w:r>
        <w:rPr>
          <w:spacing w:val="-11"/>
        </w:rPr>
        <w:t> </w:t>
      </w:r>
      <w:r>
        <w:rPr/>
        <w:t>адженда України», ГС «Хай-Тек Офіс Україна», ГС Digital Transformation Institute наведені на рисунку</w:t>
      </w:r>
      <w:r>
        <w:rPr>
          <w:spacing w:val="-6"/>
        </w:rPr>
        <w:t> </w:t>
      </w:r>
      <w:r>
        <w:rPr/>
        <w:t>3.</w:t>
      </w:r>
    </w:p>
    <w:p>
      <w:pPr>
        <w:spacing w:after="0"/>
        <w:sectPr>
          <w:pgSz w:w="11910" w:h="16840"/>
          <w:pgMar w:header="713" w:footer="778" w:top="1140" w:bottom="960" w:left="940" w:right="520"/>
        </w:sectPr>
      </w:pPr>
    </w:p>
    <w:p>
      <w:pPr>
        <w:pStyle w:val="BodyText"/>
        <w:spacing w:before="7"/>
        <w:ind w:left="0"/>
        <w:jc w:val="left"/>
        <w:rPr>
          <w:sz w:val="8"/>
        </w:rPr>
      </w:pPr>
    </w:p>
    <w:p>
      <w:pPr>
        <w:pStyle w:val="BodyText"/>
        <w:ind w:left="1383"/>
        <w:jc w:val="left"/>
        <w:rPr>
          <w:sz w:val="20"/>
        </w:rPr>
      </w:pPr>
      <w:r>
        <w:rPr>
          <w:sz w:val="20"/>
        </w:rPr>
        <w:drawing>
          <wp:inline distT="0" distB="0" distL="0" distR="0">
            <wp:extent cx="4607218" cy="3169920"/>
            <wp:effectExtent l="0" t="0" r="0" b="0"/>
            <wp:docPr id="11" name="image57.png"/>
            <wp:cNvGraphicFramePr>
              <a:graphicFrameLocks noChangeAspect="1"/>
            </wp:cNvGraphicFramePr>
            <a:graphic>
              <a:graphicData uri="http://schemas.openxmlformats.org/drawingml/2006/picture">
                <pic:pic>
                  <pic:nvPicPr>
                    <pic:cNvPr id="12" name="image57.png"/>
                    <pic:cNvPicPr/>
                  </pic:nvPicPr>
                  <pic:blipFill>
                    <a:blip r:embed="rId99" cstate="print"/>
                    <a:stretch>
                      <a:fillRect/>
                    </a:stretch>
                  </pic:blipFill>
                  <pic:spPr>
                    <a:xfrm>
                      <a:off x="0" y="0"/>
                      <a:ext cx="4607218" cy="3169920"/>
                    </a:xfrm>
                    <a:prstGeom prst="rect">
                      <a:avLst/>
                    </a:prstGeom>
                  </pic:spPr>
                </pic:pic>
              </a:graphicData>
            </a:graphic>
          </wp:inline>
        </w:drawing>
      </w:r>
      <w:r>
        <w:rPr>
          <w:sz w:val="20"/>
        </w:rPr>
      </w:r>
    </w:p>
    <w:p>
      <w:pPr>
        <w:spacing w:line="235" w:lineRule="auto" w:before="127"/>
        <w:ind w:left="903" w:right="3960" w:firstLine="0"/>
        <w:jc w:val="left"/>
        <w:rPr>
          <w:sz w:val="24"/>
        </w:rPr>
      </w:pPr>
      <w:r>
        <w:rPr>
          <w:position w:val="2"/>
          <w:sz w:val="24"/>
        </w:rPr>
        <w:t>1 - Внутрішній ринок (споживання ІКТ), млрд дол.(</w:t>
      </w:r>
      <w:r>
        <w:rPr>
          <w:i/>
          <w:position w:val="2"/>
          <w:sz w:val="24"/>
        </w:rPr>
        <w:t>x</w:t>
      </w:r>
      <w:r>
        <w:rPr>
          <w:i/>
          <w:sz w:val="16"/>
        </w:rPr>
        <w:t>1</w:t>
      </w:r>
      <w:r>
        <w:rPr>
          <w:position w:val="2"/>
          <w:sz w:val="24"/>
        </w:rPr>
        <w:t>) 2 - Вплив на ВВП, відсоток зростання (</w:t>
      </w:r>
      <w:r>
        <w:rPr>
          <w:i/>
          <w:position w:val="2"/>
          <w:sz w:val="24"/>
        </w:rPr>
        <w:t>x</w:t>
      </w:r>
      <w:r>
        <w:rPr>
          <w:i/>
          <w:sz w:val="16"/>
        </w:rPr>
        <w:t>2</w:t>
      </w:r>
      <w:r>
        <w:rPr>
          <w:position w:val="2"/>
          <w:sz w:val="24"/>
        </w:rPr>
        <w:t>)</w:t>
      </w:r>
    </w:p>
    <w:p>
      <w:pPr>
        <w:pStyle w:val="BodyText"/>
        <w:ind w:left="0"/>
        <w:jc w:val="left"/>
        <w:rPr>
          <w:sz w:val="24"/>
        </w:rPr>
      </w:pPr>
    </w:p>
    <w:p>
      <w:pPr>
        <w:pStyle w:val="BodyText"/>
        <w:spacing w:line="322" w:lineRule="exact"/>
        <w:ind w:left="891" w:right="603"/>
        <w:jc w:val="center"/>
      </w:pPr>
      <w:r>
        <w:rPr/>
        <w:t>Рис. 3. Прогнозні значення KPI цифровізації української економіки на</w:t>
      </w:r>
    </w:p>
    <w:p>
      <w:pPr>
        <w:pStyle w:val="BodyText"/>
        <w:ind w:left="180" w:right="603"/>
        <w:jc w:val="center"/>
      </w:pPr>
      <w:r>
        <w:rPr/>
        <w:t>2021-2030 роки</w:t>
      </w:r>
    </w:p>
    <w:p>
      <w:pPr>
        <w:pStyle w:val="BodyText"/>
        <w:spacing w:before="4"/>
        <w:ind w:left="0"/>
        <w:jc w:val="left"/>
      </w:pPr>
    </w:p>
    <w:p>
      <w:pPr>
        <w:pStyle w:val="BodyText"/>
        <w:ind w:right="610"/>
      </w:pPr>
      <w:r>
        <w:rPr/>
        <w:t>Спостерігається тісний кореляційний зв'язок між наведеними показниками із коефіцієнтом кореляції Пірсона (1), який змінюється від -1 до +1 і в даному випадку він набуває значення близьке до 1.</w:t>
      </w:r>
    </w:p>
    <w:p>
      <w:pPr>
        <w:spacing w:before="16"/>
        <w:ind w:left="6055" w:right="0" w:firstLine="0"/>
        <w:jc w:val="left"/>
        <w:rPr>
          <w:sz w:val="28"/>
        </w:rPr>
      </w:pPr>
      <w:r>
        <w:rPr>
          <w:position w:val="-17"/>
        </w:rPr>
        <w:drawing>
          <wp:inline distT="0" distB="0" distL="0" distR="0">
            <wp:extent cx="2146300" cy="322533"/>
            <wp:effectExtent l="0" t="0" r="0" b="0"/>
            <wp:docPr id="13" name="image58.png"/>
            <wp:cNvGraphicFramePr>
              <a:graphicFrameLocks noChangeAspect="1"/>
            </wp:cNvGraphicFramePr>
            <a:graphic>
              <a:graphicData uri="http://schemas.openxmlformats.org/drawingml/2006/picture">
                <pic:pic>
                  <pic:nvPicPr>
                    <pic:cNvPr id="14" name="image58.png"/>
                    <pic:cNvPicPr/>
                  </pic:nvPicPr>
                  <pic:blipFill>
                    <a:blip r:embed="rId100" cstate="print"/>
                    <a:stretch>
                      <a:fillRect/>
                    </a:stretch>
                  </pic:blipFill>
                  <pic:spPr>
                    <a:xfrm>
                      <a:off x="0" y="0"/>
                      <a:ext cx="2146300" cy="322533"/>
                    </a:xfrm>
                    <a:prstGeom prst="rect">
                      <a:avLst/>
                    </a:prstGeom>
                  </pic:spPr>
                </pic:pic>
              </a:graphicData>
            </a:graphic>
          </wp:inline>
        </w:drawing>
      </w:r>
      <w:r>
        <w:rPr>
          <w:position w:val="-17"/>
        </w:rPr>
      </w:r>
      <w:r>
        <w:rPr>
          <w:spacing w:val="23"/>
          <w:sz w:val="20"/>
        </w:rPr>
        <w:t> </w:t>
      </w:r>
      <w:r>
        <w:rPr>
          <w:sz w:val="28"/>
        </w:rPr>
        <w:t>(1)</w:t>
      </w:r>
    </w:p>
    <w:p>
      <w:pPr>
        <w:pStyle w:val="BodyText"/>
        <w:spacing w:before="57"/>
        <w:jc w:val="left"/>
      </w:pPr>
      <w:r>
        <w:rPr/>
        <w:t>cov(</w:t>
      </w:r>
      <w:r>
        <w:rPr>
          <w:i/>
        </w:rPr>
        <w:t>x</w:t>
      </w:r>
      <w:r>
        <w:rPr>
          <w:i/>
          <w:vertAlign w:val="subscript"/>
        </w:rPr>
        <w:t>1</w:t>
      </w:r>
      <w:r>
        <w:rPr>
          <w:i/>
          <w:vertAlign w:val="baseline"/>
        </w:rPr>
        <w:t>,x</w:t>
      </w:r>
      <w:r>
        <w:rPr>
          <w:i/>
          <w:vertAlign w:val="subscript"/>
        </w:rPr>
        <w:t>2</w:t>
      </w:r>
      <w:r>
        <w:rPr>
          <w:vertAlign w:val="baseline"/>
        </w:rPr>
        <w:t>) - коваріація, шо дорівнює</w:t>
      </w:r>
    </w:p>
    <w:p>
      <w:pPr>
        <w:pStyle w:val="BodyText"/>
        <w:spacing w:before="28"/>
        <w:ind w:left="290"/>
        <w:jc w:val="center"/>
      </w:pPr>
      <w:r>
        <w:rPr>
          <w:position w:val="-13"/>
        </w:rPr>
        <w:drawing>
          <wp:inline distT="0" distB="0" distL="0" distR="0">
            <wp:extent cx="3789659" cy="287066"/>
            <wp:effectExtent l="0" t="0" r="0" b="0"/>
            <wp:docPr id="15" name="image59.png"/>
            <wp:cNvGraphicFramePr>
              <a:graphicFrameLocks noChangeAspect="1"/>
            </wp:cNvGraphicFramePr>
            <a:graphic>
              <a:graphicData uri="http://schemas.openxmlformats.org/drawingml/2006/picture">
                <pic:pic>
                  <pic:nvPicPr>
                    <pic:cNvPr id="16" name="image59.png"/>
                    <pic:cNvPicPr/>
                  </pic:nvPicPr>
                  <pic:blipFill>
                    <a:blip r:embed="rId101" cstate="print"/>
                    <a:stretch>
                      <a:fillRect/>
                    </a:stretch>
                  </pic:blipFill>
                  <pic:spPr>
                    <a:xfrm>
                      <a:off x="0" y="0"/>
                      <a:ext cx="3789659" cy="287066"/>
                    </a:xfrm>
                    <a:prstGeom prst="rect">
                      <a:avLst/>
                    </a:prstGeom>
                  </pic:spPr>
                </pic:pic>
              </a:graphicData>
            </a:graphic>
          </wp:inline>
        </w:drawing>
      </w:r>
      <w:r>
        <w:rPr>
          <w:position w:val="-13"/>
        </w:rPr>
      </w:r>
      <w:r>
        <w:rPr>
          <w:w w:val="99"/>
        </w:rPr>
        <w:t>,</w:t>
      </w:r>
    </w:p>
    <w:p>
      <w:pPr>
        <w:pStyle w:val="BodyText"/>
        <w:spacing w:before="71"/>
        <w:ind w:left="430" w:right="603"/>
        <w:jc w:val="center"/>
        <w:rPr>
          <w:i/>
        </w:rPr>
      </w:pPr>
      <w:r>
        <w:rPr/>
        <w:pict>
          <v:group style="position:absolute;margin-left:56.700001pt;margin-top:6.742243pt;width:125.85pt;height:34.35pt;mso-position-horizontal-relative:page;mso-position-vertical-relative:paragraph;z-index:-267145216" coordorigin="1134,135" coordsize="2517,687">
            <v:shape style="position:absolute;left:1134;top:134;width:2517;height:257" type="#_x0000_t75" stroked="false">
              <v:imagedata r:id="rId102" o:title=""/>
            </v:shape>
            <v:shape style="position:absolute;left:1134;top:441;width:700;height:380" type="#_x0000_t75" stroked="false">
              <v:imagedata r:id="rId103" o:title=""/>
            </v:shape>
            <w10:wrap type="none"/>
          </v:group>
        </w:pict>
      </w:r>
      <w:r>
        <w:rPr/>
        <w:t>середні значення вибірок змінних </w:t>
      </w:r>
      <w:r>
        <w:rPr>
          <w:i/>
        </w:rPr>
        <w:t>х</w:t>
      </w:r>
      <w:r>
        <w:rPr>
          <w:i/>
          <w:vertAlign w:val="subscript"/>
        </w:rPr>
        <w:t>1</w:t>
      </w:r>
      <w:r>
        <w:rPr>
          <w:i/>
          <w:vertAlign w:val="baseline"/>
        </w:rPr>
        <w:t>, х</w:t>
      </w:r>
      <w:r>
        <w:rPr>
          <w:i/>
          <w:vertAlign w:val="subscript"/>
        </w:rPr>
        <w:t>2</w:t>
      </w:r>
    </w:p>
    <w:p>
      <w:pPr>
        <w:pStyle w:val="BodyText"/>
        <w:spacing w:before="57"/>
        <w:ind w:left="285" w:right="3152"/>
        <w:jc w:val="center"/>
        <w:rPr>
          <w:i/>
        </w:rPr>
      </w:pPr>
      <w:r>
        <w:rPr/>
        <w:drawing>
          <wp:anchor distT="0" distB="0" distL="0" distR="0" allowOverlap="1" layoutInCell="1" locked="0" behindDoc="0" simplePos="0" relativeHeight="251684864">
            <wp:simplePos x="0" y="0"/>
            <wp:positionH relativeFrom="page">
              <wp:posOffset>1170305</wp:posOffset>
            </wp:positionH>
            <wp:positionV relativeFrom="paragraph">
              <wp:posOffset>319631</wp:posOffset>
            </wp:positionV>
            <wp:extent cx="1384300" cy="391593"/>
            <wp:effectExtent l="0" t="0" r="0" b="0"/>
            <wp:wrapNone/>
            <wp:docPr id="17" name="image62.png"/>
            <wp:cNvGraphicFramePr>
              <a:graphicFrameLocks noChangeAspect="1"/>
            </wp:cNvGraphicFramePr>
            <a:graphic>
              <a:graphicData uri="http://schemas.openxmlformats.org/drawingml/2006/picture">
                <pic:pic>
                  <pic:nvPicPr>
                    <pic:cNvPr id="18" name="image62.png"/>
                    <pic:cNvPicPr/>
                  </pic:nvPicPr>
                  <pic:blipFill>
                    <a:blip r:embed="rId104" cstate="print"/>
                    <a:stretch>
                      <a:fillRect/>
                    </a:stretch>
                  </pic:blipFill>
                  <pic:spPr>
                    <a:xfrm>
                      <a:off x="0" y="0"/>
                      <a:ext cx="1384300" cy="391593"/>
                    </a:xfrm>
                    <a:prstGeom prst="rect">
                      <a:avLst/>
                    </a:prstGeom>
                  </pic:spPr>
                </pic:pic>
              </a:graphicData>
            </a:graphic>
          </wp:anchor>
        </w:drawing>
      </w:r>
      <w:r>
        <w:rPr/>
        <w:drawing>
          <wp:anchor distT="0" distB="0" distL="0" distR="0" allowOverlap="1" layoutInCell="1" locked="0" behindDoc="1" simplePos="0" relativeHeight="236173312">
            <wp:simplePos x="0" y="0"/>
            <wp:positionH relativeFrom="page">
              <wp:posOffset>3188335</wp:posOffset>
            </wp:positionH>
            <wp:positionV relativeFrom="paragraph">
              <wp:posOffset>319631</wp:posOffset>
            </wp:positionV>
            <wp:extent cx="1397000" cy="391593"/>
            <wp:effectExtent l="0" t="0" r="0" b="0"/>
            <wp:wrapNone/>
            <wp:docPr id="19" name="image63.png"/>
            <wp:cNvGraphicFramePr>
              <a:graphicFrameLocks noChangeAspect="1"/>
            </wp:cNvGraphicFramePr>
            <a:graphic>
              <a:graphicData uri="http://schemas.openxmlformats.org/drawingml/2006/picture">
                <pic:pic>
                  <pic:nvPicPr>
                    <pic:cNvPr id="20" name="image63.png"/>
                    <pic:cNvPicPr/>
                  </pic:nvPicPr>
                  <pic:blipFill>
                    <a:blip r:embed="rId105" cstate="print"/>
                    <a:stretch>
                      <a:fillRect/>
                    </a:stretch>
                  </pic:blipFill>
                  <pic:spPr>
                    <a:xfrm>
                      <a:off x="0" y="0"/>
                      <a:ext cx="1397000" cy="391593"/>
                    </a:xfrm>
                    <a:prstGeom prst="rect">
                      <a:avLst/>
                    </a:prstGeom>
                  </pic:spPr>
                </pic:pic>
              </a:graphicData>
            </a:graphic>
          </wp:anchor>
        </w:drawing>
      </w:r>
      <w:r>
        <w:rPr/>
        <w:t>– середньоквадратичні відхилення змінних </w:t>
      </w:r>
      <w:r>
        <w:rPr>
          <w:i/>
        </w:rPr>
        <w:t>х</w:t>
      </w:r>
      <w:r>
        <w:rPr>
          <w:i/>
          <w:vertAlign w:val="subscript"/>
        </w:rPr>
        <w:t>1</w:t>
      </w:r>
      <w:r>
        <w:rPr>
          <w:i/>
          <w:vertAlign w:val="baseline"/>
        </w:rPr>
        <w:t>, х</w:t>
      </w:r>
      <w:r>
        <w:rPr>
          <w:i/>
          <w:vertAlign w:val="subscript"/>
        </w:rPr>
        <w:t>2</w:t>
      </w:r>
    </w:p>
    <w:p>
      <w:pPr>
        <w:pStyle w:val="BodyText"/>
        <w:tabs>
          <w:tab w:pos="3198" w:val="left" w:leader="none"/>
        </w:tabs>
        <w:spacing w:before="274"/>
        <w:ind w:left="0" w:right="217"/>
        <w:jc w:val="center"/>
      </w:pPr>
      <w:r>
        <w:rPr/>
        <w:t>=</w:t>
      </w:r>
      <w:r>
        <w:rPr>
          <w:spacing w:val="1"/>
        </w:rPr>
        <w:t> </w:t>
      </w:r>
      <w:r>
        <w:rPr/>
        <w:t>5.023,</w:t>
        <w:tab/>
        <w:t>=</w:t>
      </w:r>
      <w:r>
        <w:rPr>
          <w:spacing w:val="2"/>
        </w:rPr>
        <w:t> </w:t>
      </w:r>
      <w:r>
        <w:rPr/>
        <w:t>4,471</w:t>
      </w:r>
    </w:p>
    <w:p>
      <w:pPr>
        <w:pStyle w:val="BodyText"/>
        <w:spacing w:before="1"/>
        <w:ind w:left="0"/>
        <w:jc w:val="left"/>
        <w:rPr>
          <w:sz w:val="9"/>
        </w:rPr>
      </w:pPr>
    </w:p>
    <w:p>
      <w:pPr>
        <w:pStyle w:val="BodyText"/>
        <w:spacing w:before="87"/>
        <w:ind w:right="608"/>
      </w:pPr>
      <w:r>
        <w:rPr/>
        <w:t>В межах впровадження цифрової трансформації 5 вересня 2019 року підписано меморандум щодо створення Української національної цифрової</w:t>
      </w:r>
      <w:r>
        <w:rPr>
          <w:spacing w:val="59"/>
        </w:rPr>
        <w:t> </w:t>
      </w:r>
      <w:r>
        <w:rPr/>
        <w:t>коаліції</w:t>
      </w:r>
    </w:p>
    <w:p>
      <w:pPr>
        <w:pStyle w:val="BodyText"/>
        <w:ind w:right="618"/>
      </w:pPr>
      <w:r>
        <w:rPr/>
        <w:t>«Коаліція</w:t>
      </w:r>
      <w:r>
        <w:rPr>
          <w:spacing w:val="-9"/>
        </w:rPr>
        <w:t> </w:t>
      </w:r>
      <w:r>
        <w:rPr/>
        <w:t>цифрової</w:t>
      </w:r>
      <w:r>
        <w:rPr>
          <w:spacing w:val="-14"/>
        </w:rPr>
        <w:t> </w:t>
      </w:r>
      <w:r>
        <w:rPr/>
        <w:t>трансформації»,</w:t>
      </w:r>
      <w:r>
        <w:rPr>
          <w:spacing w:val="-7"/>
        </w:rPr>
        <w:t> </w:t>
      </w:r>
      <w:r>
        <w:rPr/>
        <w:t>до</w:t>
      </w:r>
      <w:r>
        <w:rPr>
          <w:spacing w:val="-9"/>
        </w:rPr>
        <w:t> </w:t>
      </w:r>
      <w:r>
        <w:rPr/>
        <w:t>якої</w:t>
      </w:r>
      <w:r>
        <w:rPr>
          <w:spacing w:val="-15"/>
        </w:rPr>
        <w:t> </w:t>
      </w:r>
      <w:r>
        <w:rPr/>
        <w:t>увійшли</w:t>
      </w:r>
      <w:r>
        <w:rPr>
          <w:spacing w:val="-9"/>
        </w:rPr>
        <w:t> </w:t>
      </w:r>
      <w:r>
        <w:rPr/>
        <w:t>46</w:t>
      </w:r>
      <w:r>
        <w:rPr>
          <w:spacing w:val="-9"/>
        </w:rPr>
        <w:t> </w:t>
      </w:r>
      <w:r>
        <w:rPr/>
        <w:t>державних</w:t>
      </w:r>
      <w:r>
        <w:rPr>
          <w:spacing w:val="-14"/>
        </w:rPr>
        <w:t> </w:t>
      </w:r>
      <w:r>
        <w:rPr/>
        <w:t>та</w:t>
      </w:r>
      <w:r>
        <w:rPr>
          <w:spacing w:val="-9"/>
        </w:rPr>
        <w:t> </w:t>
      </w:r>
      <w:r>
        <w:rPr/>
        <w:t>приватних установ і організацій, навчальні заклади, громадські організації. Головні напрямки співпраці в рамках меморандуму наведені на рисунку</w:t>
      </w:r>
      <w:r>
        <w:rPr>
          <w:spacing w:val="-21"/>
        </w:rPr>
        <w:t> </w:t>
      </w:r>
      <w:r>
        <w:rPr/>
        <w:t>4.</w:t>
      </w:r>
    </w:p>
    <w:p>
      <w:pPr>
        <w:spacing w:after="0"/>
        <w:sectPr>
          <w:pgSz w:w="11910" w:h="16840"/>
          <w:pgMar w:header="713" w:footer="778" w:top="1140" w:bottom="960" w:left="940" w:right="520"/>
        </w:sectPr>
      </w:pPr>
    </w:p>
    <w:p>
      <w:pPr>
        <w:pStyle w:val="BodyText"/>
        <w:spacing w:before="9"/>
        <w:ind w:left="0"/>
        <w:jc w:val="left"/>
        <w:rPr>
          <w:sz w:val="24"/>
        </w:rPr>
      </w:pPr>
    </w:p>
    <w:p>
      <w:pPr>
        <w:pStyle w:val="BodyText"/>
        <w:ind w:left="1752"/>
        <w:jc w:val="left"/>
        <w:rPr>
          <w:sz w:val="20"/>
        </w:rPr>
      </w:pPr>
      <w:r>
        <w:rPr>
          <w:sz w:val="20"/>
        </w:rPr>
        <w:pict>
          <v:group style="width:360.9pt;height:356.6pt;mso-position-horizontal-relative:char;mso-position-vertical-relative:line" coordorigin="0,0" coordsize="7218,7132">
            <v:shape style="position:absolute;left:0;top:0;width:7218;height:7132" type="#_x0000_t75" stroked="false">
              <v:imagedata r:id="rId106" o:title=""/>
            </v:shape>
            <v:shape style="position:absolute;left:3081;top:817;width:1006;height:212" type="#_x0000_t202" filled="false" stroked="false">
              <v:textbox inset="0,0,0,0">
                <w:txbxContent>
                  <w:p>
                    <w:pPr>
                      <w:spacing w:line="97" w:lineRule="exact" w:before="0"/>
                      <w:ind w:left="0" w:right="0" w:firstLine="0"/>
                      <w:jc w:val="left"/>
                      <w:rPr>
                        <w:rFonts w:ascii="Calibri" w:hAnsi="Calibri"/>
                        <w:b/>
                        <w:sz w:val="10"/>
                      </w:rPr>
                    </w:pPr>
                    <w:r>
                      <w:rPr>
                        <w:rFonts w:ascii="Calibri" w:hAnsi="Calibri"/>
                        <w:b/>
                        <w:color w:val="FFFFFF"/>
                        <w:sz w:val="10"/>
                      </w:rPr>
                      <w:t>Створення та розвиток</w:t>
                    </w:r>
                  </w:p>
                  <w:p>
                    <w:pPr>
                      <w:spacing w:line="115" w:lineRule="exact" w:before="0"/>
                      <w:ind w:left="0" w:right="0" w:firstLine="0"/>
                      <w:jc w:val="left"/>
                      <w:rPr>
                        <w:rFonts w:ascii="Calibri" w:hAnsi="Calibri"/>
                        <w:b/>
                        <w:sz w:val="10"/>
                      </w:rPr>
                    </w:pPr>
                    <w:r>
                      <w:rPr>
                        <w:rFonts w:ascii="Calibri" w:hAnsi="Calibri"/>
                        <w:b/>
                        <w:color w:val="FFFFFF"/>
                        <w:sz w:val="10"/>
                      </w:rPr>
                      <w:t>інфраструктури</w:t>
                    </w:r>
                  </w:p>
                </w:txbxContent>
              </v:textbox>
              <w10:wrap type="none"/>
            </v:shape>
            <v:shape style="position:absolute;left:1232;top:1231;width:1029;height:587" type="#_x0000_t202" filled="false" stroked="false">
              <v:textbox inset="0,0,0,0">
                <w:txbxContent>
                  <w:p>
                    <w:pPr>
                      <w:spacing w:line="97" w:lineRule="exact" w:before="0"/>
                      <w:ind w:left="0" w:right="0" w:firstLine="0"/>
                      <w:jc w:val="left"/>
                      <w:rPr>
                        <w:rFonts w:ascii="Calibri" w:hAnsi="Calibri"/>
                        <w:b/>
                        <w:sz w:val="10"/>
                      </w:rPr>
                    </w:pPr>
                    <w:r>
                      <w:rPr>
                        <w:rFonts w:ascii="Calibri" w:hAnsi="Calibri"/>
                        <w:b/>
                        <w:color w:val="FFFFFF"/>
                        <w:sz w:val="10"/>
                      </w:rPr>
                      <w:t>Поширення інформації</w:t>
                    </w:r>
                  </w:p>
                  <w:p>
                    <w:pPr>
                      <w:spacing w:line="116" w:lineRule="exact" w:before="0"/>
                      <w:ind w:left="0" w:right="0" w:firstLine="0"/>
                      <w:jc w:val="left"/>
                      <w:rPr>
                        <w:rFonts w:ascii="Calibri" w:hAnsi="Calibri"/>
                        <w:b/>
                        <w:sz w:val="10"/>
                      </w:rPr>
                    </w:pPr>
                    <w:r>
                      <w:rPr>
                        <w:rFonts w:ascii="Calibri" w:hAnsi="Calibri"/>
                        <w:b/>
                        <w:color w:val="FFFFFF"/>
                        <w:sz w:val="10"/>
                      </w:rPr>
                      <w:t>про</w:t>
                    </w:r>
                  </w:p>
                  <w:p>
                    <w:pPr>
                      <w:spacing w:line="216" w:lineRule="auto" w:before="41"/>
                      <w:ind w:left="0" w:right="56" w:firstLine="24"/>
                      <w:jc w:val="left"/>
                      <w:rPr>
                        <w:rFonts w:ascii="Calibri" w:hAnsi="Calibri"/>
                        <w:b/>
                        <w:sz w:val="10"/>
                      </w:rPr>
                    </w:pPr>
                    <w:r>
                      <w:rPr>
                        <w:rFonts w:ascii="Calibri" w:hAnsi="Calibri"/>
                        <w:b/>
                        <w:color w:val="FFFFFF"/>
                        <w:sz w:val="10"/>
                      </w:rPr>
                      <w:t>цифрові технології та практики їх використання</w:t>
                    </w:r>
                  </w:p>
                </w:txbxContent>
              </v:textbox>
              <w10:wrap type="none"/>
            </v:shape>
            <v:shape style="position:absolute;left:4930;top:1308;width:1008;height:433" type="#_x0000_t202" filled="false" stroked="false">
              <v:textbox inset="0,0,0,0">
                <w:txbxContent>
                  <w:p>
                    <w:pPr>
                      <w:spacing w:line="97" w:lineRule="exact" w:before="0"/>
                      <w:ind w:left="0" w:right="0" w:firstLine="0"/>
                      <w:jc w:val="both"/>
                      <w:rPr>
                        <w:rFonts w:ascii="Calibri" w:hAnsi="Calibri"/>
                        <w:b/>
                        <w:sz w:val="10"/>
                      </w:rPr>
                    </w:pPr>
                    <w:r>
                      <w:rPr>
                        <w:rFonts w:ascii="Calibri" w:hAnsi="Calibri"/>
                        <w:b/>
                        <w:color w:val="FFFFFF"/>
                        <w:sz w:val="10"/>
                      </w:rPr>
                      <w:t>Гармонізація із Digital</w:t>
                    </w:r>
                  </w:p>
                  <w:p>
                    <w:pPr>
                      <w:spacing w:line="218" w:lineRule="auto" w:before="2"/>
                      <w:ind w:left="0" w:right="18" w:firstLine="0"/>
                      <w:jc w:val="both"/>
                      <w:rPr>
                        <w:rFonts w:ascii="Calibri" w:hAnsi="Calibri"/>
                        <w:b/>
                        <w:sz w:val="10"/>
                      </w:rPr>
                    </w:pPr>
                    <w:r>
                      <w:rPr>
                        <w:rFonts w:ascii="Calibri" w:hAnsi="Calibri"/>
                        <w:b/>
                        <w:color w:val="FFFFFF"/>
                        <w:sz w:val="10"/>
                      </w:rPr>
                      <w:t>Agenda та Digital Single Market Європейського Союзу</w:t>
                    </w:r>
                  </w:p>
                </w:txbxContent>
              </v:textbox>
              <w10:wrap type="none"/>
            </v:shape>
            <v:shape style="position:absolute;left:247;top:2915;width:1078;height:629" type="#_x0000_t202" filled="false" stroked="false">
              <v:textbox inset="0,0,0,0">
                <w:txbxContent>
                  <w:p>
                    <w:pPr>
                      <w:spacing w:line="97" w:lineRule="exact" w:before="0"/>
                      <w:ind w:left="0" w:right="0" w:firstLine="0"/>
                      <w:jc w:val="left"/>
                      <w:rPr>
                        <w:rFonts w:ascii="Calibri" w:hAnsi="Calibri"/>
                        <w:b/>
                        <w:sz w:val="10"/>
                      </w:rPr>
                    </w:pPr>
                    <w:r>
                      <w:rPr>
                        <w:rFonts w:ascii="Calibri" w:hAnsi="Calibri"/>
                        <w:b/>
                        <w:color w:val="FFFFFF"/>
                        <w:sz w:val="10"/>
                      </w:rPr>
                      <w:t>Покращення доступу до</w:t>
                    </w:r>
                  </w:p>
                  <w:p>
                    <w:pPr>
                      <w:spacing w:line="216" w:lineRule="auto" w:before="3"/>
                      <w:ind w:left="0" w:right="6" w:firstLine="0"/>
                      <w:jc w:val="left"/>
                      <w:rPr>
                        <w:rFonts w:ascii="Calibri" w:hAnsi="Calibri"/>
                        <w:b/>
                        <w:sz w:val="10"/>
                      </w:rPr>
                    </w:pPr>
                    <w:r>
                      <w:rPr>
                        <w:rFonts w:ascii="Calibri" w:hAnsi="Calibri"/>
                        <w:b/>
                        <w:color w:val="FFFFFF"/>
                        <w:sz w:val="10"/>
                      </w:rPr>
                      <w:t>цифрової інфраструктури</w:t>
                    </w:r>
                  </w:p>
                  <w:p>
                    <w:pPr>
                      <w:spacing w:line="150" w:lineRule="atLeast" w:before="7"/>
                      <w:ind w:left="24" w:right="623" w:hanging="24"/>
                      <w:jc w:val="left"/>
                      <w:rPr>
                        <w:rFonts w:ascii="Calibri" w:hAnsi="Calibri"/>
                        <w:b/>
                        <w:sz w:val="10"/>
                      </w:rPr>
                    </w:pPr>
                    <w:r>
                      <w:rPr>
                        <w:rFonts w:ascii="Calibri" w:hAnsi="Calibri"/>
                        <w:b/>
                        <w:color w:val="FFFFFF"/>
                        <w:sz w:val="10"/>
                      </w:rPr>
                      <w:t>та мережі Інтернет</w:t>
                    </w:r>
                  </w:p>
                </w:txbxContent>
              </v:textbox>
              <w10:wrap type="none"/>
            </v:shape>
            <v:shape style="position:absolute;left:5915;top:2970;width:975;height:519" type="#_x0000_t202" filled="false" stroked="false">
              <v:textbox inset="0,0,0,0">
                <w:txbxContent>
                  <w:p>
                    <w:pPr>
                      <w:spacing w:line="97" w:lineRule="exact" w:before="0"/>
                      <w:ind w:left="0" w:right="0" w:firstLine="0"/>
                      <w:jc w:val="left"/>
                      <w:rPr>
                        <w:rFonts w:ascii="Calibri" w:hAnsi="Calibri"/>
                        <w:b/>
                        <w:sz w:val="10"/>
                      </w:rPr>
                    </w:pPr>
                    <w:r>
                      <w:rPr>
                        <w:rFonts w:ascii="Calibri" w:hAnsi="Calibri"/>
                        <w:b/>
                        <w:color w:val="FFFFFF"/>
                        <w:sz w:val="10"/>
                      </w:rPr>
                      <w:t>Сприяння цифровому</w:t>
                    </w:r>
                  </w:p>
                  <w:p>
                    <w:pPr>
                      <w:spacing w:line="302" w:lineRule="auto" w:before="0"/>
                      <w:ind w:left="0" w:right="86" w:firstLine="0"/>
                      <w:jc w:val="left"/>
                      <w:rPr>
                        <w:rFonts w:ascii="Calibri" w:hAnsi="Calibri"/>
                        <w:b/>
                        <w:sz w:val="10"/>
                      </w:rPr>
                    </w:pPr>
                    <w:r>
                      <w:rPr>
                        <w:rFonts w:ascii="Calibri" w:hAnsi="Calibri"/>
                        <w:b/>
                        <w:color w:val="FFFFFF"/>
                        <w:sz w:val="10"/>
                      </w:rPr>
                      <w:t>розвитку населених пунктів та</w:t>
                    </w:r>
                  </w:p>
                  <w:p>
                    <w:pPr>
                      <w:spacing w:line="120" w:lineRule="exact" w:before="0"/>
                      <w:ind w:left="23" w:right="0" w:firstLine="0"/>
                      <w:jc w:val="left"/>
                      <w:rPr>
                        <w:rFonts w:ascii="Calibri" w:hAnsi="Calibri"/>
                        <w:b/>
                        <w:sz w:val="10"/>
                      </w:rPr>
                    </w:pPr>
                    <w:r>
                      <w:rPr>
                        <w:rFonts w:ascii="Calibri" w:hAnsi="Calibri"/>
                        <w:b/>
                        <w:color w:val="FFFFFF"/>
                        <w:sz w:val="10"/>
                      </w:rPr>
                      <w:t>регіонів</w:t>
                    </w:r>
                  </w:p>
                </w:txbxContent>
              </v:textbox>
              <w10:wrap type="none"/>
            </v:shape>
            <v:shape style="position:absolute;left:3082;top:3792;width:1016;height:250" type="#_x0000_t202" filled="false" stroked="false">
              <v:textbox inset="0,0,0,0">
                <w:txbxContent>
                  <w:p>
                    <w:pPr>
                      <w:spacing w:line="114" w:lineRule="exact" w:before="0"/>
                      <w:ind w:left="0" w:right="0" w:firstLine="0"/>
                      <w:jc w:val="left"/>
                      <w:rPr>
                        <w:rFonts w:ascii="Calibri" w:hAnsi="Calibri"/>
                        <w:sz w:val="12"/>
                      </w:rPr>
                    </w:pPr>
                    <w:r>
                      <w:rPr>
                        <w:rFonts w:ascii="Calibri" w:hAnsi="Calibri"/>
                        <w:color w:val="FFFFFF"/>
                        <w:sz w:val="12"/>
                      </w:rPr>
                      <w:t>«Коаліція цифрової</w:t>
                    </w:r>
                  </w:p>
                  <w:p>
                    <w:pPr>
                      <w:spacing w:line="136" w:lineRule="exact" w:before="0"/>
                      <w:ind w:left="0" w:right="0" w:firstLine="0"/>
                      <w:jc w:val="left"/>
                      <w:rPr>
                        <w:rFonts w:ascii="Calibri" w:hAnsi="Calibri"/>
                        <w:sz w:val="12"/>
                      </w:rPr>
                    </w:pPr>
                    <w:r>
                      <w:rPr>
                        <w:rFonts w:ascii="Calibri" w:hAnsi="Calibri"/>
                        <w:color w:val="FFFFFF"/>
                        <w:sz w:val="12"/>
                      </w:rPr>
                      <w:t>трансформації»</w:t>
                    </w:r>
                  </w:p>
                </w:txbxContent>
              </v:textbox>
              <w10:wrap type="none"/>
            </v:shape>
            <v:shape style="position:absolute;left:589;top:5133;width:664;height:212" type="#_x0000_t202" filled="false" stroked="false">
              <v:textbox inset="0,0,0,0">
                <w:txbxContent>
                  <w:p>
                    <w:pPr>
                      <w:spacing w:line="97" w:lineRule="exact" w:before="0"/>
                      <w:ind w:left="0" w:right="0" w:firstLine="0"/>
                      <w:jc w:val="left"/>
                      <w:rPr>
                        <w:rFonts w:ascii="Calibri" w:hAnsi="Calibri"/>
                        <w:b/>
                        <w:sz w:val="10"/>
                      </w:rPr>
                    </w:pPr>
                    <w:r>
                      <w:rPr>
                        <w:rFonts w:ascii="Calibri" w:hAnsi="Calibri"/>
                        <w:b/>
                        <w:color w:val="FFFFFF"/>
                        <w:sz w:val="10"/>
                      </w:rPr>
                      <w:t>Цифровізація</w:t>
                    </w:r>
                  </w:p>
                  <w:p>
                    <w:pPr>
                      <w:spacing w:line="115" w:lineRule="exact" w:before="0"/>
                      <w:ind w:left="0" w:right="0" w:firstLine="0"/>
                      <w:jc w:val="left"/>
                      <w:rPr>
                        <w:rFonts w:ascii="Calibri" w:hAnsi="Calibri"/>
                        <w:b/>
                        <w:sz w:val="10"/>
                      </w:rPr>
                    </w:pPr>
                    <w:r>
                      <w:rPr>
                        <w:rFonts w:ascii="Calibri" w:hAnsi="Calibri"/>
                        <w:b/>
                        <w:color w:val="FFFFFF"/>
                        <w:sz w:val="10"/>
                      </w:rPr>
                      <w:t>промисловості</w:t>
                    </w:r>
                  </w:p>
                </w:txbxContent>
              </v:textbox>
              <w10:wrap type="none"/>
            </v:shape>
            <v:shape style="position:absolute;left:5573;top:4857;width:1058;height:476" type="#_x0000_t202" filled="false" stroked="false">
              <v:textbox inset="0,0,0,0">
                <w:txbxContent>
                  <w:p>
                    <w:pPr>
                      <w:spacing w:line="97" w:lineRule="exact" w:before="0"/>
                      <w:ind w:left="0" w:right="0" w:firstLine="0"/>
                      <w:jc w:val="left"/>
                      <w:rPr>
                        <w:rFonts w:ascii="Calibri" w:hAnsi="Calibri"/>
                        <w:b/>
                        <w:sz w:val="10"/>
                      </w:rPr>
                    </w:pPr>
                    <w:r>
                      <w:rPr>
                        <w:rFonts w:ascii="Calibri" w:hAnsi="Calibri"/>
                        <w:b/>
                        <w:color w:val="FFFFFF"/>
                        <w:sz w:val="10"/>
                      </w:rPr>
                      <w:t>Міжнародна співпраця</w:t>
                    </w:r>
                  </w:p>
                  <w:p>
                    <w:pPr>
                      <w:spacing w:line="116" w:lineRule="exact" w:before="0"/>
                      <w:ind w:left="0" w:right="0" w:firstLine="0"/>
                      <w:jc w:val="left"/>
                      <w:rPr>
                        <w:rFonts w:ascii="Calibri" w:hAnsi="Calibri"/>
                        <w:b/>
                        <w:sz w:val="10"/>
                      </w:rPr>
                    </w:pPr>
                    <w:r>
                      <w:rPr>
                        <w:rFonts w:ascii="Calibri" w:hAnsi="Calibri"/>
                        <w:b/>
                        <w:color w:val="FFFFFF"/>
                        <w:sz w:val="10"/>
                      </w:rPr>
                      <w:t>у сфері розвитку</w:t>
                    </w:r>
                  </w:p>
                  <w:p>
                    <w:pPr>
                      <w:spacing w:line="216" w:lineRule="auto" w:before="41"/>
                      <w:ind w:left="0" w:right="0" w:firstLine="0"/>
                      <w:jc w:val="left"/>
                      <w:rPr>
                        <w:rFonts w:ascii="Calibri" w:hAnsi="Calibri"/>
                        <w:b/>
                        <w:sz w:val="10"/>
                      </w:rPr>
                    </w:pPr>
                    <w:r>
                      <w:rPr>
                        <w:rFonts w:ascii="Calibri" w:hAnsi="Calibri"/>
                        <w:b/>
                        <w:color w:val="FFFFFF"/>
                        <w:sz w:val="10"/>
                      </w:rPr>
                      <w:t>цифрових технологій та цифрових навичок</w:t>
                    </w:r>
                  </w:p>
                </w:txbxContent>
              </v:textbox>
              <w10:wrap type="none"/>
            </v:shape>
            <v:shape style="position:absolute;left:2097;top:6228;width:978;height:409" type="#_x0000_t202" filled="false" stroked="false">
              <v:textbox inset="0,0,0,0">
                <w:txbxContent>
                  <w:p>
                    <w:pPr>
                      <w:spacing w:line="102" w:lineRule="exact" w:before="0"/>
                      <w:ind w:left="0" w:right="0" w:firstLine="0"/>
                      <w:jc w:val="left"/>
                      <w:rPr>
                        <w:rFonts w:ascii="Calibri" w:hAnsi="Calibri"/>
                        <w:b/>
                        <w:sz w:val="10"/>
                      </w:rPr>
                    </w:pPr>
                    <w:r>
                      <w:rPr>
                        <w:rFonts w:ascii="Calibri" w:hAnsi="Calibri"/>
                        <w:b/>
                        <w:color w:val="FFFFFF"/>
                        <w:sz w:val="10"/>
                      </w:rPr>
                      <w:t>Цифровізація науки,</w:t>
                    </w:r>
                  </w:p>
                  <w:p>
                    <w:pPr>
                      <w:spacing w:line="150" w:lineRule="atLeast" w:before="4"/>
                      <w:ind w:left="23" w:right="6" w:firstLine="0"/>
                      <w:jc w:val="left"/>
                      <w:rPr>
                        <w:rFonts w:ascii="Calibri" w:hAnsi="Calibri"/>
                        <w:b/>
                        <w:sz w:val="10"/>
                      </w:rPr>
                    </w:pPr>
                    <w:r>
                      <w:rPr>
                        <w:rFonts w:ascii="Calibri" w:hAnsi="Calibri"/>
                        <w:b/>
                        <w:color w:val="FFFFFF"/>
                        <w:sz w:val="10"/>
                      </w:rPr>
                      <w:t>розвиток українських е-інфраструктур</w:t>
                    </w:r>
                  </w:p>
                </w:txbxContent>
              </v:textbox>
              <w10:wrap type="none"/>
            </v:shape>
            <v:shape style="position:absolute;left:4065;top:6139;width:1022;height:586" type="#_x0000_t202" filled="false" stroked="false">
              <v:textbox inset="0,0,0,0">
                <w:txbxContent>
                  <w:p>
                    <w:pPr>
                      <w:spacing w:line="102" w:lineRule="exact" w:before="0"/>
                      <w:ind w:left="0" w:right="0" w:firstLine="0"/>
                      <w:jc w:val="left"/>
                      <w:rPr>
                        <w:rFonts w:ascii="Calibri" w:hAnsi="Calibri"/>
                        <w:b/>
                        <w:sz w:val="10"/>
                      </w:rPr>
                    </w:pPr>
                    <w:r>
                      <w:rPr>
                        <w:rFonts w:ascii="Calibri" w:hAnsi="Calibri"/>
                        <w:b/>
                        <w:color w:val="FFFFFF"/>
                        <w:sz w:val="10"/>
                      </w:rPr>
                      <w:t>Сприяння</w:t>
                    </w:r>
                  </w:p>
                  <w:p>
                    <w:pPr>
                      <w:spacing w:line="216" w:lineRule="auto" w:before="41"/>
                      <w:ind w:left="0" w:right="-2" w:firstLine="0"/>
                      <w:jc w:val="left"/>
                      <w:rPr>
                        <w:rFonts w:ascii="Calibri" w:hAnsi="Calibri"/>
                        <w:b/>
                        <w:sz w:val="10"/>
                      </w:rPr>
                    </w:pPr>
                    <w:r>
                      <w:rPr>
                        <w:rFonts w:ascii="Calibri" w:hAnsi="Calibri"/>
                        <w:b/>
                        <w:color w:val="FFFFFF"/>
                        <w:sz w:val="10"/>
                      </w:rPr>
                      <w:t>розвитку систем кібербезпеки та різних напрямків цифрової трансформації України</w:t>
                    </w:r>
                  </w:p>
                </w:txbxContent>
              </v:textbox>
              <w10:wrap type="none"/>
            </v:shape>
          </v:group>
        </w:pict>
      </w:r>
      <w:r>
        <w:rPr>
          <w:sz w:val="20"/>
        </w:rPr>
      </w:r>
    </w:p>
    <w:p>
      <w:pPr>
        <w:pStyle w:val="BodyText"/>
        <w:spacing w:before="1"/>
        <w:ind w:left="0"/>
        <w:jc w:val="left"/>
        <w:rPr>
          <w:sz w:val="7"/>
        </w:rPr>
      </w:pPr>
    </w:p>
    <w:p>
      <w:pPr>
        <w:pStyle w:val="BodyText"/>
        <w:spacing w:before="87"/>
        <w:ind w:left="897" w:right="603"/>
        <w:jc w:val="center"/>
      </w:pPr>
      <w:r>
        <w:rPr/>
        <w:t>Рис. 4. Напрямки співпраці щодо створення «Коаліції цифрової</w:t>
      </w:r>
    </w:p>
    <w:p>
      <w:pPr>
        <w:pStyle w:val="BodyText"/>
        <w:spacing w:line="322" w:lineRule="exact" w:before="5"/>
        <w:ind w:left="183" w:right="603"/>
        <w:jc w:val="center"/>
      </w:pPr>
      <w:r>
        <w:rPr/>
        <w:t>трансформації»</w:t>
      </w:r>
    </w:p>
    <w:p>
      <w:pPr>
        <w:pStyle w:val="BodyText"/>
        <w:ind w:right="615" w:firstLine="710"/>
      </w:pPr>
      <w:r>
        <w:rPr/>
        <w:t>Цифрові технології активно впроваджуються в сучасну геодезію та землеустрій, які стрімко стають більш високотехнологічними, в геодезії це стосується як камеральних, так і польових робіт, які останнім часом автоматизовані і цифровізовані: нівелювання, деформаційний моніторинг, топографічна</w:t>
      </w:r>
      <w:r>
        <w:rPr>
          <w:spacing w:val="-11"/>
        </w:rPr>
        <w:t> </w:t>
      </w:r>
      <w:r>
        <w:rPr/>
        <w:t>зйомка,</w:t>
      </w:r>
      <w:r>
        <w:rPr>
          <w:spacing w:val="-9"/>
        </w:rPr>
        <w:t> </w:t>
      </w:r>
      <w:r>
        <w:rPr/>
        <w:t>камеральне</w:t>
      </w:r>
      <w:r>
        <w:rPr>
          <w:spacing w:val="-11"/>
        </w:rPr>
        <w:t> </w:t>
      </w:r>
      <w:r>
        <w:rPr/>
        <w:t>оформлення</w:t>
      </w:r>
      <w:r>
        <w:rPr>
          <w:spacing w:val="-11"/>
        </w:rPr>
        <w:t> </w:t>
      </w:r>
      <w:r>
        <w:rPr/>
        <w:t>топографічних</w:t>
      </w:r>
      <w:r>
        <w:rPr>
          <w:spacing w:val="-15"/>
        </w:rPr>
        <w:t> </w:t>
      </w:r>
      <w:r>
        <w:rPr/>
        <w:t>планів,</w:t>
      </w:r>
      <w:r>
        <w:rPr>
          <w:spacing w:val="-9"/>
        </w:rPr>
        <w:t> </w:t>
      </w:r>
      <w:r>
        <w:rPr/>
        <w:t>підготовка архівних планшетів для фондів та інше. GNSS-приймачі з системою GPS- позиціонування в рази прискорюють роботу геодезистів в полі. Використання дронів</w:t>
      </w:r>
      <w:r>
        <w:rPr>
          <w:spacing w:val="-16"/>
        </w:rPr>
        <w:t> </w:t>
      </w:r>
      <w:r>
        <w:rPr/>
        <w:t>набагато</w:t>
      </w:r>
      <w:r>
        <w:rPr>
          <w:spacing w:val="-13"/>
        </w:rPr>
        <w:t> </w:t>
      </w:r>
      <w:r>
        <w:rPr/>
        <w:t>спрощує</w:t>
      </w:r>
      <w:r>
        <w:rPr>
          <w:spacing w:val="-14"/>
        </w:rPr>
        <w:t> </w:t>
      </w:r>
      <w:r>
        <w:rPr/>
        <w:t>роботу</w:t>
      </w:r>
      <w:r>
        <w:rPr>
          <w:spacing w:val="-13"/>
        </w:rPr>
        <w:t> </w:t>
      </w:r>
      <w:r>
        <w:rPr/>
        <w:t>і</w:t>
      </w:r>
      <w:r>
        <w:rPr>
          <w:spacing w:val="-17"/>
        </w:rPr>
        <w:t> </w:t>
      </w:r>
      <w:r>
        <w:rPr/>
        <w:t>дозволяє</w:t>
      </w:r>
      <w:r>
        <w:rPr>
          <w:spacing w:val="-14"/>
        </w:rPr>
        <w:t> </w:t>
      </w:r>
      <w:r>
        <w:rPr/>
        <w:t>будувати</w:t>
      </w:r>
      <w:r>
        <w:rPr>
          <w:spacing w:val="-13"/>
        </w:rPr>
        <w:t> </w:t>
      </w:r>
      <w:r>
        <w:rPr/>
        <w:t>тривимірну</w:t>
      </w:r>
      <w:r>
        <w:rPr>
          <w:spacing w:val="-17"/>
        </w:rPr>
        <w:t> </w:t>
      </w:r>
      <w:r>
        <w:rPr/>
        <w:t>модель</w:t>
      </w:r>
      <w:r>
        <w:rPr>
          <w:spacing w:val="-15"/>
        </w:rPr>
        <w:t> </w:t>
      </w:r>
      <w:r>
        <w:rPr/>
        <w:t>рельєфу та використовувати її при проектуванні. Важливо, що з використанням безпілотних літальних апаратів топозйомка на великих незабудованих ділянках виконується в рази швидше і дешевше для замовника. Однак, цифровізація повністю не замінить ручну працю геодезиста, таку, як налаштовування обладнання і ручна обробка даних, отриманих з використанням сучасних технологій для створення топографічної зйомки, що відповідає вимогам нормативних</w:t>
      </w:r>
      <w:r>
        <w:rPr>
          <w:spacing w:val="-4"/>
        </w:rPr>
        <w:t> </w:t>
      </w:r>
      <w:r>
        <w:rPr/>
        <w:t>документів.</w:t>
      </w:r>
    </w:p>
    <w:p>
      <w:pPr>
        <w:pStyle w:val="BodyText"/>
        <w:ind w:right="623" w:firstLine="710"/>
      </w:pPr>
      <w:r>
        <w:rPr/>
        <w:t>Незважаючи на активне впровадження цифрових технологій в галузь, найближчими</w:t>
      </w:r>
      <w:r>
        <w:rPr>
          <w:spacing w:val="-8"/>
        </w:rPr>
        <w:t> </w:t>
      </w:r>
      <w:r>
        <w:rPr/>
        <w:t>роками</w:t>
      </w:r>
      <w:r>
        <w:rPr>
          <w:spacing w:val="-8"/>
        </w:rPr>
        <w:t> </w:t>
      </w:r>
      <w:r>
        <w:rPr/>
        <w:t>не</w:t>
      </w:r>
      <w:r>
        <w:rPr>
          <w:spacing w:val="-8"/>
        </w:rPr>
        <w:t> </w:t>
      </w:r>
      <w:r>
        <w:rPr/>
        <w:t>варто</w:t>
      </w:r>
      <w:r>
        <w:rPr>
          <w:spacing w:val="-8"/>
        </w:rPr>
        <w:t> </w:t>
      </w:r>
      <w:r>
        <w:rPr/>
        <w:t>очікувати</w:t>
      </w:r>
      <w:r>
        <w:rPr>
          <w:spacing w:val="-5"/>
        </w:rPr>
        <w:t> </w:t>
      </w:r>
      <w:r>
        <w:rPr/>
        <w:t>повної</w:t>
      </w:r>
      <w:r>
        <w:rPr>
          <w:spacing w:val="-13"/>
        </w:rPr>
        <w:t> </w:t>
      </w:r>
      <w:r>
        <w:rPr/>
        <w:t>автоматизації</w:t>
      </w:r>
      <w:r>
        <w:rPr>
          <w:spacing w:val="-14"/>
        </w:rPr>
        <w:t> </w:t>
      </w:r>
      <w:r>
        <w:rPr/>
        <w:t>якихось</w:t>
      </w:r>
      <w:r>
        <w:rPr>
          <w:spacing w:val="-10"/>
        </w:rPr>
        <w:t> </w:t>
      </w:r>
      <w:r>
        <w:rPr/>
        <w:t>процесів, адже навіть роботизований тахеометр або найсучасніший лазерний сканер вимагають участі</w:t>
      </w:r>
      <w:r>
        <w:rPr>
          <w:spacing w:val="-1"/>
        </w:rPr>
        <w:t> </w:t>
      </w:r>
      <w:r>
        <w:rPr/>
        <w:t>оператора.</w:t>
      </w:r>
    </w:p>
    <w:p>
      <w:pPr>
        <w:spacing w:after="0"/>
        <w:sectPr>
          <w:pgSz w:w="11910" w:h="16840"/>
          <w:pgMar w:header="713" w:footer="778" w:top="1140" w:bottom="960" w:left="940" w:right="520"/>
        </w:sectPr>
      </w:pPr>
    </w:p>
    <w:p>
      <w:pPr>
        <w:pStyle w:val="BodyText"/>
        <w:spacing w:before="92"/>
        <w:ind w:right="610" w:firstLine="710"/>
      </w:pPr>
      <w:r>
        <w:rPr/>
        <w:t>Автоматизуються процеси камеральної обробки, програмне забезпечення, що передає отримані дані геодезичних вимірів безпосередньо з об’єкту виконання робіт в хмарні сервіси, які в автоматичному режимі генерують хмари точок і цифрові моделі місцевості, однак більш складні роботи проводяться в напівавтоматичному режимі або взагалі вимагають ручної обробки. Західні науковці проводять дослідження з використання штучного інтелекту для обробки великих масивів просторових даних, перш за </w:t>
      </w:r>
      <w:r>
        <w:rPr>
          <w:spacing w:val="2"/>
        </w:rPr>
        <w:t>все </w:t>
      </w:r>
      <w:r>
        <w:rPr/>
        <w:t>хмар точок лазерних відображень,</w:t>
      </w:r>
      <w:r>
        <w:rPr>
          <w:spacing w:val="-20"/>
        </w:rPr>
        <w:t> </w:t>
      </w:r>
      <w:r>
        <w:rPr/>
        <w:t>класифікації</w:t>
      </w:r>
      <w:r>
        <w:rPr>
          <w:spacing w:val="-27"/>
        </w:rPr>
        <w:t> </w:t>
      </w:r>
      <w:r>
        <w:rPr/>
        <w:t>за</w:t>
      </w:r>
      <w:r>
        <w:rPr>
          <w:spacing w:val="-15"/>
        </w:rPr>
        <w:t> </w:t>
      </w:r>
      <w:r>
        <w:rPr/>
        <w:t>типами,</w:t>
      </w:r>
      <w:r>
        <w:rPr>
          <w:spacing w:val="-20"/>
        </w:rPr>
        <w:t> </w:t>
      </w:r>
      <w:r>
        <w:rPr/>
        <w:t>проте</w:t>
      </w:r>
      <w:r>
        <w:rPr>
          <w:spacing w:val="-21"/>
        </w:rPr>
        <w:t> </w:t>
      </w:r>
      <w:r>
        <w:rPr/>
        <w:t>поки</w:t>
      </w:r>
      <w:r>
        <w:rPr>
          <w:spacing w:val="-18"/>
        </w:rPr>
        <w:t> </w:t>
      </w:r>
      <w:r>
        <w:rPr/>
        <w:t>вони</w:t>
      </w:r>
      <w:r>
        <w:rPr>
          <w:spacing w:val="-22"/>
        </w:rPr>
        <w:t> </w:t>
      </w:r>
      <w:r>
        <w:rPr/>
        <w:t>знаходяться</w:t>
      </w:r>
      <w:r>
        <w:rPr>
          <w:spacing w:val="-20"/>
        </w:rPr>
        <w:t> </w:t>
      </w:r>
      <w:r>
        <w:rPr/>
        <w:t>в</w:t>
      </w:r>
      <w:r>
        <w:rPr>
          <w:spacing w:val="-22"/>
        </w:rPr>
        <w:t> </w:t>
      </w:r>
      <w:r>
        <w:rPr/>
        <w:t>зародковому стані. Вітчизняна геодезія страждає </w:t>
      </w:r>
      <w:r>
        <w:rPr>
          <w:spacing w:val="-3"/>
        </w:rPr>
        <w:t>від </w:t>
      </w:r>
      <w:r>
        <w:rPr/>
        <w:t>слабкого науково-технічного забезпечення галузі через використання геодезичного обладнання та програмного забезпечення, яке виробляється за</w:t>
      </w:r>
      <w:r>
        <w:rPr>
          <w:spacing w:val="7"/>
        </w:rPr>
        <w:t> </w:t>
      </w:r>
      <w:r>
        <w:rPr/>
        <w:t>кордоном.</w:t>
      </w:r>
    </w:p>
    <w:p>
      <w:pPr>
        <w:pStyle w:val="BodyText"/>
        <w:spacing w:before="1"/>
        <w:ind w:right="609" w:firstLine="710"/>
      </w:pPr>
      <w:r>
        <w:rPr/>
        <w:t>Останнім часом наша держава активно впроваджує цифрову трансформацію.</w:t>
      </w:r>
      <w:r>
        <w:rPr>
          <w:spacing w:val="-11"/>
        </w:rPr>
        <w:t> </w:t>
      </w:r>
      <w:r>
        <w:rPr/>
        <w:t>Так</w:t>
      </w:r>
      <w:r>
        <w:rPr>
          <w:spacing w:val="-14"/>
        </w:rPr>
        <w:t> </w:t>
      </w:r>
      <w:r>
        <w:rPr/>
        <w:t>у</w:t>
      </w:r>
      <w:r>
        <w:rPr>
          <w:spacing w:val="-18"/>
        </w:rPr>
        <w:t> </w:t>
      </w:r>
      <w:r>
        <w:rPr/>
        <w:t>вересні</w:t>
      </w:r>
      <w:r>
        <w:rPr>
          <w:spacing w:val="-17"/>
        </w:rPr>
        <w:t> </w:t>
      </w:r>
      <w:r>
        <w:rPr/>
        <w:t>2019</w:t>
      </w:r>
      <w:r>
        <w:rPr>
          <w:spacing w:val="-13"/>
        </w:rPr>
        <w:t> </w:t>
      </w:r>
      <w:r>
        <w:rPr/>
        <w:t>року</w:t>
      </w:r>
      <w:r>
        <w:rPr>
          <w:spacing w:val="-17"/>
        </w:rPr>
        <w:t> </w:t>
      </w:r>
      <w:r>
        <w:rPr/>
        <w:t>Держгеокадастр</w:t>
      </w:r>
      <w:r>
        <w:rPr>
          <w:spacing w:val="-13"/>
        </w:rPr>
        <w:t> </w:t>
      </w:r>
      <w:r>
        <w:rPr/>
        <w:t>уклав</w:t>
      </w:r>
      <w:r>
        <w:rPr>
          <w:spacing w:val="-15"/>
        </w:rPr>
        <w:t> </w:t>
      </w:r>
      <w:r>
        <w:rPr/>
        <w:t>Меморандум</w:t>
      </w:r>
      <w:r>
        <w:rPr>
          <w:spacing w:val="-11"/>
        </w:rPr>
        <w:t> </w:t>
      </w:r>
      <w:r>
        <w:rPr/>
        <w:t>про співробітництво з новоствореним Міністерством цифрової трансформації, Фондом «Євразія» (проект міжнародної технічної допомоги «Прозорість та підзвітність у державному управлінні та послугах (TAPAS)») та Міжнародною благодійною організацією «Фонд Східна Європа». Документ передбачає вдосконалення</w:t>
      </w:r>
      <w:r>
        <w:rPr>
          <w:spacing w:val="-10"/>
        </w:rPr>
        <w:t> </w:t>
      </w:r>
      <w:r>
        <w:rPr/>
        <w:t>системи</w:t>
      </w:r>
      <w:r>
        <w:rPr>
          <w:spacing w:val="-10"/>
        </w:rPr>
        <w:t> </w:t>
      </w:r>
      <w:r>
        <w:rPr/>
        <w:t>публічних</w:t>
      </w:r>
      <w:r>
        <w:rPr>
          <w:spacing w:val="-14"/>
        </w:rPr>
        <w:t> </w:t>
      </w:r>
      <w:r>
        <w:rPr/>
        <w:t>закупівель,</w:t>
      </w:r>
      <w:r>
        <w:rPr>
          <w:spacing w:val="-7"/>
        </w:rPr>
        <w:t> </w:t>
      </w:r>
      <w:r>
        <w:rPr/>
        <w:t>електронних</w:t>
      </w:r>
      <w:r>
        <w:rPr>
          <w:spacing w:val="-14"/>
        </w:rPr>
        <w:t> </w:t>
      </w:r>
      <w:r>
        <w:rPr/>
        <w:t>послуг</w:t>
      </w:r>
      <w:r>
        <w:rPr>
          <w:spacing w:val="-10"/>
        </w:rPr>
        <w:t> </w:t>
      </w:r>
      <w:r>
        <w:rPr/>
        <w:t>та</w:t>
      </w:r>
      <w:r>
        <w:rPr>
          <w:spacing w:val="1"/>
        </w:rPr>
        <w:t> </w:t>
      </w:r>
      <w:r>
        <w:rPr/>
        <w:t>доступу</w:t>
      </w:r>
      <w:r>
        <w:rPr>
          <w:spacing w:val="-14"/>
        </w:rPr>
        <w:t> </w:t>
      </w:r>
      <w:r>
        <w:rPr/>
        <w:t>до даних (проведення інвентаризації адміністративних послуг, які надаються Держгеокадастром та його територіальними органами, з метою їх оптимізації та автоматизації, забезпечення інтеграції електронних послуг Держгеокадастру з єдиним порталом електронних послуг, забезпечення електронної взаємодії з іншими державними електронними інформаційними ресурсами державних органів, застосування інструментів онлайн-оплати послуг, модернізацію офіційного веб-сайту Держгеокадастру), що дозволить підвищити </w:t>
      </w:r>
      <w:r>
        <w:rPr>
          <w:spacing w:val="2"/>
        </w:rPr>
        <w:t>рівень </w:t>
      </w:r>
      <w:r>
        <w:rPr/>
        <w:t>прозорості</w:t>
      </w:r>
      <w:r>
        <w:rPr>
          <w:spacing w:val="-23"/>
        </w:rPr>
        <w:t> </w:t>
      </w:r>
      <w:r>
        <w:rPr/>
        <w:t>роботи</w:t>
      </w:r>
      <w:r>
        <w:rPr>
          <w:spacing w:val="-19"/>
        </w:rPr>
        <w:t> </w:t>
      </w:r>
      <w:r>
        <w:rPr/>
        <w:t>у</w:t>
      </w:r>
      <w:r>
        <w:rPr>
          <w:spacing w:val="-23"/>
        </w:rPr>
        <w:t> </w:t>
      </w:r>
      <w:r>
        <w:rPr/>
        <w:t>сфері</w:t>
      </w:r>
      <w:r>
        <w:rPr>
          <w:spacing w:val="-23"/>
        </w:rPr>
        <w:t> </w:t>
      </w:r>
      <w:r>
        <w:rPr/>
        <w:t>управління</w:t>
      </w:r>
      <w:r>
        <w:rPr>
          <w:spacing w:val="-18"/>
        </w:rPr>
        <w:t> </w:t>
      </w:r>
      <w:r>
        <w:rPr/>
        <w:t>земельними</w:t>
      </w:r>
      <w:r>
        <w:rPr>
          <w:spacing w:val="-18"/>
        </w:rPr>
        <w:t> </w:t>
      </w:r>
      <w:r>
        <w:rPr/>
        <w:t>ресурсами</w:t>
      </w:r>
      <w:r>
        <w:rPr>
          <w:spacing w:val="-19"/>
        </w:rPr>
        <w:t> </w:t>
      </w:r>
      <w:r>
        <w:rPr/>
        <w:t>та</w:t>
      </w:r>
      <w:r>
        <w:rPr>
          <w:spacing w:val="-17"/>
        </w:rPr>
        <w:t> </w:t>
      </w:r>
      <w:r>
        <w:rPr/>
        <w:t>знизити</w:t>
      </w:r>
      <w:r>
        <w:rPr>
          <w:spacing w:val="-19"/>
        </w:rPr>
        <w:t> </w:t>
      </w:r>
      <w:r>
        <w:rPr/>
        <w:t>ймовірні корупційні</w:t>
      </w:r>
      <w:r>
        <w:rPr>
          <w:spacing w:val="-5"/>
        </w:rPr>
        <w:t> </w:t>
      </w:r>
      <w:r>
        <w:rPr/>
        <w:t>ризики.</w:t>
      </w:r>
    </w:p>
    <w:p>
      <w:pPr>
        <w:pStyle w:val="BodyText"/>
        <w:tabs>
          <w:tab w:pos="634" w:val="left" w:leader="none"/>
          <w:tab w:pos="927" w:val="left" w:leader="none"/>
          <w:tab w:pos="1296" w:val="left" w:leader="none"/>
          <w:tab w:pos="1790" w:val="left" w:leader="none"/>
          <w:tab w:pos="2054" w:val="left" w:leader="none"/>
          <w:tab w:pos="2260" w:val="left" w:leader="none"/>
          <w:tab w:pos="2893" w:val="left" w:leader="none"/>
          <w:tab w:pos="3516" w:val="left" w:leader="none"/>
          <w:tab w:pos="3564" w:val="left" w:leader="none"/>
          <w:tab w:pos="3812" w:val="left" w:leader="none"/>
          <w:tab w:pos="4451" w:val="left" w:leader="none"/>
          <w:tab w:pos="4682" w:val="left" w:leader="none"/>
          <w:tab w:pos="5025" w:val="left" w:leader="none"/>
          <w:tab w:pos="5209" w:val="left" w:leader="none"/>
          <w:tab w:pos="5804" w:val="left" w:leader="none"/>
          <w:tab w:pos="6350" w:val="left" w:leader="none"/>
          <w:tab w:pos="6969" w:val="left" w:leader="none"/>
          <w:tab w:pos="7280" w:val="left" w:leader="none"/>
          <w:tab w:pos="7500" w:val="left" w:leader="none"/>
          <w:tab w:pos="8171" w:val="left" w:leader="none"/>
          <w:tab w:pos="8431" w:val="left" w:leader="none"/>
          <w:tab w:pos="8846" w:val="left" w:leader="none"/>
        </w:tabs>
        <w:spacing w:before="1"/>
        <w:ind w:right="607" w:firstLine="710"/>
        <w:jc w:val="right"/>
      </w:pPr>
      <w:r>
        <w:rPr/>
        <w:t>Цифровізація</w:t>
      </w:r>
      <w:r>
        <w:rPr>
          <w:spacing w:val="25"/>
        </w:rPr>
        <w:t> </w:t>
      </w:r>
      <w:r>
        <w:rPr/>
        <w:t>земельних</w:t>
      </w:r>
      <w:r>
        <w:rPr>
          <w:spacing w:val="20"/>
        </w:rPr>
        <w:t> </w:t>
      </w:r>
      <w:r>
        <w:rPr/>
        <w:t>відносин</w:t>
      </w:r>
      <w:r>
        <w:rPr>
          <w:spacing w:val="25"/>
        </w:rPr>
        <w:t> </w:t>
      </w:r>
      <w:r>
        <w:rPr/>
        <w:t>полягає</w:t>
      </w:r>
      <w:r>
        <w:rPr>
          <w:spacing w:val="25"/>
        </w:rPr>
        <w:t> </w:t>
      </w:r>
      <w:r>
        <w:rPr/>
        <w:t>в</w:t>
      </w:r>
      <w:r>
        <w:rPr>
          <w:spacing w:val="23"/>
        </w:rPr>
        <w:t> </w:t>
      </w:r>
      <w:r>
        <w:rPr/>
        <w:t>розробці</w:t>
      </w:r>
      <w:r>
        <w:rPr>
          <w:spacing w:val="19"/>
        </w:rPr>
        <w:t> </w:t>
      </w:r>
      <w:r>
        <w:rPr/>
        <w:t>та</w:t>
      </w:r>
      <w:r>
        <w:rPr>
          <w:spacing w:val="26"/>
        </w:rPr>
        <w:t> </w:t>
      </w:r>
      <w:r>
        <w:rPr/>
        <w:t>запуску</w:t>
      </w:r>
      <w:r>
        <w:rPr>
          <w:spacing w:val="20"/>
        </w:rPr>
        <w:t> </w:t>
      </w:r>
      <w:r>
        <w:rPr/>
        <w:t>порталу</w:t>
      </w:r>
      <w:r>
        <w:rPr>
          <w:w w:val="99"/>
        </w:rPr>
        <w:t> </w:t>
      </w:r>
      <w:r>
        <w:rPr/>
        <w:t>нормативної</w:t>
        <w:tab/>
        <w:tab/>
        <w:t>грошової</w:t>
        <w:tab/>
        <w:t>оцінки</w:t>
        <w:tab/>
        <w:tab/>
        <w:t>(НГО)</w:t>
        <w:tab/>
        <w:t>земель</w:t>
        <w:tab/>
      </w:r>
      <w:r>
        <w:rPr>
          <w:spacing w:val="-1"/>
        </w:rPr>
        <w:t>сільськогосподарського</w:t>
      </w:r>
      <w:r>
        <w:rPr>
          <w:w w:val="99"/>
        </w:rPr>
        <w:t> </w:t>
      </w:r>
      <w:r>
        <w:rPr/>
        <w:t>призначення, проведенні електронних земельних торгів,</w:t>
      </w:r>
      <w:r>
        <w:rPr>
          <w:spacing w:val="13"/>
        </w:rPr>
        <w:t> </w:t>
      </w:r>
      <w:r>
        <w:rPr/>
        <w:t>розвитку</w:t>
      </w:r>
      <w:r>
        <w:rPr>
          <w:spacing w:val="68"/>
        </w:rPr>
        <w:t> </w:t>
      </w:r>
      <w:r>
        <w:rPr/>
        <w:t>сучасного</w:t>
      </w:r>
      <w:r>
        <w:rPr>
          <w:w w:val="99"/>
        </w:rPr>
        <w:t> </w:t>
      </w:r>
      <w:r>
        <w:rPr/>
        <w:t>цифрового земельного кадастру та електронних сервісів</w:t>
      </w:r>
      <w:r>
        <w:rPr>
          <w:spacing w:val="-26"/>
        </w:rPr>
        <w:t> </w:t>
      </w:r>
      <w:r>
        <w:rPr/>
        <w:t>Держгеокадастру,</w:t>
      </w:r>
      <w:r>
        <w:rPr>
          <w:spacing w:val="35"/>
        </w:rPr>
        <w:t> </w:t>
      </w:r>
      <w:r>
        <w:rPr/>
        <w:t>що</w:t>
      </w:r>
      <w:r>
        <w:rPr>
          <w:w w:val="99"/>
        </w:rPr>
        <w:t> </w:t>
      </w:r>
      <w:r>
        <w:rPr/>
        <w:t>потребує організації збереження інформації про всі земельні</w:t>
      </w:r>
      <w:r>
        <w:rPr>
          <w:spacing w:val="1"/>
        </w:rPr>
        <w:t> </w:t>
      </w:r>
      <w:r>
        <w:rPr/>
        <w:t>ділянки</w:t>
      </w:r>
      <w:r>
        <w:rPr>
          <w:spacing w:val="3"/>
        </w:rPr>
        <w:t> </w:t>
      </w:r>
      <w:r>
        <w:rPr/>
        <w:t>нашої</w:t>
      </w:r>
      <w:r>
        <w:rPr>
          <w:w w:val="99"/>
        </w:rPr>
        <w:t> </w:t>
      </w:r>
      <w:r>
        <w:rPr/>
        <w:t>країни.</w:t>
        <w:tab/>
        <w:t>Класичним</w:t>
        <w:tab/>
        <w:t>прикладом</w:t>
        <w:tab/>
        <w:t>використання</w:t>
        <w:tab/>
        <w:t>ГІС-технологій</w:t>
        <w:tab/>
        <w:t>у</w:t>
        <w:tab/>
      </w:r>
      <w:r>
        <w:rPr>
          <w:spacing w:val="-1"/>
        </w:rPr>
        <w:t>геодезії, </w:t>
      </w:r>
      <w:r>
        <w:rPr/>
        <w:t>землеустрої</w:t>
      </w:r>
      <w:r>
        <w:rPr>
          <w:spacing w:val="-22"/>
        </w:rPr>
        <w:t> </w:t>
      </w:r>
      <w:r>
        <w:rPr/>
        <w:t>та</w:t>
      </w:r>
      <w:r>
        <w:rPr>
          <w:spacing w:val="-11"/>
        </w:rPr>
        <w:t> </w:t>
      </w:r>
      <w:r>
        <w:rPr/>
        <w:t>кадастрі</w:t>
      </w:r>
      <w:r>
        <w:rPr>
          <w:spacing w:val="-21"/>
        </w:rPr>
        <w:t> </w:t>
      </w:r>
      <w:r>
        <w:rPr/>
        <w:t>є</w:t>
      </w:r>
      <w:r>
        <w:rPr>
          <w:spacing w:val="-16"/>
        </w:rPr>
        <w:t> </w:t>
      </w:r>
      <w:r>
        <w:rPr/>
        <w:t>виконання</w:t>
      </w:r>
      <w:r>
        <w:rPr>
          <w:spacing w:val="-16"/>
        </w:rPr>
        <w:t> </w:t>
      </w:r>
      <w:r>
        <w:rPr/>
        <w:t>задач,</w:t>
      </w:r>
      <w:r>
        <w:rPr>
          <w:spacing w:val="-15"/>
        </w:rPr>
        <w:t> </w:t>
      </w:r>
      <w:r>
        <w:rPr/>
        <w:t>пов’язаних</w:t>
      </w:r>
      <w:r>
        <w:rPr>
          <w:spacing w:val="-21"/>
        </w:rPr>
        <w:t> </w:t>
      </w:r>
      <w:r>
        <w:rPr>
          <w:spacing w:val="2"/>
        </w:rPr>
        <w:t>зі</w:t>
      </w:r>
      <w:r>
        <w:rPr>
          <w:spacing w:val="-21"/>
        </w:rPr>
        <w:t> </w:t>
      </w:r>
      <w:r>
        <w:rPr/>
        <w:t>збереженням</w:t>
      </w:r>
      <w:r>
        <w:rPr>
          <w:spacing w:val="-12"/>
        </w:rPr>
        <w:t> </w:t>
      </w:r>
      <w:r>
        <w:rPr/>
        <w:t>інформації</w:t>
      </w:r>
      <w:r>
        <w:rPr>
          <w:w w:val="99"/>
        </w:rPr>
        <w:t> </w:t>
      </w:r>
      <w:r>
        <w:rPr/>
        <w:t>про</w:t>
        <w:tab/>
        <w:tab/>
        <w:t>земельні</w:t>
        <w:tab/>
        <w:tab/>
        <w:t>ділянки,</w:t>
        <w:tab/>
        <w:tab/>
        <w:t>побудовою</w:t>
        <w:tab/>
        <w:tab/>
        <w:t>топографічних</w:t>
        <w:tab/>
        <w:t>планів,</w:t>
        <w:tab/>
        <w:tab/>
      </w:r>
      <w:r>
        <w:rPr>
          <w:w w:val="95"/>
        </w:rPr>
        <w:t>створенням </w:t>
      </w:r>
      <w:r>
        <w:rPr/>
        <w:t>формалізованих звітних документів. Всі ці можливості є в</w:t>
      </w:r>
      <w:r>
        <w:rPr>
          <w:spacing w:val="-43"/>
        </w:rPr>
        <w:t> </w:t>
      </w:r>
      <w:r>
        <w:rPr/>
        <w:t>переважній</w:t>
      </w:r>
      <w:r>
        <w:rPr>
          <w:spacing w:val="-4"/>
        </w:rPr>
        <w:t> </w:t>
      </w:r>
      <w:r>
        <w:rPr/>
        <w:t>більшості</w:t>
      </w:r>
      <w:r>
        <w:rPr>
          <w:w w:val="99"/>
        </w:rPr>
        <w:t> </w:t>
      </w:r>
      <w:r>
        <w:rPr/>
        <w:t>популярних програмних продуктів, таких як ГІС 6,</w:t>
      </w:r>
      <w:r>
        <w:rPr>
          <w:spacing w:val="4"/>
        </w:rPr>
        <w:t> </w:t>
      </w:r>
      <w:r>
        <w:rPr/>
        <w:t>Digitals, Autoсad</w:t>
      </w:r>
      <w:r>
        <w:rPr>
          <w:rFonts w:ascii="Trebuchet MS" w:hAnsi="Trebuchet MS"/>
          <w:b/>
          <w:color w:val="515151"/>
          <w:sz w:val="16"/>
        </w:rPr>
        <w:t>,</w:t>
      </w:r>
      <w:r>
        <w:rPr>
          <w:rFonts w:ascii="Trebuchet MS" w:hAnsi="Trebuchet MS"/>
          <w:b/>
          <w:color w:val="515151"/>
          <w:spacing w:val="43"/>
          <w:sz w:val="16"/>
        </w:rPr>
        <w:t> </w:t>
      </w:r>
      <w:r>
        <w:rPr/>
        <w:t>ArcGIS,</w:t>
      </w:r>
      <w:r>
        <w:rPr>
          <w:w w:val="99"/>
        </w:rPr>
        <w:t> </w:t>
      </w:r>
      <w:r>
        <w:rPr/>
        <w:t>MapInfo,</w:t>
      </w:r>
      <w:r>
        <w:rPr>
          <w:spacing w:val="-16"/>
        </w:rPr>
        <w:t> </w:t>
      </w:r>
      <w:r>
        <w:rPr/>
        <w:t>QGIS</w:t>
      </w:r>
      <w:r>
        <w:rPr>
          <w:spacing w:val="-18"/>
        </w:rPr>
        <w:t> </w:t>
      </w:r>
      <w:r>
        <w:rPr/>
        <w:t>та</w:t>
      </w:r>
      <w:r>
        <w:rPr>
          <w:spacing w:val="-16"/>
        </w:rPr>
        <w:t> </w:t>
      </w:r>
      <w:r>
        <w:rPr/>
        <w:t>широко</w:t>
      </w:r>
      <w:r>
        <w:rPr>
          <w:spacing w:val="-17"/>
        </w:rPr>
        <w:t> </w:t>
      </w:r>
      <w:r>
        <w:rPr/>
        <w:t>використовуються</w:t>
      </w:r>
      <w:r>
        <w:rPr>
          <w:spacing w:val="-17"/>
        </w:rPr>
        <w:t> </w:t>
      </w:r>
      <w:r>
        <w:rPr/>
        <w:t>землевпорядниками</w:t>
      </w:r>
      <w:r>
        <w:rPr>
          <w:spacing w:val="-17"/>
        </w:rPr>
        <w:t> </w:t>
      </w:r>
      <w:r>
        <w:rPr/>
        <w:t>багатьох</w:t>
      </w:r>
      <w:r>
        <w:rPr>
          <w:spacing w:val="-21"/>
        </w:rPr>
        <w:t> </w:t>
      </w:r>
      <w:r>
        <w:rPr/>
        <w:t>країн.</w:t>
      </w:r>
      <w:r>
        <w:rPr>
          <w:spacing w:val="-1"/>
          <w:w w:val="99"/>
        </w:rPr>
        <w:t> </w:t>
      </w:r>
      <w:r>
        <w:rPr/>
        <w:t>В</w:t>
        <w:tab/>
        <w:t>Україні</w:t>
        <w:tab/>
        <w:t>ГІС-технології</w:t>
        <w:tab/>
        <w:tab/>
        <w:t>активно</w:t>
        <w:tab/>
        <w:t>використовуються</w:t>
        <w:tab/>
        <w:tab/>
        <w:t>для</w:t>
        <w:tab/>
      </w:r>
      <w:r>
        <w:rPr>
          <w:spacing w:val="-1"/>
          <w:w w:val="95"/>
        </w:rPr>
        <w:t>ведення </w:t>
      </w:r>
      <w:r>
        <w:rPr/>
        <w:t>землеустрою впродовж понад двох десятиліть. Вивчаючи сучасні</w:t>
      </w:r>
      <w:r>
        <w:rPr>
          <w:spacing w:val="37"/>
        </w:rPr>
        <w:t> </w:t>
      </w:r>
      <w:r>
        <w:rPr>
          <w:spacing w:val="2"/>
        </w:rPr>
        <w:t>програмні</w:t>
      </w:r>
    </w:p>
    <w:p>
      <w:pPr>
        <w:pStyle w:val="BodyText"/>
        <w:spacing w:line="322" w:lineRule="exact" w:before="1"/>
        <w:jc w:val="left"/>
      </w:pPr>
      <w:r>
        <w:rPr/>
        <w:t>продукти для геодезії, картографії та кадастру, можна виділити наступні:</w:t>
      </w:r>
    </w:p>
    <w:p>
      <w:pPr>
        <w:pStyle w:val="ListParagraph"/>
        <w:numPr>
          <w:ilvl w:val="0"/>
          <w:numId w:val="25"/>
        </w:numPr>
        <w:tabs>
          <w:tab w:pos="1188" w:val="left" w:leader="none"/>
        </w:tabs>
        <w:spacing w:line="240" w:lineRule="auto" w:before="0" w:after="0"/>
        <w:ind w:left="193" w:right="610" w:firstLine="710"/>
        <w:jc w:val="both"/>
        <w:rPr>
          <w:sz w:val="28"/>
        </w:rPr>
      </w:pPr>
      <w:r>
        <w:rPr>
          <w:sz w:val="28"/>
        </w:rPr>
        <w:t>універсальні геоінформаційні системи (AutoCad Map 3D, ГІС «Карта 2008», MapInfo, MicroStation, Продукти лінійки ArcGIS</w:t>
      </w:r>
      <w:r>
        <w:rPr>
          <w:spacing w:val="17"/>
          <w:sz w:val="28"/>
        </w:rPr>
        <w:t> </w:t>
      </w:r>
      <w:r>
        <w:rPr>
          <w:sz w:val="28"/>
        </w:rPr>
        <w:t>Desktop);</w:t>
      </w:r>
    </w:p>
    <w:p>
      <w:pPr>
        <w:spacing w:after="0" w:line="240" w:lineRule="auto"/>
        <w:jc w:val="both"/>
        <w:rPr>
          <w:sz w:val="28"/>
        </w:rPr>
        <w:sectPr>
          <w:pgSz w:w="11910" w:h="16840"/>
          <w:pgMar w:header="713" w:footer="778" w:top="1140" w:bottom="960" w:left="940" w:right="520"/>
        </w:sectPr>
      </w:pPr>
    </w:p>
    <w:p>
      <w:pPr>
        <w:pStyle w:val="ListParagraph"/>
        <w:numPr>
          <w:ilvl w:val="0"/>
          <w:numId w:val="25"/>
        </w:numPr>
        <w:tabs>
          <w:tab w:pos="1188" w:val="left" w:leader="none"/>
        </w:tabs>
        <w:spacing w:line="240" w:lineRule="auto" w:before="92" w:after="0"/>
        <w:ind w:left="193" w:right="618" w:firstLine="710"/>
        <w:jc w:val="both"/>
        <w:rPr>
          <w:sz w:val="28"/>
        </w:rPr>
      </w:pPr>
      <w:r>
        <w:rPr>
          <w:sz w:val="28"/>
        </w:rPr>
        <w:t>CAD-cистеми, що виконують обробку просторових даних (CREDO, GeoniCS,</w:t>
      </w:r>
      <w:r>
        <w:rPr>
          <w:spacing w:val="3"/>
          <w:sz w:val="28"/>
        </w:rPr>
        <w:t> </w:t>
      </w:r>
      <w:r>
        <w:rPr>
          <w:sz w:val="28"/>
        </w:rPr>
        <w:t>Pythagoras);</w:t>
      </w:r>
    </w:p>
    <w:p>
      <w:pPr>
        <w:pStyle w:val="ListParagraph"/>
        <w:numPr>
          <w:ilvl w:val="0"/>
          <w:numId w:val="25"/>
        </w:numPr>
        <w:tabs>
          <w:tab w:pos="1188" w:val="left" w:leader="none"/>
        </w:tabs>
        <w:spacing w:line="240" w:lineRule="auto" w:before="0" w:after="0"/>
        <w:ind w:left="193" w:right="626" w:firstLine="710"/>
        <w:jc w:val="both"/>
        <w:rPr>
          <w:sz w:val="28"/>
        </w:rPr>
      </w:pPr>
      <w:r>
        <w:rPr>
          <w:sz w:val="28"/>
        </w:rPr>
        <w:t>векторизатори, програми створення та редагування карт (Digitals, EasyTrace, MapEDIT,</w:t>
      </w:r>
      <w:r>
        <w:rPr>
          <w:spacing w:val="6"/>
          <w:sz w:val="28"/>
        </w:rPr>
        <w:t> </w:t>
      </w:r>
      <w:r>
        <w:rPr>
          <w:sz w:val="28"/>
        </w:rPr>
        <w:t>Панорама-редактор);</w:t>
      </w:r>
    </w:p>
    <w:p>
      <w:pPr>
        <w:pStyle w:val="ListParagraph"/>
        <w:numPr>
          <w:ilvl w:val="0"/>
          <w:numId w:val="25"/>
        </w:numPr>
        <w:tabs>
          <w:tab w:pos="1188" w:val="left" w:leader="none"/>
        </w:tabs>
        <w:spacing w:line="242" w:lineRule="auto" w:before="0" w:after="0"/>
        <w:ind w:left="193" w:right="621" w:firstLine="710"/>
        <w:jc w:val="both"/>
        <w:rPr>
          <w:sz w:val="28"/>
        </w:rPr>
      </w:pPr>
      <w:r>
        <w:rPr>
          <w:sz w:val="28"/>
        </w:rPr>
        <w:t>ГІС/WEB-сервери, програми для публікації карт в Internet (ArcGIS Server, GIS</w:t>
      </w:r>
      <w:r>
        <w:rPr>
          <w:spacing w:val="5"/>
          <w:sz w:val="28"/>
        </w:rPr>
        <w:t> </w:t>
      </w:r>
      <w:r>
        <w:rPr>
          <w:sz w:val="28"/>
        </w:rPr>
        <w:t>WebServer);</w:t>
      </w:r>
    </w:p>
    <w:p>
      <w:pPr>
        <w:pStyle w:val="ListParagraph"/>
        <w:numPr>
          <w:ilvl w:val="0"/>
          <w:numId w:val="25"/>
        </w:numPr>
        <w:tabs>
          <w:tab w:pos="1188" w:val="left" w:leader="none"/>
        </w:tabs>
        <w:spacing w:line="240" w:lineRule="auto" w:before="0" w:after="0"/>
        <w:ind w:left="193" w:right="615" w:firstLine="710"/>
        <w:jc w:val="both"/>
        <w:rPr>
          <w:sz w:val="28"/>
        </w:rPr>
      </w:pPr>
      <w:r>
        <w:rPr>
          <w:sz w:val="28"/>
        </w:rPr>
        <w:t>фотограмметричні системи та засоби аналізу даних ДЗЗ (ENVI, ERDAS IMAGINE, INPHO, LeicaPhotogrammetry Suite, PHOTOMOD, Сімейство продуктів</w:t>
      </w:r>
      <w:r>
        <w:rPr>
          <w:spacing w:val="-1"/>
          <w:sz w:val="28"/>
        </w:rPr>
        <w:t> </w:t>
      </w:r>
      <w:r>
        <w:rPr>
          <w:sz w:val="28"/>
        </w:rPr>
        <w:t>ScanEx).</w:t>
      </w:r>
    </w:p>
    <w:p>
      <w:pPr>
        <w:pStyle w:val="BodyText"/>
        <w:ind w:right="609" w:firstLine="710"/>
      </w:pPr>
      <w:r>
        <w:rPr/>
        <w:t>Програмні продукти ГІС-6, Digitals та AutoCAD в Одеському регіоні найуживаніші в землевпорядних підприємствах. Потреби землевпорядників, фотограмметристів, геодезистів та картографів задовольняє програма Digitals [3].</w:t>
      </w:r>
    </w:p>
    <w:p>
      <w:pPr>
        <w:pStyle w:val="BodyText"/>
        <w:ind w:right="613" w:firstLine="710"/>
      </w:pPr>
      <w:r>
        <w:rPr/>
        <w:t>Отже, оглянувши сучасні геоінформаційні технології, засвідчились у необхідності переорієнтування сутності та вдосконалення змісту картографо- геодезичної діяльності через інформаційну глобалізацію, розвиток ринкових умов і конкуренцію з різними галузями, що впливає на стан і перспективи розвитку геодезії, картографії та землеустрою. Впровадження цифрових космічних технологій призводить до виходу за межі традиційних методів і технологій геодезії і картографії.</w:t>
      </w:r>
    </w:p>
    <w:p>
      <w:pPr>
        <w:pStyle w:val="BodyText"/>
        <w:ind w:right="610" w:firstLine="710"/>
      </w:pPr>
      <w:r>
        <w:rPr>
          <w:b/>
        </w:rPr>
        <w:t>Висновки. </w:t>
      </w:r>
      <w:r>
        <w:rPr/>
        <w:t>Цифрова трансформація в Україні відбувається досить повільно, що ставить український бізнес в неконкурентний стан. Нерозуміння важливості ЦТ, комплексності та масштабу необхідних заходів призводить до виникнення проблем, які вимагають від держави прояву ініціативи і встановлення гармонізації стандартів і технічних регламентів з ЄС, прийняття міжнародних стандартів всіх державних послуг та підтримки діяльності технічних комітетів, що братимуть участь у розробці нових стандартів, які належать до цифрових сервісів, послуг і продуктів.</w:t>
      </w:r>
    </w:p>
    <w:p>
      <w:pPr>
        <w:pStyle w:val="BodyText"/>
        <w:ind w:right="609" w:firstLine="710"/>
      </w:pPr>
      <w:r>
        <w:rPr/>
        <w:t>Для того, щоб геодезія і землеустрій залишалися в переліку сучасних затребуваних спеціальностей, необхідно докорінно змінити її структуру і зміст та переорієнтувати галузь на розширення сегмента знань в сфері цифрових технологій, перетворити геодезистів, перш за все, на ІТ-фахівців. В перспективі є дослідження розвитку штучного інтелекту і автоматизації процесів в галузі геодезії</w:t>
      </w:r>
      <w:r>
        <w:rPr>
          <w:spacing w:val="-26"/>
        </w:rPr>
        <w:t> </w:t>
      </w:r>
      <w:r>
        <w:rPr/>
        <w:t>та</w:t>
      </w:r>
      <w:r>
        <w:rPr>
          <w:spacing w:val="-20"/>
        </w:rPr>
        <w:t> </w:t>
      </w:r>
      <w:r>
        <w:rPr/>
        <w:t>землеустрою,</w:t>
      </w:r>
      <w:r>
        <w:rPr>
          <w:spacing w:val="-18"/>
        </w:rPr>
        <w:t> </w:t>
      </w:r>
      <w:r>
        <w:rPr/>
        <w:t>але</w:t>
      </w:r>
      <w:r>
        <w:rPr>
          <w:spacing w:val="-19"/>
        </w:rPr>
        <w:t> </w:t>
      </w:r>
      <w:r>
        <w:rPr/>
        <w:t>є</w:t>
      </w:r>
      <w:r>
        <w:rPr>
          <w:spacing w:val="-19"/>
        </w:rPr>
        <w:t> </w:t>
      </w:r>
      <w:r>
        <w:rPr/>
        <w:t>побоювання</w:t>
      </w:r>
      <w:r>
        <w:rPr>
          <w:spacing w:val="-19"/>
        </w:rPr>
        <w:t> </w:t>
      </w:r>
      <w:r>
        <w:rPr/>
        <w:t>знищення</w:t>
      </w:r>
      <w:r>
        <w:rPr>
          <w:spacing w:val="-20"/>
        </w:rPr>
        <w:t> </w:t>
      </w:r>
      <w:r>
        <w:rPr/>
        <w:t>споріднених</w:t>
      </w:r>
      <w:r>
        <w:rPr>
          <w:spacing w:val="-25"/>
        </w:rPr>
        <w:t> </w:t>
      </w:r>
      <w:r>
        <w:rPr/>
        <w:t>професій,</w:t>
      </w:r>
      <w:r>
        <w:rPr>
          <w:spacing w:val="-19"/>
        </w:rPr>
        <w:t> </w:t>
      </w:r>
      <w:r>
        <w:rPr/>
        <w:t>адже будь-які відкриття людей в подальшому дублює</w:t>
      </w:r>
      <w:r>
        <w:rPr>
          <w:spacing w:val="-1"/>
        </w:rPr>
        <w:t> </w:t>
      </w:r>
      <w:r>
        <w:rPr/>
        <w:t>робот.</w:t>
      </w:r>
    </w:p>
    <w:p>
      <w:pPr>
        <w:pStyle w:val="BodyText"/>
        <w:ind w:right="624" w:firstLine="710"/>
      </w:pPr>
      <w:r>
        <w:rPr/>
        <w:t>Досвід цифровізації в навчальному процесі показує, що глибоке вивчення суті методів програмного та матеріального забезпечення є необхідною умовою отримання достовірних результатів.</w:t>
      </w:r>
    </w:p>
    <w:p>
      <w:pPr>
        <w:pStyle w:val="BodyText"/>
        <w:spacing w:before="1"/>
        <w:ind w:left="0"/>
        <w:jc w:val="left"/>
      </w:pPr>
    </w:p>
    <w:p>
      <w:pPr>
        <w:pStyle w:val="Heading1"/>
        <w:ind w:left="187"/>
      </w:pPr>
      <w:r>
        <w:rPr/>
        <w:t>ЛІТЕРАТУРА</w:t>
      </w:r>
    </w:p>
    <w:p>
      <w:pPr>
        <w:pStyle w:val="ListParagraph"/>
        <w:numPr>
          <w:ilvl w:val="0"/>
          <w:numId w:val="26"/>
        </w:numPr>
        <w:tabs>
          <w:tab w:pos="1188" w:val="left" w:leader="none"/>
        </w:tabs>
        <w:spacing w:line="242" w:lineRule="auto" w:before="24" w:after="0"/>
        <w:ind w:left="193" w:right="610" w:firstLine="710"/>
        <w:jc w:val="both"/>
        <w:rPr>
          <w:sz w:val="28"/>
        </w:rPr>
      </w:pPr>
      <w:r>
        <w:rPr>
          <w:sz w:val="28"/>
        </w:rPr>
        <w:t>Ковальчук І. П., Ковальчук </w:t>
      </w:r>
      <w:r>
        <w:rPr>
          <w:spacing w:val="-3"/>
          <w:sz w:val="28"/>
        </w:rPr>
        <w:t>А. </w:t>
      </w:r>
      <w:r>
        <w:rPr>
          <w:sz w:val="28"/>
        </w:rPr>
        <w:t>І. Структура цифрового атласу вартості земель України. </w:t>
      </w:r>
      <w:r>
        <w:rPr>
          <w:i/>
          <w:sz w:val="28"/>
        </w:rPr>
        <w:t>Часопис картографії</w:t>
      </w:r>
      <w:r>
        <w:rPr>
          <w:sz w:val="28"/>
        </w:rPr>
        <w:t>: Зб. наук. праць. 2019. Вип. 20. С. 5-26. URL: </w:t>
      </w:r>
      <w:hyperlink r:id="rId107">
        <w:r>
          <w:rPr>
            <w:sz w:val="28"/>
          </w:rPr>
          <w:t>http://maptimes.inf.ua/CH_20/Ch20_Article1_Structure-of-Ua-land-digital-</w:t>
        </w:r>
      </w:hyperlink>
      <w:r>
        <w:rPr>
          <w:sz w:val="28"/>
        </w:rPr>
        <w:t> atlas.html (дата звернення:</w:t>
      </w:r>
      <w:r>
        <w:rPr>
          <w:spacing w:val="-1"/>
          <w:sz w:val="28"/>
        </w:rPr>
        <w:t> </w:t>
      </w:r>
      <w:r>
        <w:rPr>
          <w:sz w:val="28"/>
        </w:rPr>
        <w:t>10.01.2020)</w:t>
      </w:r>
    </w:p>
    <w:p>
      <w:pPr>
        <w:spacing w:after="0" w:line="242" w:lineRule="auto"/>
        <w:jc w:val="both"/>
        <w:rPr>
          <w:sz w:val="28"/>
        </w:rPr>
        <w:sectPr>
          <w:pgSz w:w="11910" w:h="16840"/>
          <w:pgMar w:header="713" w:footer="778" w:top="1140" w:bottom="960" w:left="940" w:right="520"/>
        </w:sectPr>
      </w:pPr>
    </w:p>
    <w:p>
      <w:pPr>
        <w:pStyle w:val="ListParagraph"/>
        <w:numPr>
          <w:ilvl w:val="0"/>
          <w:numId w:val="26"/>
        </w:numPr>
        <w:tabs>
          <w:tab w:pos="1188" w:val="left" w:leader="none"/>
        </w:tabs>
        <w:spacing w:line="240" w:lineRule="auto" w:before="92" w:after="0"/>
        <w:ind w:left="193" w:right="617" w:firstLine="710"/>
        <w:jc w:val="both"/>
        <w:rPr>
          <w:sz w:val="28"/>
        </w:rPr>
      </w:pPr>
      <w:r>
        <w:rPr>
          <w:sz w:val="28"/>
        </w:rPr>
        <w:t>Люльчик В.О., Качановський О.І., Булакевич С.В. Застосування геоінформаційних систем у сучасному землеустрої. </w:t>
      </w:r>
      <w:r>
        <w:rPr>
          <w:i/>
          <w:sz w:val="28"/>
        </w:rPr>
        <w:t>Український журнал </w:t>
      </w:r>
      <w:r>
        <w:rPr>
          <w:i/>
          <w:sz w:val="28"/>
        </w:rPr>
        <w:t>прикладної економіки</w:t>
      </w:r>
      <w:r>
        <w:rPr>
          <w:sz w:val="28"/>
        </w:rPr>
        <w:t>. 2017. Т. 2. № 2. С.</w:t>
      </w:r>
      <w:r>
        <w:rPr>
          <w:spacing w:val="15"/>
          <w:sz w:val="28"/>
        </w:rPr>
        <w:t> </w:t>
      </w:r>
      <w:r>
        <w:rPr>
          <w:sz w:val="28"/>
        </w:rPr>
        <w:t>129-137.</w:t>
      </w:r>
    </w:p>
    <w:p>
      <w:pPr>
        <w:pStyle w:val="ListParagraph"/>
        <w:numPr>
          <w:ilvl w:val="0"/>
          <w:numId w:val="26"/>
        </w:numPr>
        <w:tabs>
          <w:tab w:pos="1188" w:val="left" w:leader="none"/>
          <w:tab w:pos="9221" w:val="left" w:leader="none"/>
        </w:tabs>
        <w:spacing w:line="240" w:lineRule="auto" w:before="0" w:after="0"/>
        <w:ind w:left="193" w:right="607" w:firstLine="710"/>
        <w:jc w:val="both"/>
        <w:rPr>
          <w:sz w:val="28"/>
        </w:rPr>
      </w:pPr>
      <w:r>
        <w:rPr>
          <w:sz w:val="28"/>
        </w:rPr>
        <w:t>Русіна Н.Г., Люльчик В.О. </w:t>
      </w:r>
      <w:hyperlink r:id="rId108">
        <w:r>
          <w:rPr>
            <w:sz w:val="28"/>
          </w:rPr>
          <w:t>Програмне забезпечення геодезичних</w:t>
        </w:r>
      </w:hyperlink>
      <w:hyperlink r:id="rId108">
        <w:r>
          <w:rPr>
            <w:sz w:val="28"/>
          </w:rPr>
          <w:t> розрахунків у землеустрої</w:t>
        </w:r>
      </w:hyperlink>
      <w:r>
        <w:rPr>
          <w:sz w:val="28"/>
        </w:rPr>
        <w:t>. </w:t>
      </w:r>
      <w:r>
        <w:rPr>
          <w:i/>
          <w:sz w:val="28"/>
        </w:rPr>
        <w:t>Вчені записки Таврійського нац. ун-ту ім. В.І. </w:t>
      </w:r>
      <w:r>
        <w:rPr>
          <w:i/>
          <w:sz w:val="28"/>
        </w:rPr>
        <w:t>Вернадського</w:t>
      </w:r>
      <w:r>
        <w:rPr>
          <w:sz w:val="28"/>
        </w:rPr>
        <w:t>. 2019. Том 30 (69) Ч. 2 № 1. С. 156-160. URL:</w:t>
      </w:r>
      <w:hyperlink r:id="rId108">
        <w:r>
          <w:rPr>
            <w:sz w:val="28"/>
          </w:rPr>
          <w:t> http://tech.vernadskyjournals.in.ua/journals/2019/1_2019/part_2/29.pdf.</w:t>
        </w:r>
      </w:hyperlink>
      <w:r>
        <w:rPr>
          <w:sz w:val="28"/>
        </w:rPr>
        <w:tab/>
        <w:t>(дата звернення:</w:t>
      </w:r>
      <w:r>
        <w:rPr>
          <w:spacing w:val="-5"/>
          <w:sz w:val="28"/>
        </w:rPr>
        <w:t> </w:t>
      </w:r>
      <w:r>
        <w:rPr>
          <w:sz w:val="28"/>
        </w:rPr>
        <w:t>27.12.2019)</w:t>
      </w:r>
    </w:p>
    <w:p>
      <w:pPr>
        <w:pStyle w:val="ListParagraph"/>
        <w:numPr>
          <w:ilvl w:val="0"/>
          <w:numId w:val="26"/>
        </w:numPr>
        <w:tabs>
          <w:tab w:pos="1188" w:val="left" w:leader="none"/>
        </w:tabs>
        <w:spacing w:line="240" w:lineRule="auto" w:before="2" w:after="0"/>
        <w:ind w:left="193" w:right="607" w:firstLine="710"/>
        <w:jc w:val="both"/>
        <w:rPr>
          <w:sz w:val="28"/>
        </w:rPr>
      </w:pPr>
      <w:r>
        <w:rPr>
          <w:sz w:val="28"/>
        </w:rPr>
        <w:t>Бахчеван Е.В., Данько Т.О. Цифрова трансформація економіки. </w:t>
      </w:r>
      <w:r>
        <w:rPr>
          <w:i/>
          <w:sz w:val="28"/>
        </w:rPr>
        <w:t>Моделі </w:t>
      </w:r>
      <w:r>
        <w:rPr>
          <w:i/>
          <w:sz w:val="28"/>
        </w:rPr>
        <w:t>розвитку</w:t>
      </w:r>
      <w:r>
        <w:rPr>
          <w:i/>
          <w:spacing w:val="-9"/>
          <w:sz w:val="28"/>
        </w:rPr>
        <w:t> </w:t>
      </w:r>
      <w:r>
        <w:rPr>
          <w:i/>
          <w:sz w:val="28"/>
        </w:rPr>
        <w:t>економіки:</w:t>
      </w:r>
      <w:r>
        <w:rPr>
          <w:i/>
          <w:spacing w:val="-11"/>
          <w:sz w:val="28"/>
        </w:rPr>
        <w:t> </w:t>
      </w:r>
      <w:r>
        <w:rPr>
          <w:i/>
          <w:sz w:val="28"/>
        </w:rPr>
        <w:t>новітні</w:t>
      </w:r>
      <w:r>
        <w:rPr>
          <w:i/>
          <w:spacing w:val="-10"/>
          <w:sz w:val="28"/>
        </w:rPr>
        <w:t> </w:t>
      </w:r>
      <w:r>
        <w:rPr>
          <w:i/>
          <w:sz w:val="28"/>
        </w:rPr>
        <w:t>технології</w:t>
      </w:r>
      <w:r>
        <w:rPr>
          <w:i/>
          <w:spacing w:val="-6"/>
          <w:sz w:val="28"/>
        </w:rPr>
        <w:t> </w:t>
      </w:r>
      <w:r>
        <w:rPr>
          <w:i/>
          <w:sz w:val="28"/>
        </w:rPr>
        <w:t>в</w:t>
      </w:r>
      <w:r>
        <w:rPr>
          <w:i/>
          <w:spacing w:val="-9"/>
          <w:sz w:val="28"/>
        </w:rPr>
        <w:t> </w:t>
      </w:r>
      <w:r>
        <w:rPr>
          <w:i/>
          <w:sz w:val="28"/>
        </w:rPr>
        <w:t>менеджменті,</w:t>
      </w:r>
      <w:r>
        <w:rPr>
          <w:i/>
          <w:spacing w:val="-7"/>
          <w:sz w:val="28"/>
        </w:rPr>
        <w:t> </w:t>
      </w:r>
      <w:r>
        <w:rPr>
          <w:i/>
          <w:sz w:val="28"/>
        </w:rPr>
        <w:t>обліку</w:t>
      </w:r>
      <w:r>
        <w:rPr>
          <w:i/>
          <w:spacing w:val="-8"/>
          <w:sz w:val="28"/>
        </w:rPr>
        <w:t> </w:t>
      </w:r>
      <w:r>
        <w:rPr>
          <w:i/>
          <w:sz w:val="28"/>
        </w:rPr>
        <w:t>та</w:t>
      </w:r>
      <w:r>
        <w:rPr>
          <w:i/>
          <w:spacing w:val="-9"/>
          <w:sz w:val="28"/>
        </w:rPr>
        <w:t> </w:t>
      </w:r>
      <w:r>
        <w:rPr>
          <w:i/>
          <w:sz w:val="28"/>
        </w:rPr>
        <w:t>фінансах:</w:t>
      </w:r>
      <w:r>
        <w:rPr>
          <w:i/>
          <w:spacing w:val="-1"/>
          <w:sz w:val="28"/>
        </w:rPr>
        <w:t> </w:t>
      </w:r>
      <w:r>
        <w:rPr>
          <w:sz w:val="28"/>
        </w:rPr>
        <w:t>Зб. наук. праць за матеріалами ВНПК. 22.11.2019. С. 32-34. URL:</w:t>
      </w:r>
      <w:hyperlink r:id="rId109">
        <w:r>
          <w:rPr>
            <w:sz w:val="28"/>
          </w:rPr>
          <w:t> http://www.otei.odessa.ua/ </w:t>
        </w:r>
      </w:hyperlink>
      <w:r>
        <w:rPr>
          <w:sz w:val="28"/>
        </w:rPr>
        <w:t>(дата звернення:</w:t>
      </w:r>
      <w:r>
        <w:rPr>
          <w:spacing w:val="1"/>
          <w:sz w:val="28"/>
        </w:rPr>
        <w:t> </w:t>
      </w:r>
      <w:r>
        <w:rPr>
          <w:sz w:val="28"/>
        </w:rPr>
        <w:t>19.12.2019)</w:t>
      </w:r>
    </w:p>
    <w:p>
      <w:pPr>
        <w:pStyle w:val="ListParagraph"/>
        <w:numPr>
          <w:ilvl w:val="0"/>
          <w:numId w:val="26"/>
        </w:numPr>
        <w:tabs>
          <w:tab w:pos="1188" w:val="left" w:leader="none"/>
        </w:tabs>
        <w:spacing w:line="240" w:lineRule="auto" w:before="0" w:after="0"/>
        <w:ind w:left="193" w:right="610" w:firstLine="710"/>
        <w:jc w:val="both"/>
        <w:rPr>
          <w:sz w:val="28"/>
        </w:rPr>
      </w:pPr>
      <w:r>
        <w:rPr>
          <w:sz w:val="28"/>
        </w:rPr>
        <w:t>Артемов В.О., Бахчеван Е.В. Данько Т.О. Тенденції розвитку електронної</w:t>
      </w:r>
      <w:r>
        <w:rPr>
          <w:spacing w:val="-16"/>
          <w:sz w:val="28"/>
        </w:rPr>
        <w:t> </w:t>
      </w:r>
      <w:r>
        <w:rPr>
          <w:sz w:val="28"/>
        </w:rPr>
        <w:t>комерції</w:t>
      </w:r>
      <w:r>
        <w:rPr>
          <w:spacing w:val="-13"/>
          <w:sz w:val="28"/>
        </w:rPr>
        <w:t> </w:t>
      </w:r>
      <w:r>
        <w:rPr>
          <w:sz w:val="28"/>
        </w:rPr>
        <w:t>в</w:t>
      </w:r>
      <w:r>
        <w:rPr>
          <w:spacing w:val="-13"/>
          <w:sz w:val="28"/>
        </w:rPr>
        <w:t> </w:t>
      </w:r>
      <w:r>
        <w:rPr>
          <w:sz w:val="28"/>
        </w:rPr>
        <w:t>Україні.</w:t>
      </w:r>
      <w:r>
        <w:rPr>
          <w:spacing w:val="-5"/>
          <w:sz w:val="28"/>
        </w:rPr>
        <w:t> </w:t>
      </w:r>
      <w:r>
        <w:rPr>
          <w:i/>
          <w:sz w:val="28"/>
        </w:rPr>
        <w:t>Наук.</w:t>
      </w:r>
      <w:r>
        <w:rPr>
          <w:i/>
          <w:spacing w:val="-10"/>
          <w:sz w:val="28"/>
        </w:rPr>
        <w:t> </w:t>
      </w:r>
      <w:r>
        <w:rPr>
          <w:i/>
          <w:sz w:val="28"/>
        </w:rPr>
        <w:t>вісник</w:t>
      </w:r>
      <w:r>
        <w:rPr>
          <w:i/>
          <w:spacing w:val="-12"/>
          <w:sz w:val="28"/>
        </w:rPr>
        <w:t> </w:t>
      </w:r>
      <w:r>
        <w:rPr>
          <w:i/>
          <w:sz w:val="28"/>
        </w:rPr>
        <w:t>Одеського</w:t>
      </w:r>
      <w:r>
        <w:rPr>
          <w:i/>
          <w:spacing w:val="-12"/>
          <w:sz w:val="28"/>
        </w:rPr>
        <w:t> </w:t>
      </w:r>
      <w:r>
        <w:rPr>
          <w:i/>
          <w:sz w:val="28"/>
        </w:rPr>
        <w:t>нац.</w:t>
      </w:r>
      <w:r>
        <w:rPr>
          <w:i/>
          <w:spacing w:val="-9"/>
          <w:sz w:val="28"/>
        </w:rPr>
        <w:t> </w:t>
      </w:r>
      <w:r>
        <w:rPr>
          <w:i/>
          <w:sz w:val="28"/>
        </w:rPr>
        <w:t>екон.</w:t>
      </w:r>
      <w:r>
        <w:rPr>
          <w:i/>
          <w:spacing w:val="-9"/>
          <w:sz w:val="28"/>
        </w:rPr>
        <w:t> </w:t>
      </w:r>
      <w:r>
        <w:rPr>
          <w:i/>
          <w:sz w:val="28"/>
        </w:rPr>
        <w:t>ун-ту.</w:t>
      </w:r>
      <w:r>
        <w:rPr>
          <w:i/>
          <w:spacing w:val="-8"/>
          <w:sz w:val="28"/>
        </w:rPr>
        <w:t> </w:t>
      </w:r>
      <w:r>
        <w:rPr>
          <w:sz w:val="28"/>
        </w:rPr>
        <w:t>2018.</w:t>
      </w:r>
      <w:r>
        <w:rPr>
          <w:spacing w:val="-10"/>
          <w:sz w:val="28"/>
        </w:rPr>
        <w:t> </w:t>
      </w:r>
      <w:r>
        <w:rPr>
          <w:sz w:val="28"/>
        </w:rPr>
        <w:t>№</w:t>
      </w:r>
    </w:p>
    <w:p>
      <w:pPr>
        <w:pStyle w:val="BodyText"/>
        <w:ind w:right="610"/>
      </w:pPr>
      <w:r>
        <w:rPr/>
        <w:t>10 (262). С. 13-35. URL: </w:t>
      </w:r>
      <w:hyperlink r:id="rId110">
        <w:r>
          <w:rPr/>
          <w:t>http://n-visnik.oneu.edu.ua/collections/2018/262/pdf/13-</w:t>
        </w:r>
      </w:hyperlink>
      <w:r>
        <w:rPr/>
        <w:t> 35.pdf.</w:t>
      </w:r>
    </w:p>
    <w:p>
      <w:pPr>
        <w:pStyle w:val="ListParagraph"/>
        <w:numPr>
          <w:ilvl w:val="0"/>
          <w:numId w:val="26"/>
        </w:numPr>
        <w:tabs>
          <w:tab w:pos="1188" w:val="left" w:leader="none"/>
        </w:tabs>
        <w:spacing w:line="242" w:lineRule="auto" w:before="0" w:after="0"/>
        <w:ind w:left="193" w:right="622" w:firstLine="710"/>
        <w:jc w:val="both"/>
        <w:rPr>
          <w:sz w:val="28"/>
        </w:rPr>
      </w:pPr>
      <w:r>
        <w:rPr>
          <w:sz w:val="28"/>
        </w:rPr>
        <w:t>Мовчан Т.В. Прогнозні моделі управління в галузі використання та охорони земельних ресурсів на регіональному рівні : монографія. Одеса. 2010. 178с.</w:t>
      </w:r>
    </w:p>
    <w:p>
      <w:pPr>
        <w:pStyle w:val="ListParagraph"/>
        <w:numPr>
          <w:ilvl w:val="0"/>
          <w:numId w:val="26"/>
        </w:numPr>
        <w:tabs>
          <w:tab w:pos="1188" w:val="left" w:leader="none"/>
        </w:tabs>
        <w:spacing w:line="240" w:lineRule="auto" w:before="0" w:after="0"/>
        <w:ind w:left="193" w:right="606" w:firstLine="710"/>
        <w:jc w:val="both"/>
        <w:rPr>
          <w:sz w:val="28"/>
        </w:rPr>
      </w:pPr>
      <w:r>
        <w:rPr>
          <w:sz w:val="28"/>
        </w:rPr>
        <w:t>Україна 2030Е - країна з розвинутою цифровою економікою. </w:t>
      </w:r>
      <w:r>
        <w:rPr>
          <w:spacing w:val="3"/>
          <w:sz w:val="28"/>
        </w:rPr>
        <w:t>URL: </w:t>
      </w:r>
      <w:r>
        <w:rPr>
          <w:sz w:val="28"/>
        </w:rPr>
        <w:t>https://strategy.uifuture.org/kraina-z-rozvinutoyu-cifrovoyu-ekonomikoyu.html.</w:t>
      </w:r>
      <w:r>
        <w:rPr>
          <w:spacing w:val="-32"/>
          <w:sz w:val="28"/>
        </w:rPr>
        <w:t> </w:t>
      </w:r>
      <w:r>
        <w:rPr>
          <w:sz w:val="28"/>
        </w:rPr>
        <w:t>(дата звернення:</w:t>
      </w:r>
      <w:r>
        <w:rPr>
          <w:spacing w:val="-5"/>
          <w:sz w:val="28"/>
        </w:rPr>
        <w:t> </w:t>
      </w:r>
      <w:r>
        <w:rPr>
          <w:sz w:val="28"/>
        </w:rPr>
        <w:t>19.12.2019)</w:t>
      </w:r>
    </w:p>
    <w:p>
      <w:pPr>
        <w:pStyle w:val="BodyText"/>
        <w:spacing w:before="7"/>
        <w:ind w:left="0"/>
        <w:jc w:val="left"/>
        <w:rPr>
          <w:sz w:val="27"/>
        </w:rPr>
      </w:pPr>
    </w:p>
    <w:p>
      <w:pPr>
        <w:pStyle w:val="Heading1"/>
        <w:ind w:left="2455" w:right="628" w:hanging="1528"/>
        <w:jc w:val="left"/>
      </w:pPr>
      <w:r>
        <w:rPr/>
        <w:t>ПРИНЦИПЫ ЦИФРОВОЙ ТРАНСФОРМАЦИИ И ВНЕДРЕНИЕ ЕЕ В ГЕОДЕЗИИ И ЗЕМЛЕУСТРОЙСТВЕ</w:t>
      </w:r>
    </w:p>
    <w:p>
      <w:pPr>
        <w:pStyle w:val="BodyText"/>
        <w:spacing w:line="316" w:lineRule="exact"/>
        <w:ind w:left="2555"/>
      </w:pPr>
      <w:r>
        <w:rPr/>
        <w:t>Артемов В., Мовчан Т., Бахчеван Е., Данько Т.</w:t>
      </w:r>
    </w:p>
    <w:p>
      <w:pPr>
        <w:spacing w:line="240" w:lineRule="auto" w:before="0"/>
        <w:ind w:left="193" w:right="614" w:firstLine="710"/>
        <w:jc w:val="both"/>
        <w:rPr>
          <w:i/>
          <w:sz w:val="28"/>
        </w:rPr>
      </w:pPr>
      <w:r>
        <w:rPr>
          <w:i/>
          <w:sz w:val="28"/>
        </w:rPr>
        <w:t>Исследовано современное состояние цифровой трансформации в</w:t>
      </w:r>
      <w:r>
        <w:rPr>
          <w:i/>
          <w:spacing w:val="-47"/>
          <w:sz w:val="28"/>
        </w:rPr>
        <w:t> </w:t>
      </w:r>
      <w:r>
        <w:rPr>
          <w:i/>
          <w:sz w:val="28"/>
        </w:rPr>
        <w:t>Украине </w:t>
      </w:r>
      <w:r>
        <w:rPr>
          <w:i/>
          <w:sz w:val="28"/>
        </w:rPr>
        <w:t>и принципы внедрения в геодезии и землеустройстве. Определена взаимосвязь развития и подготовки профессиональных кадров, максимально ориентированных на реальные потребности IТ-индустрии страны. Сформулирован</w:t>
      </w:r>
      <w:r>
        <w:rPr>
          <w:i/>
          <w:spacing w:val="-19"/>
          <w:sz w:val="28"/>
        </w:rPr>
        <w:t> </w:t>
      </w:r>
      <w:r>
        <w:rPr>
          <w:i/>
          <w:sz w:val="28"/>
        </w:rPr>
        <w:t>запуск</w:t>
      </w:r>
      <w:r>
        <w:rPr>
          <w:i/>
          <w:spacing w:val="-19"/>
          <w:sz w:val="28"/>
        </w:rPr>
        <w:t> </w:t>
      </w:r>
      <w:r>
        <w:rPr>
          <w:i/>
          <w:sz w:val="28"/>
        </w:rPr>
        <w:t>технологии</w:t>
      </w:r>
      <w:r>
        <w:rPr>
          <w:i/>
          <w:spacing w:val="-18"/>
          <w:sz w:val="28"/>
        </w:rPr>
        <w:t> </w:t>
      </w:r>
      <w:r>
        <w:rPr>
          <w:i/>
          <w:sz w:val="28"/>
        </w:rPr>
        <w:t>в</w:t>
      </w:r>
      <w:r>
        <w:rPr>
          <w:i/>
          <w:spacing w:val="-20"/>
          <w:sz w:val="28"/>
        </w:rPr>
        <w:t> </w:t>
      </w:r>
      <w:r>
        <w:rPr>
          <w:i/>
          <w:sz w:val="28"/>
        </w:rPr>
        <w:t>2020</w:t>
      </w:r>
      <w:r>
        <w:rPr>
          <w:i/>
          <w:spacing w:val="-18"/>
          <w:sz w:val="28"/>
        </w:rPr>
        <w:t> </w:t>
      </w:r>
      <w:r>
        <w:rPr>
          <w:i/>
          <w:sz w:val="28"/>
        </w:rPr>
        <w:t>году.</w:t>
      </w:r>
      <w:r>
        <w:rPr>
          <w:i/>
          <w:spacing w:val="-16"/>
          <w:sz w:val="28"/>
        </w:rPr>
        <w:t> </w:t>
      </w:r>
      <w:r>
        <w:rPr>
          <w:i/>
          <w:sz w:val="28"/>
        </w:rPr>
        <w:t>Прослежена</w:t>
      </w:r>
      <w:r>
        <w:rPr>
          <w:i/>
          <w:spacing w:val="-19"/>
          <w:sz w:val="28"/>
        </w:rPr>
        <w:t> </w:t>
      </w:r>
      <w:r>
        <w:rPr>
          <w:i/>
          <w:sz w:val="28"/>
        </w:rPr>
        <w:t>концепция</w:t>
      </w:r>
      <w:r>
        <w:rPr>
          <w:i/>
          <w:spacing w:val="-18"/>
          <w:sz w:val="28"/>
        </w:rPr>
        <w:t> </w:t>
      </w:r>
      <w:r>
        <w:rPr>
          <w:i/>
          <w:sz w:val="28"/>
        </w:rPr>
        <w:t>развития цифровой экономики и общества нашего государства и проанализирована прогнозная доля цифровой экономики в ВВП 2030. Проанализированы особенности внедрения цифровой трансформации в геодезии, картографии, землеустройстве и кадастре, связанные с использованием ГИС-технологий, предназначенных для выполнения задач по сохранению информации о земельных участках, построения топографических планов, создания формализованных отчетных документов. Освещены основные проблемы и принципы, которые тормозят развитие цифровой трансформации в Украине. Приведены идеи по развитию и совершенствованию отечественного рынка цифровой трансформации.</w:t>
      </w:r>
    </w:p>
    <w:p>
      <w:pPr>
        <w:spacing w:before="1"/>
        <w:ind w:left="193" w:right="617" w:firstLine="710"/>
        <w:jc w:val="both"/>
        <w:rPr>
          <w:i/>
          <w:sz w:val="28"/>
        </w:rPr>
      </w:pPr>
      <w:r>
        <w:rPr>
          <w:b/>
          <w:i/>
          <w:sz w:val="28"/>
        </w:rPr>
        <w:t>Ключевые слова</w:t>
      </w:r>
      <w:r>
        <w:rPr>
          <w:i/>
          <w:sz w:val="28"/>
        </w:rPr>
        <w:t>: цифровая трансформация, цифровизация, принципы </w:t>
      </w:r>
      <w:r>
        <w:rPr>
          <w:i/>
          <w:sz w:val="28"/>
        </w:rPr>
        <w:t>цифровизации,</w:t>
      </w:r>
      <w:r>
        <w:rPr>
          <w:i/>
          <w:spacing w:val="-11"/>
          <w:sz w:val="28"/>
        </w:rPr>
        <w:t> </w:t>
      </w:r>
      <w:r>
        <w:rPr>
          <w:i/>
          <w:sz w:val="28"/>
        </w:rPr>
        <w:t>геодезия,</w:t>
      </w:r>
      <w:r>
        <w:rPr>
          <w:i/>
          <w:spacing w:val="-10"/>
          <w:sz w:val="28"/>
        </w:rPr>
        <w:t> </w:t>
      </w:r>
      <w:r>
        <w:rPr>
          <w:i/>
          <w:sz w:val="28"/>
        </w:rPr>
        <w:t>ГИС,</w:t>
      </w:r>
      <w:r>
        <w:rPr>
          <w:i/>
          <w:spacing w:val="-15"/>
          <w:sz w:val="28"/>
        </w:rPr>
        <w:t> </w:t>
      </w:r>
      <w:r>
        <w:rPr>
          <w:i/>
          <w:sz w:val="28"/>
        </w:rPr>
        <w:t>землеустройство,</w:t>
      </w:r>
      <w:r>
        <w:rPr>
          <w:i/>
          <w:spacing w:val="-11"/>
          <w:sz w:val="28"/>
        </w:rPr>
        <w:t> </w:t>
      </w:r>
      <w:r>
        <w:rPr>
          <w:i/>
          <w:sz w:val="28"/>
        </w:rPr>
        <w:t>кадастр,</w:t>
      </w:r>
      <w:r>
        <w:rPr>
          <w:i/>
          <w:spacing w:val="-10"/>
          <w:sz w:val="28"/>
        </w:rPr>
        <w:t> </w:t>
      </w:r>
      <w:r>
        <w:rPr>
          <w:i/>
          <w:sz w:val="28"/>
        </w:rPr>
        <w:t>KPI</w:t>
      </w:r>
      <w:r>
        <w:rPr>
          <w:i/>
          <w:spacing w:val="-10"/>
          <w:sz w:val="28"/>
        </w:rPr>
        <w:t> </w:t>
      </w:r>
      <w:r>
        <w:rPr>
          <w:i/>
          <w:sz w:val="28"/>
        </w:rPr>
        <w:t>(Key</w:t>
      </w:r>
      <w:r>
        <w:rPr>
          <w:i/>
          <w:spacing w:val="-8"/>
          <w:sz w:val="28"/>
        </w:rPr>
        <w:t> </w:t>
      </w:r>
      <w:r>
        <w:rPr>
          <w:i/>
          <w:sz w:val="28"/>
        </w:rPr>
        <w:t>Performance Indicator), Госгеокадастр (Государственная служба по вопросам</w:t>
      </w:r>
      <w:r>
        <w:rPr>
          <w:i/>
          <w:spacing w:val="67"/>
          <w:sz w:val="28"/>
        </w:rPr>
        <w:t> </w:t>
      </w:r>
      <w:r>
        <w:rPr>
          <w:i/>
          <w:sz w:val="28"/>
        </w:rPr>
        <w:t>геодезии,</w:t>
      </w:r>
    </w:p>
    <w:p>
      <w:pPr>
        <w:spacing w:after="0"/>
        <w:jc w:val="both"/>
        <w:rPr>
          <w:sz w:val="28"/>
        </w:rPr>
        <w:sectPr>
          <w:pgSz w:w="11910" w:h="16840"/>
          <w:pgMar w:header="713" w:footer="778" w:top="1140" w:bottom="960" w:left="940" w:right="520"/>
        </w:sectPr>
      </w:pPr>
    </w:p>
    <w:p>
      <w:pPr>
        <w:spacing w:before="92"/>
        <w:ind w:left="193" w:right="0" w:firstLine="0"/>
        <w:jc w:val="left"/>
        <w:rPr>
          <w:i/>
          <w:sz w:val="28"/>
        </w:rPr>
      </w:pPr>
      <w:r>
        <w:rPr>
          <w:i/>
          <w:sz w:val="28"/>
        </w:rPr>
        <w:t>картографии и кадастра).</w:t>
      </w:r>
    </w:p>
    <w:p>
      <w:pPr>
        <w:pStyle w:val="BodyText"/>
        <w:spacing w:before="3"/>
        <w:ind w:left="0"/>
        <w:jc w:val="left"/>
        <w:rPr>
          <w:i/>
        </w:rPr>
      </w:pPr>
    </w:p>
    <w:p>
      <w:pPr>
        <w:pStyle w:val="Heading1"/>
        <w:spacing w:before="1"/>
        <w:ind w:left="903" w:right="1018" w:firstLine="418"/>
        <w:jc w:val="left"/>
      </w:pPr>
      <w:r>
        <w:rPr/>
        <w:t>THE PRINCIPLES OF DIGITAL TRANSFORMATION AND ITS IMPLEMENTATION IN GEODESY AND LAND MANAGEMENT</w:t>
      </w:r>
    </w:p>
    <w:p>
      <w:pPr>
        <w:pStyle w:val="BodyText"/>
        <w:spacing w:line="317" w:lineRule="exact"/>
        <w:ind w:left="2431"/>
      </w:pPr>
      <w:r>
        <w:rPr/>
        <w:t>Artemov V., Movchan T., Bakhchevan E., Danko T.</w:t>
      </w:r>
    </w:p>
    <w:p>
      <w:pPr>
        <w:spacing w:line="240" w:lineRule="auto" w:before="4"/>
        <w:ind w:left="193" w:right="606" w:firstLine="710"/>
        <w:jc w:val="both"/>
        <w:rPr>
          <w:i/>
          <w:sz w:val="28"/>
        </w:rPr>
      </w:pPr>
      <w:r>
        <w:rPr>
          <w:i/>
          <w:sz w:val="28"/>
        </w:rPr>
        <w:t>The article investigates the current state </w:t>
      </w:r>
      <w:r>
        <w:rPr>
          <w:i/>
          <w:spacing w:val="-3"/>
          <w:sz w:val="28"/>
        </w:rPr>
        <w:t>of </w:t>
      </w:r>
      <w:r>
        <w:rPr>
          <w:i/>
          <w:sz w:val="28"/>
        </w:rPr>
        <w:t>digital transformation in Ukraine, </w:t>
      </w:r>
      <w:r>
        <w:rPr>
          <w:i/>
          <w:sz w:val="28"/>
        </w:rPr>
        <w:t>forms its main components and formulates the basic principles of its implementation in geodesy and land management. The relationship between the development and training of professional staff, focused on the real needs of the country's IT industry is determined. The Launch of technology in 2020 is formulated. The pitfall of digital transformation</w:t>
      </w:r>
      <w:r>
        <w:rPr>
          <w:i/>
          <w:spacing w:val="-7"/>
          <w:sz w:val="28"/>
        </w:rPr>
        <w:t> </w:t>
      </w:r>
      <w:r>
        <w:rPr>
          <w:i/>
          <w:sz w:val="28"/>
        </w:rPr>
        <w:t>of</w:t>
      </w:r>
      <w:r>
        <w:rPr>
          <w:i/>
          <w:spacing w:val="-7"/>
          <w:sz w:val="28"/>
        </w:rPr>
        <w:t> </w:t>
      </w:r>
      <w:r>
        <w:rPr>
          <w:i/>
          <w:sz w:val="28"/>
        </w:rPr>
        <w:t>the</w:t>
      </w:r>
      <w:r>
        <w:rPr>
          <w:i/>
          <w:spacing w:val="-6"/>
          <w:sz w:val="28"/>
        </w:rPr>
        <w:t> </w:t>
      </w:r>
      <w:r>
        <w:rPr>
          <w:i/>
          <w:sz w:val="28"/>
        </w:rPr>
        <w:t>Ukrainian</w:t>
      </w:r>
      <w:r>
        <w:rPr>
          <w:i/>
          <w:spacing w:val="-5"/>
          <w:sz w:val="28"/>
        </w:rPr>
        <w:t> </w:t>
      </w:r>
      <w:r>
        <w:rPr>
          <w:i/>
          <w:sz w:val="28"/>
        </w:rPr>
        <w:t>economy</w:t>
      </w:r>
      <w:r>
        <w:rPr>
          <w:i/>
          <w:spacing w:val="-5"/>
          <w:sz w:val="28"/>
        </w:rPr>
        <w:t> </w:t>
      </w:r>
      <w:r>
        <w:rPr>
          <w:i/>
          <w:sz w:val="28"/>
        </w:rPr>
        <w:t>such</w:t>
      </w:r>
      <w:r>
        <w:rPr>
          <w:i/>
          <w:spacing w:val="-6"/>
          <w:sz w:val="28"/>
        </w:rPr>
        <w:t> </w:t>
      </w:r>
      <w:r>
        <w:rPr>
          <w:i/>
          <w:sz w:val="28"/>
        </w:rPr>
        <w:t>as</w:t>
      </w:r>
      <w:r>
        <w:rPr>
          <w:i/>
          <w:spacing w:val="-4"/>
          <w:sz w:val="28"/>
        </w:rPr>
        <w:t> </w:t>
      </w:r>
      <w:r>
        <w:rPr>
          <w:i/>
          <w:sz w:val="28"/>
        </w:rPr>
        <w:t>rising</w:t>
      </w:r>
      <w:r>
        <w:rPr>
          <w:i/>
          <w:spacing w:val="-5"/>
          <w:sz w:val="28"/>
        </w:rPr>
        <w:t> </w:t>
      </w:r>
      <w:r>
        <w:rPr>
          <w:i/>
          <w:sz w:val="28"/>
        </w:rPr>
        <w:t>unemployment</w:t>
      </w:r>
      <w:r>
        <w:rPr>
          <w:i/>
          <w:spacing w:val="-7"/>
          <w:sz w:val="28"/>
        </w:rPr>
        <w:t> </w:t>
      </w:r>
      <w:r>
        <w:rPr>
          <w:i/>
          <w:sz w:val="28"/>
        </w:rPr>
        <w:t>in</w:t>
      </w:r>
      <w:r>
        <w:rPr>
          <w:i/>
          <w:spacing w:val="-7"/>
          <w:sz w:val="28"/>
        </w:rPr>
        <w:t> </w:t>
      </w:r>
      <w:r>
        <w:rPr>
          <w:i/>
          <w:sz w:val="28"/>
        </w:rPr>
        <w:t>the</w:t>
      </w:r>
      <w:r>
        <w:rPr>
          <w:i/>
          <w:spacing w:val="-6"/>
          <w:sz w:val="28"/>
        </w:rPr>
        <w:t> </w:t>
      </w:r>
      <w:r>
        <w:rPr>
          <w:i/>
          <w:sz w:val="28"/>
        </w:rPr>
        <w:t>future</w:t>
      </w:r>
      <w:r>
        <w:rPr>
          <w:i/>
          <w:spacing w:val="-5"/>
          <w:sz w:val="28"/>
        </w:rPr>
        <w:t> </w:t>
      </w:r>
      <w:r>
        <w:rPr>
          <w:i/>
          <w:sz w:val="28"/>
        </w:rPr>
        <w:t>is mentioned and the positive side of digitalization such as increased labor productivity and</w:t>
      </w:r>
      <w:r>
        <w:rPr>
          <w:i/>
          <w:spacing w:val="-12"/>
          <w:sz w:val="28"/>
        </w:rPr>
        <w:t> </w:t>
      </w:r>
      <w:r>
        <w:rPr>
          <w:i/>
          <w:sz w:val="28"/>
        </w:rPr>
        <w:t>the</w:t>
      </w:r>
      <w:r>
        <w:rPr>
          <w:i/>
          <w:spacing w:val="-11"/>
          <w:sz w:val="28"/>
        </w:rPr>
        <w:t> </w:t>
      </w:r>
      <w:r>
        <w:rPr>
          <w:i/>
          <w:sz w:val="28"/>
        </w:rPr>
        <w:t>expansion</w:t>
      </w:r>
      <w:r>
        <w:rPr>
          <w:i/>
          <w:spacing w:val="-11"/>
          <w:sz w:val="28"/>
        </w:rPr>
        <w:t> </w:t>
      </w:r>
      <w:r>
        <w:rPr>
          <w:i/>
          <w:sz w:val="28"/>
        </w:rPr>
        <w:t>of</w:t>
      </w:r>
      <w:r>
        <w:rPr>
          <w:i/>
          <w:spacing w:val="-12"/>
          <w:sz w:val="28"/>
        </w:rPr>
        <w:t> </w:t>
      </w:r>
      <w:r>
        <w:rPr>
          <w:i/>
          <w:sz w:val="28"/>
        </w:rPr>
        <w:t>new</w:t>
      </w:r>
      <w:r>
        <w:rPr>
          <w:i/>
          <w:spacing w:val="-19"/>
          <w:sz w:val="28"/>
        </w:rPr>
        <w:t> </w:t>
      </w:r>
      <w:r>
        <w:rPr>
          <w:i/>
          <w:sz w:val="28"/>
        </w:rPr>
        <w:t>demanded</w:t>
      </w:r>
      <w:r>
        <w:rPr>
          <w:i/>
          <w:spacing w:val="-11"/>
          <w:sz w:val="28"/>
        </w:rPr>
        <w:t> </w:t>
      </w:r>
      <w:r>
        <w:rPr>
          <w:i/>
          <w:sz w:val="28"/>
        </w:rPr>
        <w:t>professions</w:t>
      </w:r>
      <w:r>
        <w:rPr>
          <w:i/>
          <w:spacing w:val="-10"/>
          <w:sz w:val="28"/>
        </w:rPr>
        <w:t> </w:t>
      </w:r>
      <w:r>
        <w:rPr>
          <w:i/>
          <w:sz w:val="28"/>
        </w:rPr>
        <w:t>is</w:t>
      </w:r>
      <w:r>
        <w:rPr>
          <w:i/>
          <w:spacing w:val="-10"/>
          <w:sz w:val="28"/>
        </w:rPr>
        <w:t> </w:t>
      </w:r>
      <w:r>
        <w:rPr>
          <w:i/>
          <w:sz w:val="28"/>
        </w:rPr>
        <w:t>noted.</w:t>
      </w:r>
      <w:r>
        <w:rPr>
          <w:i/>
          <w:spacing w:val="-3"/>
          <w:sz w:val="28"/>
        </w:rPr>
        <w:t> </w:t>
      </w:r>
      <w:r>
        <w:rPr>
          <w:i/>
          <w:sz w:val="28"/>
        </w:rPr>
        <w:t>The</w:t>
      </w:r>
      <w:r>
        <w:rPr>
          <w:i/>
          <w:spacing w:val="-10"/>
          <w:sz w:val="28"/>
        </w:rPr>
        <w:t> </w:t>
      </w:r>
      <w:r>
        <w:rPr>
          <w:i/>
          <w:sz w:val="28"/>
        </w:rPr>
        <w:t>concepts</w:t>
      </w:r>
      <w:r>
        <w:rPr>
          <w:i/>
          <w:spacing w:val="-10"/>
          <w:sz w:val="28"/>
        </w:rPr>
        <w:t> </w:t>
      </w:r>
      <w:r>
        <w:rPr>
          <w:i/>
          <w:sz w:val="28"/>
        </w:rPr>
        <w:t>of</w:t>
      </w:r>
      <w:r>
        <w:rPr>
          <w:i/>
          <w:spacing w:val="-12"/>
          <w:sz w:val="28"/>
        </w:rPr>
        <w:t> </w:t>
      </w:r>
      <w:r>
        <w:rPr>
          <w:i/>
          <w:sz w:val="28"/>
        </w:rPr>
        <w:t>development of</w:t>
      </w:r>
      <w:r>
        <w:rPr>
          <w:i/>
          <w:spacing w:val="-13"/>
          <w:sz w:val="28"/>
        </w:rPr>
        <w:t> </w:t>
      </w:r>
      <w:r>
        <w:rPr>
          <w:i/>
          <w:sz w:val="28"/>
        </w:rPr>
        <w:t>the</w:t>
      </w:r>
      <w:r>
        <w:rPr>
          <w:i/>
          <w:spacing w:val="-11"/>
          <w:sz w:val="28"/>
        </w:rPr>
        <w:t> </w:t>
      </w:r>
      <w:r>
        <w:rPr>
          <w:i/>
          <w:sz w:val="28"/>
        </w:rPr>
        <w:t>digital</w:t>
      </w:r>
      <w:r>
        <w:rPr>
          <w:i/>
          <w:spacing w:val="-12"/>
          <w:sz w:val="28"/>
        </w:rPr>
        <w:t> </w:t>
      </w:r>
      <w:r>
        <w:rPr>
          <w:i/>
          <w:sz w:val="28"/>
        </w:rPr>
        <w:t>economy</w:t>
      </w:r>
      <w:r>
        <w:rPr>
          <w:i/>
          <w:spacing w:val="-10"/>
          <w:sz w:val="28"/>
        </w:rPr>
        <w:t> </w:t>
      </w:r>
      <w:r>
        <w:rPr>
          <w:i/>
          <w:sz w:val="28"/>
        </w:rPr>
        <w:t>and</w:t>
      </w:r>
      <w:r>
        <w:rPr>
          <w:i/>
          <w:spacing w:val="-11"/>
          <w:sz w:val="28"/>
        </w:rPr>
        <w:t> </w:t>
      </w:r>
      <w:r>
        <w:rPr>
          <w:i/>
          <w:sz w:val="28"/>
        </w:rPr>
        <w:t>Ukrainian</w:t>
      </w:r>
      <w:r>
        <w:rPr>
          <w:i/>
          <w:spacing w:val="-12"/>
          <w:sz w:val="28"/>
        </w:rPr>
        <w:t> </w:t>
      </w:r>
      <w:r>
        <w:rPr>
          <w:i/>
          <w:sz w:val="28"/>
        </w:rPr>
        <w:t>society</w:t>
      </w:r>
      <w:r>
        <w:rPr>
          <w:i/>
          <w:spacing w:val="-10"/>
          <w:sz w:val="28"/>
        </w:rPr>
        <w:t> </w:t>
      </w:r>
      <w:r>
        <w:rPr>
          <w:i/>
          <w:sz w:val="28"/>
        </w:rPr>
        <w:t>have</w:t>
      </w:r>
      <w:r>
        <w:rPr>
          <w:i/>
          <w:spacing w:val="-10"/>
          <w:sz w:val="28"/>
        </w:rPr>
        <w:t> </w:t>
      </w:r>
      <w:r>
        <w:rPr>
          <w:i/>
          <w:sz w:val="28"/>
        </w:rPr>
        <w:t>been</w:t>
      </w:r>
      <w:r>
        <w:rPr>
          <w:i/>
          <w:spacing w:val="-16"/>
          <w:sz w:val="28"/>
        </w:rPr>
        <w:t> </w:t>
      </w:r>
      <w:r>
        <w:rPr>
          <w:i/>
          <w:sz w:val="28"/>
        </w:rPr>
        <w:t>traced</w:t>
      </w:r>
      <w:r>
        <w:rPr>
          <w:i/>
          <w:spacing w:val="-11"/>
          <w:sz w:val="28"/>
        </w:rPr>
        <w:t> </w:t>
      </w:r>
      <w:r>
        <w:rPr>
          <w:i/>
          <w:sz w:val="28"/>
        </w:rPr>
        <w:t>and</w:t>
      </w:r>
      <w:r>
        <w:rPr>
          <w:i/>
          <w:spacing w:val="-12"/>
          <w:sz w:val="28"/>
        </w:rPr>
        <w:t> </w:t>
      </w:r>
      <w:r>
        <w:rPr>
          <w:i/>
          <w:sz w:val="28"/>
        </w:rPr>
        <w:t>the</w:t>
      </w:r>
      <w:r>
        <w:rPr>
          <w:i/>
          <w:spacing w:val="-15"/>
          <w:sz w:val="28"/>
        </w:rPr>
        <w:t> </w:t>
      </w:r>
      <w:r>
        <w:rPr>
          <w:i/>
          <w:sz w:val="28"/>
        </w:rPr>
        <w:t>estimated</w:t>
      </w:r>
      <w:r>
        <w:rPr>
          <w:i/>
          <w:spacing w:val="-11"/>
          <w:sz w:val="28"/>
        </w:rPr>
        <w:t> </w:t>
      </w:r>
      <w:r>
        <w:rPr>
          <w:i/>
          <w:sz w:val="28"/>
        </w:rPr>
        <w:t>share of the digital economy in </w:t>
      </w:r>
      <w:r>
        <w:rPr>
          <w:i/>
          <w:spacing w:val="3"/>
          <w:sz w:val="28"/>
        </w:rPr>
        <w:t>GDP </w:t>
      </w:r>
      <w:r>
        <w:rPr>
          <w:i/>
          <w:sz w:val="28"/>
        </w:rPr>
        <w:t>2030E has been analyzed. The idea of digital transformation in creating a personalized, individual offer and delivering it to the consumer in a convenient way is considered. Their combination allows to track and analyze the customer experience at all points of presence and interaction with the company.</w:t>
      </w:r>
      <w:r>
        <w:rPr>
          <w:i/>
          <w:spacing w:val="-5"/>
          <w:sz w:val="28"/>
        </w:rPr>
        <w:t> </w:t>
      </w:r>
      <w:r>
        <w:rPr>
          <w:i/>
          <w:sz w:val="28"/>
        </w:rPr>
        <w:t>The</w:t>
      </w:r>
      <w:r>
        <w:rPr>
          <w:i/>
          <w:spacing w:val="-8"/>
          <w:sz w:val="28"/>
        </w:rPr>
        <w:t> </w:t>
      </w:r>
      <w:r>
        <w:rPr>
          <w:i/>
          <w:sz w:val="28"/>
        </w:rPr>
        <w:t>forecasted</w:t>
      </w:r>
      <w:r>
        <w:rPr>
          <w:i/>
          <w:spacing w:val="-12"/>
          <w:sz w:val="28"/>
        </w:rPr>
        <w:t> </w:t>
      </w:r>
      <w:r>
        <w:rPr>
          <w:i/>
          <w:sz w:val="28"/>
        </w:rPr>
        <w:t>KPI</w:t>
      </w:r>
      <w:r>
        <w:rPr>
          <w:i/>
          <w:spacing w:val="-10"/>
          <w:sz w:val="28"/>
        </w:rPr>
        <w:t> </w:t>
      </w:r>
      <w:r>
        <w:rPr>
          <w:i/>
          <w:sz w:val="28"/>
        </w:rPr>
        <w:t>dynamics</w:t>
      </w:r>
      <w:r>
        <w:rPr>
          <w:i/>
          <w:spacing w:val="-6"/>
          <w:sz w:val="28"/>
        </w:rPr>
        <w:t> </w:t>
      </w:r>
      <w:r>
        <w:rPr>
          <w:i/>
          <w:sz w:val="28"/>
        </w:rPr>
        <w:t>of</w:t>
      </w:r>
      <w:r>
        <w:rPr>
          <w:i/>
          <w:spacing w:val="-8"/>
          <w:sz w:val="28"/>
        </w:rPr>
        <w:t> </w:t>
      </w:r>
      <w:r>
        <w:rPr>
          <w:i/>
          <w:sz w:val="28"/>
        </w:rPr>
        <w:t>ICT</w:t>
      </w:r>
      <w:r>
        <w:rPr>
          <w:i/>
          <w:spacing w:val="-10"/>
          <w:sz w:val="28"/>
        </w:rPr>
        <w:t> </w:t>
      </w:r>
      <w:r>
        <w:rPr>
          <w:i/>
          <w:sz w:val="28"/>
        </w:rPr>
        <w:t>consumption</w:t>
      </w:r>
      <w:r>
        <w:rPr>
          <w:i/>
          <w:spacing w:val="-8"/>
          <w:sz w:val="28"/>
        </w:rPr>
        <w:t> </w:t>
      </w:r>
      <w:r>
        <w:rPr>
          <w:i/>
          <w:sz w:val="28"/>
        </w:rPr>
        <w:t>on</w:t>
      </w:r>
      <w:r>
        <w:rPr>
          <w:i/>
          <w:spacing w:val="-8"/>
          <w:sz w:val="28"/>
        </w:rPr>
        <w:t> </w:t>
      </w:r>
      <w:r>
        <w:rPr>
          <w:i/>
          <w:sz w:val="28"/>
        </w:rPr>
        <w:t>the</w:t>
      </w:r>
      <w:r>
        <w:rPr>
          <w:i/>
          <w:spacing w:val="-8"/>
          <w:sz w:val="28"/>
        </w:rPr>
        <w:t> </w:t>
      </w:r>
      <w:r>
        <w:rPr>
          <w:i/>
          <w:sz w:val="28"/>
        </w:rPr>
        <w:t>domestic</w:t>
      </w:r>
      <w:r>
        <w:rPr>
          <w:i/>
          <w:spacing w:val="-7"/>
          <w:sz w:val="28"/>
        </w:rPr>
        <w:t> </w:t>
      </w:r>
      <w:r>
        <w:rPr>
          <w:i/>
          <w:sz w:val="28"/>
        </w:rPr>
        <w:t>market</w:t>
      </w:r>
      <w:r>
        <w:rPr>
          <w:i/>
          <w:spacing w:val="-9"/>
          <w:sz w:val="28"/>
        </w:rPr>
        <w:t> </w:t>
      </w:r>
      <w:r>
        <w:rPr>
          <w:i/>
          <w:sz w:val="28"/>
        </w:rPr>
        <w:t>in 2021-2030 is provided. It is substantiated that digitalization will not completely replace the surveyor's manual work, such as equipment setup and manual processing of data obtained using modern technologies for creation of topographic surveys that meet requirements of regulatory documents. It is noted that in the coming years we wouldn’t expect full automation of any processes, because even robotic geodetic instruments</w:t>
      </w:r>
      <w:r>
        <w:rPr>
          <w:i/>
          <w:spacing w:val="-17"/>
          <w:sz w:val="28"/>
        </w:rPr>
        <w:t> </w:t>
      </w:r>
      <w:r>
        <w:rPr>
          <w:i/>
          <w:sz w:val="28"/>
        </w:rPr>
        <w:t>and</w:t>
      </w:r>
      <w:r>
        <w:rPr>
          <w:i/>
          <w:spacing w:val="-17"/>
          <w:sz w:val="28"/>
        </w:rPr>
        <w:t> </w:t>
      </w:r>
      <w:r>
        <w:rPr>
          <w:i/>
          <w:sz w:val="28"/>
        </w:rPr>
        <w:t>equipment</w:t>
      </w:r>
      <w:r>
        <w:rPr>
          <w:i/>
          <w:spacing w:val="-18"/>
          <w:sz w:val="28"/>
        </w:rPr>
        <w:t> </w:t>
      </w:r>
      <w:r>
        <w:rPr>
          <w:i/>
          <w:sz w:val="28"/>
        </w:rPr>
        <w:t>for</w:t>
      </w:r>
      <w:r>
        <w:rPr>
          <w:i/>
          <w:spacing w:val="-16"/>
          <w:sz w:val="28"/>
        </w:rPr>
        <w:t> </w:t>
      </w:r>
      <w:r>
        <w:rPr>
          <w:i/>
          <w:sz w:val="28"/>
        </w:rPr>
        <w:t>land</w:t>
      </w:r>
      <w:r>
        <w:rPr>
          <w:i/>
          <w:spacing w:val="-22"/>
          <w:sz w:val="28"/>
        </w:rPr>
        <w:t> </w:t>
      </w:r>
      <w:r>
        <w:rPr>
          <w:i/>
          <w:sz w:val="28"/>
        </w:rPr>
        <w:t>surveyors</w:t>
      </w:r>
      <w:r>
        <w:rPr>
          <w:i/>
          <w:spacing w:val="-20"/>
          <w:sz w:val="28"/>
        </w:rPr>
        <w:t> </w:t>
      </w:r>
      <w:r>
        <w:rPr>
          <w:i/>
          <w:sz w:val="28"/>
        </w:rPr>
        <w:t>require</w:t>
      </w:r>
      <w:r>
        <w:rPr>
          <w:i/>
          <w:spacing w:val="-17"/>
          <w:sz w:val="28"/>
        </w:rPr>
        <w:t> </w:t>
      </w:r>
      <w:r>
        <w:rPr>
          <w:i/>
          <w:sz w:val="28"/>
        </w:rPr>
        <w:t>the</w:t>
      </w:r>
      <w:r>
        <w:rPr>
          <w:i/>
          <w:spacing w:val="-21"/>
          <w:sz w:val="28"/>
        </w:rPr>
        <w:t> </w:t>
      </w:r>
      <w:r>
        <w:rPr>
          <w:i/>
          <w:sz w:val="28"/>
        </w:rPr>
        <w:t>participation</w:t>
      </w:r>
      <w:r>
        <w:rPr>
          <w:i/>
          <w:spacing w:val="-17"/>
          <w:sz w:val="28"/>
        </w:rPr>
        <w:t> </w:t>
      </w:r>
      <w:r>
        <w:rPr>
          <w:i/>
          <w:sz w:val="28"/>
        </w:rPr>
        <w:t>of</w:t>
      </w:r>
      <w:r>
        <w:rPr>
          <w:i/>
          <w:spacing w:val="-17"/>
          <w:sz w:val="28"/>
        </w:rPr>
        <w:t> </w:t>
      </w:r>
      <w:r>
        <w:rPr>
          <w:i/>
          <w:sz w:val="28"/>
        </w:rPr>
        <w:t>the</w:t>
      </w:r>
      <w:r>
        <w:rPr>
          <w:i/>
          <w:spacing w:val="-17"/>
          <w:sz w:val="28"/>
        </w:rPr>
        <w:t> </w:t>
      </w:r>
      <w:r>
        <w:rPr>
          <w:i/>
          <w:sz w:val="28"/>
        </w:rPr>
        <w:t>operator. It is considered the digitalization of land relations which requires the organization of the preservation of the information about the all land plots of the country. There were analyzed the peculiarities of the implementation of the digital transformation in geodesy, cartography, land management related, in particular, with the using of </w:t>
      </w:r>
      <w:r>
        <w:rPr>
          <w:i/>
          <w:spacing w:val="3"/>
          <w:sz w:val="28"/>
        </w:rPr>
        <w:t>GIS </w:t>
      </w:r>
      <w:r>
        <w:rPr>
          <w:i/>
          <w:sz w:val="28"/>
        </w:rPr>
        <w:t>technologies, for the fulfillment of tasks on the preservation of the information about the land plots, of the construction of topographic plans, of the creation of formalized reporting</w:t>
      </w:r>
      <w:r>
        <w:rPr>
          <w:i/>
          <w:spacing w:val="-17"/>
          <w:sz w:val="28"/>
        </w:rPr>
        <w:t> </w:t>
      </w:r>
      <w:r>
        <w:rPr>
          <w:i/>
          <w:sz w:val="28"/>
        </w:rPr>
        <w:t>documents.</w:t>
      </w:r>
      <w:r>
        <w:rPr>
          <w:i/>
          <w:spacing w:val="-15"/>
          <w:sz w:val="28"/>
        </w:rPr>
        <w:t> </w:t>
      </w:r>
      <w:r>
        <w:rPr>
          <w:i/>
          <w:sz w:val="28"/>
        </w:rPr>
        <w:t>Emphasis</w:t>
      </w:r>
      <w:r>
        <w:rPr>
          <w:i/>
          <w:spacing w:val="-15"/>
          <w:sz w:val="28"/>
        </w:rPr>
        <w:t> </w:t>
      </w:r>
      <w:r>
        <w:rPr>
          <w:i/>
          <w:sz w:val="28"/>
        </w:rPr>
        <w:t>is</w:t>
      </w:r>
      <w:r>
        <w:rPr>
          <w:i/>
          <w:spacing w:val="-16"/>
          <w:sz w:val="28"/>
        </w:rPr>
        <w:t> </w:t>
      </w:r>
      <w:r>
        <w:rPr>
          <w:i/>
          <w:sz w:val="28"/>
        </w:rPr>
        <w:t>placed</w:t>
      </w:r>
      <w:r>
        <w:rPr>
          <w:i/>
          <w:spacing w:val="-16"/>
          <w:sz w:val="28"/>
        </w:rPr>
        <w:t> </w:t>
      </w:r>
      <w:r>
        <w:rPr>
          <w:i/>
          <w:sz w:val="28"/>
        </w:rPr>
        <w:t>on</w:t>
      </w:r>
      <w:r>
        <w:rPr>
          <w:i/>
          <w:spacing w:val="-12"/>
          <w:sz w:val="28"/>
        </w:rPr>
        <w:t> </w:t>
      </w:r>
      <w:r>
        <w:rPr>
          <w:i/>
          <w:sz w:val="28"/>
        </w:rPr>
        <w:t>the</w:t>
      </w:r>
      <w:r>
        <w:rPr>
          <w:i/>
          <w:spacing w:val="-15"/>
          <w:sz w:val="28"/>
        </w:rPr>
        <w:t> </w:t>
      </w:r>
      <w:r>
        <w:rPr>
          <w:i/>
          <w:sz w:val="28"/>
        </w:rPr>
        <w:t>using</w:t>
      </w:r>
      <w:r>
        <w:rPr>
          <w:i/>
          <w:spacing w:val="-17"/>
          <w:sz w:val="28"/>
        </w:rPr>
        <w:t> </w:t>
      </w:r>
      <w:r>
        <w:rPr>
          <w:i/>
          <w:sz w:val="28"/>
        </w:rPr>
        <w:t>the</w:t>
      </w:r>
      <w:r>
        <w:rPr>
          <w:i/>
          <w:spacing w:val="-15"/>
          <w:sz w:val="28"/>
        </w:rPr>
        <w:t> </w:t>
      </w:r>
      <w:r>
        <w:rPr>
          <w:i/>
          <w:sz w:val="28"/>
        </w:rPr>
        <w:t>GIS</w:t>
      </w:r>
      <w:r>
        <w:rPr>
          <w:i/>
          <w:spacing w:val="-17"/>
          <w:sz w:val="28"/>
        </w:rPr>
        <w:t> </w:t>
      </w:r>
      <w:r>
        <w:rPr>
          <w:i/>
          <w:sz w:val="28"/>
        </w:rPr>
        <w:t>technologies</w:t>
      </w:r>
      <w:r>
        <w:rPr>
          <w:i/>
          <w:spacing w:val="-13"/>
          <w:sz w:val="28"/>
        </w:rPr>
        <w:t> </w:t>
      </w:r>
      <w:r>
        <w:rPr>
          <w:i/>
          <w:sz w:val="28"/>
        </w:rPr>
        <w:t>in</w:t>
      </w:r>
      <w:r>
        <w:rPr>
          <w:i/>
          <w:spacing w:val="-9"/>
          <w:sz w:val="28"/>
        </w:rPr>
        <w:t> </w:t>
      </w:r>
      <w:r>
        <w:rPr>
          <w:i/>
          <w:sz w:val="28"/>
        </w:rPr>
        <w:t>geodesy, land management and cadaster, which is to use the most used software in land management enterprises of the Odessa region: GIS 6, Digitals, AutoCad.It is determined to remain geodesy and land management in the list of modern required specialties, it is necessary to radically change its structure and content and turn surveyors into IT specialists.In the future there is a study of the development of artificial intelligence and automation of processes in the field of geodesy and land management.</w:t>
      </w:r>
    </w:p>
    <w:p>
      <w:pPr>
        <w:spacing w:before="0"/>
        <w:ind w:left="193" w:right="617" w:firstLine="710"/>
        <w:jc w:val="both"/>
        <w:rPr>
          <w:i/>
          <w:sz w:val="28"/>
        </w:rPr>
      </w:pPr>
      <w:r>
        <w:rPr>
          <w:b/>
          <w:i/>
          <w:sz w:val="28"/>
        </w:rPr>
        <w:t>Key words</w:t>
      </w:r>
      <w:r>
        <w:rPr>
          <w:i/>
          <w:sz w:val="28"/>
        </w:rPr>
        <w:t>: digital transformation, digitalization, principles of digitalization, </w:t>
      </w:r>
      <w:r>
        <w:rPr>
          <w:i/>
          <w:sz w:val="28"/>
        </w:rPr>
        <w:t>geodesy, GIS, land management, cadastre, KPI (Key Performance Indicator), StateGeoCadastre (The State Service of Ukraine for Geodesy, Cartography and Cadastre).</w:t>
      </w:r>
    </w:p>
    <w:p>
      <w:pPr>
        <w:spacing w:after="0"/>
        <w:jc w:val="both"/>
        <w:rPr>
          <w:sz w:val="28"/>
        </w:rPr>
        <w:sectPr>
          <w:pgSz w:w="11910" w:h="16840"/>
          <w:pgMar w:header="713" w:footer="778" w:top="1140" w:bottom="960" w:left="940" w:right="520"/>
        </w:sectPr>
      </w:pPr>
    </w:p>
    <w:p>
      <w:pPr>
        <w:pStyle w:val="Heading1"/>
        <w:tabs>
          <w:tab w:pos="5148" w:val="left" w:leader="none"/>
        </w:tabs>
        <w:spacing w:before="96"/>
        <w:ind w:right="0"/>
        <w:jc w:val="both"/>
      </w:pPr>
      <w:r>
        <w:rPr/>
        <w:t>УДК:</w:t>
      </w:r>
      <w:r>
        <w:rPr>
          <w:spacing w:val="-3"/>
        </w:rPr>
        <w:t> </w:t>
      </w:r>
      <w:r>
        <w:rPr/>
        <w:t>3.083.1:636.09-051</w:t>
        <w:tab/>
        <w:t>DOI: 10.37000/abbsl.2020.96.17</w:t>
      </w:r>
    </w:p>
    <w:p>
      <w:pPr>
        <w:pStyle w:val="BodyText"/>
        <w:spacing w:before="11"/>
        <w:ind w:left="0"/>
        <w:jc w:val="left"/>
        <w:rPr>
          <w:b/>
          <w:sz w:val="27"/>
        </w:rPr>
      </w:pPr>
    </w:p>
    <w:p>
      <w:pPr>
        <w:spacing w:before="0"/>
        <w:ind w:left="182" w:right="603" w:firstLine="0"/>
        <w:jc w:val="center"/>
        <w:rPr>
          <w:b/>
          <w:sz w:val="28"/>
        </w:rPr>
      </w:pPr>
      <w:r>
        <w:rPr>
          <w:b/>
          <w:sz w:val="28"/>
        </w:rPr>
        <w:t>ФОРМУВАННЯ ПРОФЕСІЙНО-ЕТИЧНОЇ КОМПЕТЕНТНОСТІ У МАЙБУТНІХ ЛІКАРІВ ВЕТЕРИНАРНОЇ МЕДИЦИНИ З</w:t>
      </w:r>
    </w:p>
    <w:p>
      <w:pPr>
        <w:spacing w:before="0"/>
        <w:ind w:left="183" w:right="603" w:firstLine="0"/>
        <w:jc w:val="center"/>
        <w:rPr>
          <w:b/>
          <w:sz w:val="28"/>
        </w:rPr>
      </w:pPr>
      <w:r>
        <w:rPr>
          <w:b/>
          <w:sz w:val="28"/>
        </w:rPr>
        <w:t>ЗАСТОСУВАННЯМ МЕТОДУ «СИМВОЛДРАМИ»</w:t>
      </w:r>
    </w:p>
    <w:p>
      <w:pPr>
        <w:spacing w:line="319" w:lineRule="exact" w:before="4"/>
        <w:ind w:left="736" w:right="603" w:firstLine="0"/>
        <w:jc w:val="center"/>
        <w:rPr>
          <w:b/>
          <w:sz w:val="28"/>
        </w:rPr>
      </w:pPr>
      <w:r>
        <w:rPr>
          <w:b/>
          <w:sz w:val="28"/>
        </w:rPr>
        <w:t>А. Ногінська, І. Федорова</w:t>
      </w:r>
    </w:p>
    <w:p>
      <w:pPr>
        <w:spacing w:line="319" w:lineRule="exact" w:before="0"/>
        <w:ind w:left="742" w:right="603" w:firstLine="0"/>
        <w:jc w:val="center"/>
        <w:rPr>
          <w:i/>
          <w:sz w:val="28"/>
        </w:rPr>
      </w:pPr>
      <w:r>
        <w:rPr>
          <w:i/>
          <w:sz w:val="28"/>
        </w:rPr>
        <w:t>Одеський державний аграрний університет</w:t>
      </w:r>
    </w:p>
    <w:p>
      <w:pPr>
        <w:pStyle w:val="BodyText"/>
        <w:ind w:left="0"/>
        <w:jc w:val="left"/>
        <w:rPr>
          <w:i/>
        </w:rPr>
      </w:pPr>
    </w:p>
    <w:p>
      <w:pPr>
        <w:spacing w:before="0"/>
        <w:ind w:left="193" w:right="617" w:firstLine="710"/>
        <w:jc w:val="both"/>
        <w:rPr>
          <w:i/>
          <w:sz w:val="28"/>
        </w:rPr>
      </w:pPr>
      <w:r>
        <w:rPr>
          <w:i/>
          <w:sz w:val="28"/>
        </w:rPr>
        <w:t>Авторами статті зроблено спробу дослідити рівень формування </w:t>
      </w:r>
      <w:r>
        <w:rPr>
          <w:i/>
          <w:sz w:val="28"/>
        </w:rPr>
        <w:t>професійно-етичної</w:t>
      </w:r>
      <w:r>
        <w:rPr>
          <w:i/>
          <w:spacing w:val="-18"/>
          <w:sz w:val="28"/>
        </w:rPr>
        <w:t> </w:t>
      </w:r>
      <w:r>
        <w:rPr>
          <w:i/>
          <w:sz w:val="28"/>
        </w:rPr>
        <w:t>компетентності</w:t>
      </w:r>
      <w:r>
        <w:rPr>
          <w:i/>
          <w:spacing w:val="-16"/>
          <w:sz w:val="28"/>
        </w:rPr>
        <w:t> </w:t>
      </w:r>
      <w:r>
        <w:rPr>
          <w:i/>
          <w:sz w:val="28"/>
        </w:rPr>
        <w:t>майбутніх</w:t>
      </w:r>
      <w:r>
        <w:rPr>
          <w:i/>
          <w:spacing w:val="-15"/>
          <w:sz w:val="28"/>
        </w:rPr>
        <w:t> </w:t>
      </w:r>
      <w:r>
        <w:rPr>
          <w:i/>
          <w:sz w:val="28"/>
        </w:rPr>
        <w:t>лікарів</w:t>
      </w:r>
      <w:r>
        <w:rPr>
          <w:i/>
          <w:spacing w:val="-13"/>
          <w:sz w:val="28"/>
        </w:rPr>
        <w:t> </w:t>
      </w:r>
      <w:r>
        <w:rPr>
          <w:i/>
          <w:sz w:val="28"/>
        </w:rPr>
        <w:t>ветеринарної</w:t>
      </w:r>
      <w:r>
        <w:rPr>
          <w:i/>
          <w:spacing w:val="-12"/>
          <w:sz w:val="28"/>
        </w:rPr>
        <w:t> </w:t>
      </w:r>
      <w:r>
        <w:rPr>
          <w:i/>
          <w:sz w:val="28"/>
        </w:rPr>
        <w:t>медицини факультету ветеринарної медицини і біотехнологій Одеського державного аграрного</w:t>
      </w:r>
      <w:r>
        <w:rPr>
          <w:i/>
          <w:spacing w:val="18"/>
          <w:sz w:val="28"/>
        </w:rPr>
        <w:t> </w:t>
      </w:r>
      <w:r>
        <w:rPr>
          <w:i/>
          <w:sz w:val="28"/>
        </w:rPr>
        <w:t>університету.</w:t>
      </w:r>
      <w:r>
        <w:rPr>
          <w:i/>
          <w:spacing w:val="20"/>
          <w:sz w:val="28"/>
        </w:rPr>
        <w:t> </w:t>
      </w:r>
      <w:r>
        <w:rPr>
          <w:i/>
          <w:sz w:val="28"/>
        </w:rPr>
        <w:t>Розглянуто</w:t>
      </w:r>
      <w:r>
        <w:rPr>
          <w:i/>
          <w:spacing w:val="19"/>
          <w:sz w:val="28"/>
        </w:rPr>
        <w:t> </w:t>
      </w:r>
      <w:r>
        <w:rPr>
          <w:i/>
          <w:sz w:val="28"/>
        </w:rPr>
        <w:t>теоретичні</w:t>
      </w:r>
      <w:r>
        <w:rPr>
          <w:i/>
          <w:spacing w:val="18"/>
          <w:sz w:val="28"/>
        </w:rPr>
        <w:t> </w:t>
      </w:r>
      <w:r>
        <w:rPr>
          <w:i/>
          <w:sz w:val="28"/>
        </w:rPr>
        <w:t>аспекти</w:t>
      </w:r>
      <w:r>
        <w:rPr>
          <w:i/>
          <w:spacing w:val="19"/>
          <w:sz w:val="28"/>
        </w:rPr>
        <w:t> </w:t>
      </w:r>
      <w:r>
        <w:rPr>
          <w:i/>
          <w:sz w:val="28"/>
        </w:rPr>
        <w:t>значення</w:t>
      </w:r>
      <w:r>
        <w:rPr>
          <w:i/>
          <w:spacing w:val="13"/>
          <w:sz w:val="28"/>
        </w:rPr>
        <w:t> </w:t>
      </w:r>
      <w:r>
        <w:rPr>
          <w:i/>
          <w:sz w:val="28"/>
        </w:rPr>
        <w:t>понять</w:t>
      </w:r>
    </w:p>
    <w:p>
      <w:pPr>
        <w:spacing w:line="240" w:lineRule="auto" w:before="0"/>
        <w:ind w:left="193" w:right="607" w:firstLine="0"/>
        <w:jc w:val="both"/>
        <w:rPr>
          <w:i/>
          <w:sz w:val="28"/>
        </w:rPr>
      </w:pPr>
      <w:r>
        <w:rPr>
          <w:i/>
          <w:sz w:val="28"/>
        </w:rPr>
        <w:t>«компетенція», «компетентність», «професійно-етична компетентність». </w:t>
      </w:r>
      <w:r>
        <w:rPr>
          <w:i/>
          <w:sz w:val="28"/>
        </w:rPr>
        <w:t>Опрацьовано дослідження наукової спільноти у галузі медичної освіти, проблем психології</w:t>
      </w:r>
      <w:r>
        <w:rPr>
          <w:i/>
          <w:spacing w:val="-15"/>
          <w:sz w:val="28"/>
        </w:rPr>
        <w:t> </w:t>
      </w:r>
      <w:r>
        <w:rPr>
          <w:i/>
          <w:sz w:val="28"/>
        </w:rPr>
        <w:t>у</w:t>
      </w:r>
      <w:r>
        <w:rPr>
          <w:i/>
          <w:spacing w:val="-14"/>
          <w:sz w:val="28"/>
        </w:rPr>
        <w:t> </w:t>
      </w:r>
      <w:r>
        <w:rPr>
          <w:i/>
          <w:sz w:val="28"/>
        </w:rPr>
        <w:t>медичній</w:t>
      </w:r>
      <w:r>
        <w:rPr>
          <w:i/>
          <w:spacing w:val="-14"/>
          <w:sz w:val="28"/>
        </w:rPr>
        <w:t> </w:t>
      </w:r>
      <w:r>
        <w:rPr>
          <w:i/>
          <w:sz w:val="28"/>
        </w:rPr>
        <w:t>освіті,</w:t>
      </w:r>
      <w:r>
        <w:rPr>
          <w:i/>
          <w:spacing w:val="-14"/>
          <w:sz w:val="28"/>
        </w:rPr>
        <w:t> </w:t>
      </w:r>
      <w:r>
        <w:rPr>
          <w:i/>
          <w:sz w:val="28"/>
        </w:rPr>
        <w:t>компетенцій</w:t>
      </w:r>
      <w:r>
        <w:rPr>
          <w:i/>
          <w:spacing w:val="-14"/>
          <w:sz w:val="28"/>
        </w:rPr>
        <w:t> </w:t>
      </w:r>
      <w:r>
        <w:rPr>
          <w:i/>
          <w:sz w:val="28"/>
        </w:rPr>
        <w:t>особистісного</w:t>
      </w:r>
      <w:r>
        <w:rPr>
          <w:i/>
          <w:spacing w:val="-14"/>
          <w:sz w:val="28"/>
        </w:rPr>
        <w:t> </w:t>
      </w:r>
      <w:r>
        <w:rPr>
          <w:i/>
          <w:sz w:val="28"/>
        </w:rPr>
        <w:t>професійного</w:t>
      </w:r>
      <w:r>
        <w:rPr>
          <w:i/>
          <w:spacing w:val="-14"/>
          <w:sz w:val="28"/>
        </w:rPr>
        <w:t> </w:t>
      </w:r>
      <w:r>
        <w:rPr>
          <w:i/>
          <w:sz w:val="28"/>
        </w:rPr>
        <w:t>розвитку лікаря, формування професійно-етичної компетентності та професійно важливих якостей лікаря ветеринарної медицини. Проаналізовано стан формування сучасного етичного комплексу лікаря ветеринарної медицини. Цей аспект є вкрай необхідним у ході формування професійних компетентностей майбутнього лікаря ветеринарної медицини, навчальної діяльності та практичної підготовки під час навчання за спеціальності 211 Ветеринарна медицина в Одеському державному аграрному університеті. Автори приділили увагу формуванню моральних аспектів здобувачів вищої освіти ОДАУ, які базуються, в першу чергу, на загальноприйнятих цінностях, суспільній думці та особистих переконаннях студентів. На основі моральних аспектів починає формуватися професійно-етична компетентність майбутнього лікаря ветеринарної медицини, який навчається в ОДАУ. Розроблено анкети з тестовими питаннями з метою перевірки сформованості професійно-етичної компетентності майбутніх лікарів ветеринарної медицини, що навчаються в ОДАУ.</w:t>
      </w:r>
      <w:r>
        <w:rPr>
          <w:i/>
          <w:spacing w:val="-8"/>
          <w:sz w:val="28"/>
        </w:rPr>
        <w:t> </w:t>
      </w:r>
      <w:r>
        <w:rPr>
          <w:i/>
          <w:sz w:val="28"/>
        </w:rPr>
        <w:t>Основну</w:t>
      </w:r>
      <w:r>
        <w:rPr>
          <w:i/>
          <w:spacing w:val="-8"/>
          <w:sz w:val="28"/>
        </w:rPr>
        <w:t> </w:t>
      </w:r>
      <w:r>
        <w:rPr>
          <w:i/>
          <w:sz w:val="28"/>
        </w:rPr>
        <w:t>увагу</w:t>
      </w:r>
      <w:r>
        <w:rPr>
          <w:i/>
          <w:spacing w:val="-10"/>
          <w:sz w:val="28"/>
        </w:rPr>
        <w:t> </w:t>
      </w:r>
      <w:r>
        <w:rPr>
          <w:i/>
          <w:sz w:val="28"/>
        </w:rPr>
        <w:t>було</w:t>
      </w:r>
      <w:r>
        <w:rPr>
          <w:i/>
          <w:spacing w:val="-9"/>
          <w:sz w:val="28"/>
        </w:rPr>
        <w:t> </w:t>
      </w:r>
      <w:r>
        <w:rPr>
          <w:i/>
          <w:sz w:val="28"/>
        </w:rPr>
        <w:t>приділено</w:t>
      </w:r>
      <w:r>
        <w:rPr>
          <w:i/>
          <w:spacing w:val="-6"/>
          <w:sz w:val="28"/>
        </w:rPr>
        <w:t> </w:t>
      </w:r>
      <w:r>
        <w:rPr>
          <w:i/>
          <w:sz w:val="28"/>
        </w:rPr>
        <w:t>вмінням</w:t>
      </w:r>
      <w:r>
        <w:rPr>
          <w:i/>
          <w:spacing w:val="-9"/>
          <w:sz w:val="28"/>
        </w:rPr>
        <w:t> </w:t>
      </w:r>
      <w:r>
        <w:rPr>
          <w:i/>
          <w:sz w:val="28"/>
        </w:rPr>
        <w:t>узгоджувати</w:t>
      </w:r>
      <w:r>
        <w:rPr>
          <w:i/>
          <w:spacing w:val="-10"/>
          <w:sz w:val="28"/>
        </w:rPr>
        <w:t> </w:t>
      </w:r>
      <w:r>
        <w:rPr>
          <w:i/>
          <w:sz w:val="28"/>
        </w:rPr>
        <w:t>власні</w:t>
      </w:r>
      <w:r>
        <w:rPr>
          <w:i/>
          <w:spacing w:val="-10"/>
          <w:sz w:val="28"/>
        </w:rPr>
        <w:t> </w:t>
      </w:r>
      <w:r>
        <w:rPr>
          <w:i/>
          <w:sz w:val="28"/>
        </w:rPr>
        <w:t>інтереси,</w:t>
      </w:r>
      <w:r>
        <w:rPr>
          <w:i/>
          <w:spacing w:val="-7"/>
          <w:sz w:val="28"/>
        </w:rPr>
        <w:t> </w:t>
      </w:r>
      <w:r>
        <w:rPr>
          <w:i/>
          <w:sz w:val="28"/>
        </w:rPr>
        <w:t>цілі, мотиви з вимогами та нормами ветеринарних клінік, що є запорукою становлення фахівця – лікаря ветеринарної медицини. Дослідники дійшли до висновку про те, що потрібно посилити знання здобувачів вищої освіти в галузі ветеринарної медицини з професійної етики лікаря ветеринарної медицини в ході лекцій, семінарів, практичних занять, а також під час практики у ветеринарних клініках та на тваринницьких</w:t>
      </w:r>
      <w:r>
        <w:rPr>
          <w:i/>
          <w:spacing w:val="5"/>
          <w:sz w:val="28"/>
        </w:rPr>
        <w:t> </w:t>
      </w:r>
      <w:r>
        <w:rPr>
          <w:i/>
          <w:sz w:val="28"/>
        </w:rPr>
        <w:t>фермах.</w:t>
      </w:r>
    </w:p>
    <w:p>
      <w:pPr>
        <w:spacing w:before="1"/>
        <w:ind w:left="193" w:right="612" w:firstLine="710"/>
        <w:jc w:val="both"/>
        <w:rPr>
          <w:i/>
          <w:sz w:val="28"/>
        </w:rPr>
      </w:pPr>
      <w:r>
        <w:rPr>
          <w:b/>
          <w:i/>
          <w:sz w:val="28"/>
        </w:rPr>
        <w:t>Ключові слова: </w:t>
      </w:r>
      <w:r>
        <w:rPr>
          <w:i/>
          <w:sz w:val="28"/>
        </w:rPr>
        <w:t>компетенція; професійна етика; професійно-етична </w:t>
      </w:r>
      <w:r>
        <w:rPr>
          <w:i/>
          <w:sz w:val="28"/>
        </w:rPr>
        <w:t>компетентність; лікар ветеринарної медицини; метод «символдрама».</w:t>
      </w:r>
    </w:p>
    <w:p>
      <w:pPr>
        <w:pStyle w:val="BodyText"/>
        <w:spacing w:before="11"/>
        <w:ind w:left="0"/>
        <w:jc w:val="left"/>
        <w:rPr>
          <w:i/>
          <w:sz w:val="27"/>
        </w:rPr>
      </w:pPr>
    </w:p>
    <w:p>
      <w:pPr>
        <w:pStyle w:val="BodyText"/>
        <w:ind w:right="613" w:firstLine="710"/>
      </w:pPr>
      <w:r>
        <w:rPr>
          <w:b/>
        </w:rPr>
        <w:t>Вступ. </w:t>
      </w:r>
      <w:r>
        <w:rPr/>
        <w:t>Серед ключових компетентностей, якими повинен оволодіти майбутній лікар ветеринарної медицини, є професійно-етична компетентність. Вона виступає показником і одночасно результатом професійно-особистісної готовності фахівця до роботи у медичній галузі. Етична компетентність лікаря ветеринарної медицини репрезентує головні регуляції його дій, що</w:t>
      </w:r>
    </w:p>
    <w:p>
      <w:pPr>
        <w:spacing w:after="0"/>
        <w:sectPr>
          <w:pgSz w:w="11910" w:h="16840"/>
          <w:pgMar w:header="713" w:footer="778" w:top="1140" w:bottom="960" w:left="940" w:right="520"/>
        </w:sectPr>
      </w:pPr>
    </w:p>
    <w:p>
      <w:pPr>
        <w:pStyle w:val="BodyText"/>
        <w:spacing w:before="92"/>
        <w:ind w:right="608"/>
      </w:pPr>
      <w:r>
        <w:rPr/>
        <w:t>закріплюються у звичках, традиціях, принципах життя і професійній діяльності, психічних станах, діях, вчинках і професійно важливих особистісних якостях, забезпечує вибір ним свідомої етичної поведінки згідно професійно-етичних норм. Професійно-етична компетентність дає змогу вирішувати професійні завдання, використовуючи знання професійного і життєвого світу, цінностей і нахилів особистості.</w:t>
      </w:r>
    </w:p>
    <w:p>
      <w:pPr>
        <w:pStyle w:val="BodyText"/>
        <w:spacing w:before="3"/>
        <w:ind w:right="620" w:firstLine="782"/>
      </w:pPr>
      <w:r>
        <w:rPr/>
        <w:t>Компетенції – це не просто знання студентів; це знання, які вони можуть застосовувати  </w:t>
      </w:r>
      <w:r>
        <w:rPr>
          <w:spacing w:val="14"/>
        </w:rPr>
        <w:t> </w:t>
      </w:r>
      <w:r>
        <w:rPr/>
        <w:t>на  </w:t>
      </w:r>
      <w:r>
        <w:rPr>
          <w:spacing w:val="16"/>
        </w:rPr>
        <w:t> </w:t>
      </w:r>
      <w:r>
        <w:rPr/>
        <w:t>практиці.  </w:t>
      </w:r>
      <w:r>
        <w:rPr>
          <w:spacing w:val="17"/>
        </w:rPr>
        <w:t> </w:t>
      </w:r>
      <w:r>
        <w:rPr/>
        <w:t>Як  </w:t>
      </w:r>
      <w:r>
        <w:rPr>
          <w:spacing w:val="14"/>
        </w:rPr>
        <w:t> </w:t>
      </w:r>
      <w:r>
        <w:rPr/>
        <w:t>зазначено  </w:t>
      </w:r>
      <w:r>
        <w:rPr>
          <w:spacing w:val="19"/>
        </w:rPr>
        <w:t> </w:t>
      </w:r>
      <w:r>
        <w:rPr/>
        <w:t>у  </w:t>
      </w:r>
      <w:r>
        <w:rPr>
          <w:spacing w:val="11"/>
        </w:rPr>
        <w:t> </w:t>
      </w:r>
      <w:r>
        <w:rPr/>
        <w:t>словнику,  </w:t>
      </w:r>
      <w:r>
        <w:rPr>
          <w:spacing w:val="17"/>
        </w:rPr>
        <w:t> </w:t>
      </w:r>
      <w:r>
        <w:rPr/>
        <w:t>такі  </w:t>
      </w:r>
      <w:r>
        <w:rPr>
          <w:spacing w:val="14"/>
        </w:rPr>
        <w:t> </w:t>
      </w:r>
      <w:r>
        <w:rPr/>
        <w:t>поняття  </w:t>
      </w:r>
      <w:r>
        <w:rPr>
          <w:spacing w:val="16"/>
        </w:rPr>
        <w:t> </w:t>
      </w:r>
      <w:r>
        <w:rPr/>
        <w:t>як</w:t>
      </w:r>
    </w:p>
    <w:p>
      <w:pPr>
        <w:pStyle w:val="BodyText"/>
        <w:spacing w:line="321" w:lineRule="exact"/>
      </w:pPr>
      <w:r>
        <w:rPr/>
        <w:t>«компетенція»   і   «компетентність»   з   латинської   мови   перекладаються </w:t>
      </w:r>
      <w:r>
        <w:rPr>
          <w:spacing w:val="49"/>
        </w:rPr>
        <w:t> </w:t>
      </w:r>
      <w:r>
        <w:rPr/>
        <w:t>як</w:t>
      </w:r>
    </w:p>
    <w:p>
      <w:pPr>
        <w:pStyle w:val="BodyText"/>
        <w:ind w:right="616"/>
      </w:pPr>
      <w:r>
        <w:rPr/>
        <w:t>«досягаю, відповідаю, підходжу». Компетенція – це певне право органу чи особи;</w:t>
      </w:r>
      <w:r>
        <w:rPr>
          <w:spacing w:val="-13"/>
        </w:rPr>
        <w:t> </w:t>
      </w:r>
      <w:r>
        <w:rPr/>
        <w:t>коло</w:t>
      </w:r>
      <w:r>
        <w:rPr>
          <w:spacing w:val="-12"/>
        </w:rPr>
        <w:t> </w:t>
      </w:r>
      <w:r>
        <w:rPr/>
        <w:t>питань,</w:t>
      </w:r>
      <w:r>
        <w:rPr>
          <w:spacing w:val="-9"/>
        </w:rPr>
        <w:t> </w:t>
      </w:r>
      <w:r>
        <w:rPr/>
        <w:t>у</w:t>
      </w:r>
      <w:r>
        <w:rPr>
          <w:spacing w:val="-17"/>
        </w:rPr>
        <w:t> </w:t>
      </w:r>
      <w:r>
        <w:rPr/>
        <w:t>яких</w:t>
      </w:r>
      <w:r>
        <w:rPr>
          <w:spacing w:val="-16"/>
        </w:rPr>
        <w:t> </w:t>
      </w:r>
      <w:r>
        <w:rPr/>
        <w:t>дана</w:t>
      </w:r>
      <w:r>
        <w:rPr>
          <w:spacing w:val="-11"/>
        </w:rPr>
        <w:t> </w:t>
      </w:r>
      <w:r>
        <w:rPr/>
        <w:t>особа</w:t>
      </w:r>
      <w:r>
        <w:rPr>
          <w:spacing w:val="-10"/>
        </w:rPr>
        <w:t> </w:t>
      </w:r>
      <w:r>
        <w:rPr/>
        <w:t>володіє</w:t>
      </w:r>
      <w:r>
        <w:rPr>
          <w:spacing w:val="-12"/>
        </w:rPr>
        <w:t> </w:t>
      </w:r>
      <w:r>
        <w:rPr/>
        <w:t>знаннями</w:t>
      </w:r>
      <w:r>
        <w:rPr>
          <w:spacing w:val="-7"/>
        </w:rPr>
        <w:t> </w:t>
      </w:r>
      <w:r>
        <w:rPr/>
        <w:t>і</w:t>
      </w:r>
      <w:r>
        <w:rPr>
          <w:spacing w:val="-16"/>
        </w:rPr>
        <w:t> </w:t>
      </w:r>
      <w:r>
        <w:rPr/>
        <w:t>досвідом.</w:t>
      </w:r>
      <w:r>
        <w:rPr>
          <w:spacing w:val="-10"/>
        </w:rPr>
        <w:t> </w:t>
      </w:r>
      <w:r>
        <w:rPr/>
        <w:t>У</w:t>
      </w:r>
      <w:r>
        <w:rPr>
          <w:spacing w:val="-12"/>
        </w:rPr>
        <w:t> </w:t>
      </w:r>
      <w:r>
        <w:rPr/>
        <w:t>свою</w:t>
      </w:r>
      <w:r>
        <w:rPr>
          <w:spacing w:val="-13"/>
        </w:rPr>
        <w:t> </w:t>
      </w:r>
      <w:r>
        <w:rPr/>
        <w:t>чергу</w:t>
      </w:r>
    </w:p>
    <w:p>
      <w:pPr>
        <w:pStyle w:val="BodyText"/>
        <w:ind w:right="610"/>
      </w:pPr>
      <w:r>
        <w:rPr/>
        <w:t>«компетентність» – володіння компетенцією, обізнаність з певного питання. Професійно-етична компетентність – це професійна підготовленість і здатність суб’єкта праці до виконання завдань і обов’язків повсякденної діяльності [1, с. 233].</w:t>
      </w:r>
    </w:p>
    <w:p>
      <w:pPr>
        <w:pStyle w:val="BodyText"/>
        <w:tabs>
          <w:tab w:pos="1584" w:val="left" w:leader="none"/>
          <w:tab w:pos="2135" w:val="left" w:leader="none"/>
          <w:tab w:pos="2893" w:val="left" w:leader="none"/>
          <w:tab w:pos="4956" w:val="left" w:leader="none"/>
          <w:tab w:pos="6452" w:val="left" w:leader="none"/>
          <w:tab w:pos="7837" w:val="left" w:leader="none"/>
          <w:tab w:pos="9081" w:val="left" w:leader="none"/>
        </w:tabs>
        <w:ind w:right="607" w:firstLine="710"/>
        <w:jc w:val="right"/>
      </w:pPr>
      <w:r>
        <w:rPr>
          <w:b/>
        </w:rPr>
        <w:t>Аналіз останніх досліджень. </w:t>
      </w:r>
      <w:r>
        <w:rPr/>
        <w:t>У працях сучасних</w:t>
      </w:r>
      <w:r>
        <w:rPr>
          <w:spacing w:val="60"/>
        </w:rPr>
        <w:t> </w:t>
      </w:r>
      <w:r>
        <w:rPr/>
        <w:t>науковців,</w:t>
      </w:r>
      <w:r>
        <w:rPr>
          <w:spacing w:val="12"/>
        </w:rPr>
        <w:t> </w:t>
      </w:r>
      <w:r>
        <w:rPr/>
        <w:t>присвячених</w:t>
      </w:r>
      <w:r>
        <w:rPr>
          <w:w w:val="99"/>
        </w:rPr>
        <w:t> </w:t>
      </w:r>
      <w:r>
        <w:rPr/>
        <w:t>проблемам медичної освіти, розглядаються різні аспекти</w:t>
      </w:r>
      <w:r>
        <w:rPr>
          <w:spacing w:val="-5"/>
        </w:rPr>
        <w:t> </w:t>
      </w:r>
      <w:r>
        <w:rPr/>
        <w:t>проблеми формування</w:t>
      </w:r>
      <w:r>
        <w:rPr>
          <w:w w:val="99"/>
        </w:rPr>
        <w:t> </w:t>
      </w:r>
      <w:r>
        <w:rPr/>
        <w:t>професійно-етичної компетентності, зокрема професійно-важливі</w:t>
      </w:r>
      <w:r>
        <w:rPr>
          <w:spacing w:val="41"/>
        </w:rPr>
        <w:t> </w:t>
      </w:r>
      <w:r>
        <w:rPr/>
        <w:t>якості</w:t>
      </w:r>
      <w:r>
        <w:rPr>
          <w:spacing w:val="29"/>
        </w:rPr>
        <w:t> </w:t>
      </w:r>
      <w:r>
        <w:rPr/>
        <w:t>(В.</w:t>
      </w:r>
      <w:r>
        <w:rPr>
          <w:w w:val="99"/>
        </w:rPr>
        <w:t> </w:t>
      </w:r>
      <w:r>
        <w:rPr/>
        <w:t>Корзунін</w:t>
        <w:tab/>
        <w:t>та</w:t>
        <w:tab/>
        <w:t>ін.),</w:t>
        <w:tab/>
        <w:t>обґрунтування</w:t>
        <w:tab/>
        <w:t>сучасного</w:t>
        <w:tab/>
        <w:t>етичного</w:t>
        <w:tab/>
        <w:t>кодексу</w:t>
        <w:tab/>
      </w:r>
      <w:r>
        <w:rPr>
          <w:w w:val="95"/>
        </w:rPr>
        <w:t>лікаря </w:t>
      </w:r>
      <w:r>
        <w:rPr/>
        <w:t>(С. Вєковшиніна, В. Кулініченко, О. Насінник та ін.),</w:t>
      </w:r>
      <w:r>
        <w:rPr>
          <w:spacing w:val="13"/>
        </w:rPr>
        <w:t> </w:t>
      </w:r>
      <w:r>
        <w:rPr/>
        <w:t>особливості</w:t>
      </w:r>
      <w:r>
        <w:rPr>
          <w:spacing w:val="-3"/>
        </w:rPr>
        <w:t> </w:t>
      </w:r>
      <w:r>
        <w:rPr/>
        <w:t>професійного</w:t>
      </w:r>
      <w:r>
        <w:rPr>
          <w:w w:val="99"/>
        </w:rPr>
        <w:t> </w:t>
      </w:r>
      <w:r>
        <w:rPr/>
        <w:t>особистісного розвитку лікаря </w:t>
      </w:r>
      <w:r>
        <w:rPr>
          <w:spacing w:val="-2"/>
        </w:rPr>
        <w:t>(В. </w:t>
      </w:r>
      <w:r>
        <w:rPr/>
        <w:t>Андронов,І. Гурвич, В. Зайцев,</w:t>
      </w:r>
      <w:r>
        <w:rPr>
          <w:spacing w:val="66"/>
        </w:rPr>
        <w:t> </w:t>
      </w:r>
      <w:r>
        <w:rPr/>
        <w:t>Л.</w:t>
      </w:r>
      <w:r>
        <w:rPr>
          <w:spacing w:val="16"/>
        </w:rPr>
        <w:t> </w:t>
      </w:r>
      <w:r>
        <w:rPr/>
        <w:t>Матвєєва,</w:t>
      </w:r>
      <w:r>
        <w:rPr>
          <w:w w:val="99"/>
        </w:rPr>
        <w:t> </w:t>
      </w:r>
      <w:r>
        <w:rPr/>
        <w:t>О.</w:t>
      </w:r>
      <w:r>
        <w:rPr>
          <w:spacing w:val="12"/>
        </w:rPr>
        <w:t> </w:t>
      </w:r>
      <w:r>
        <w:rPr/>
        <w:t>Одеришева,</w:t>
      </w:r>
      <w:r>
        <w:rPr>
          <w:spacing w:val="12"/>
        </w:rPr>
        <w:t> </w:t>
      </w:r>
      <w:r>
        <w:rPr/>
        <w:t>Т.</w:t>
      </w:r>
      <w:r>
        <w:rPr>
          <w:spacing w:val="12"/>
        </w:rPr>
        <w:t> </w:t>
      </w:r>
      <w:r>
        <w:rPr/>
        <w:t>Рум’янцева</w:t>
      </w:r>
      <w:r>
        <w:rPr>
          <w:spacing w:val="11"/>
        </w:rPr>
        <w:t> </w:t>
      </w:r>
      <w:r>
        <w:rPr/>
        <w:t>та</w:t>
      </w:r>
      <w:r>
        <w:rPr>
          <w:spacing w:val="15"/>
        </w:rPr>
        <w:t> </w:t>
      </w:r>
      <w:r>
        <w:rPr/>
        <w:t>ін.),</w:t>
      </w:r>
      <w:r>
        <w:rPr>
          <w:spacing w:val="12"/>
        </w:rPr>
        <w:t> </w:t>
      </w:r>
      <w:r>
        <w:rPr/>
        <w:t>проблеми</w:t>
      </w:r>
      <w:r>
        <w:rPr>
          <w:spacing w:val="10"/>
        </w:rPr>
        <w:t> </w:t>
      </w:r>
      <w:r>
        <w:rPr/>
        <w:t>психології</w:t>
      </w:r>
      <w:r>
        <w:rPr>
          <w:spacing w:val="8"/>
        </w:rPr>
        <w:t> </w:t>
      </w:r>
      <w:r>
        <w:rPr/>
        <w:t>в</w:t>
      </w:r>
      <w:r>
        <w:rPr>
          <w:spacing w:val="9"/>
        </w:rPr>
        <w:t> </w:t>
      </w:r>
      <w:r>
        <w:rPr/>
        <w:t>медичній</w:t>
      </w:r>
      <w:r>
        <w:rPr>
          <w:spacing w:val="9"/>
        </w:rPr>
        <w:t> </w:t>
      </w:r>
      <w:r>
        <w:rPr/>
        <w:t>освіті</w:t>
      </w:r>
      <w:r>
        <w:rPr>
          <w:spacing w:val="10"/>
        </w:rPr>
        <w:t> </w:t>
      </w:r>
      <w:r>
        <w:rPr/>
        <w:t>(Т.</w:t>
      </w:r>
      <w:r>
        <w:rPr>
          <w:w w:val="99"/>
        </w:rPr>
        <w:t> </w:t>
      </w:r>
      <w:r>
        <w:rPr/>
        <w:t>Бухаріна, В. Дуброва, </w:t>
      </w:r>
      <w:r>
        <w:rPr>
          <w:spacing w:val="-3"/>
        </w:rPr>
        <w:t>А. </w:t>
      </w:r>
      <w:r>
        <w:rPr/>
        <w:t>Кирпиченко, М. Лапкін, С. Лігер та ін.) тощо [2, с.</w:t>
      </w:r>
      <w:r>
        <w:rPr>
          <w:spacing w:val="-20"/>
        </w:rPr>
        <w:t> </w:t>
      </w:r>
      <w:r>
        <w:rPr/>
        <w:t>55].</w:t>
      </w:r>
    </w:p>
    <w:p>
      <w:pPr>
        <w:pStyle w:val="BodyText"/>
        <w:spacing w:before="1"/>
        <w:ind w:right="607" w:firstLine="710"/>
      </w:pPr>
      <w:r>
        <w:rPr/>
        <w:t>Комплексного дослідження формування професійно-етичної компетентності майбутніх лікарів ветеринарної медицини на сьогодні немає.</w:t>
      </w:r>
    </w:p>
    <w:p>
      <w:pPr>
        <w:spacing w:line="321" w:lineRule="exact" w:before="0"/>
        <w:ind w:left="903" w:right="0" w:firstLine="0"/>
        <w:jc w:val="both"/>
        <w:rPr>
          <w:sz w:val="28"/>
        </w:rPr>
      </w:pPr>
      <w:r>
        <w:rPr>
          <w:b/>
          <w:sz w:val="28"/>
        </w:rPr>
        <w:t>Метою статті </w:t>
      </w:r>
      <w:r>
        <w:rPr>
          <w:sz w:val="28"/>
        </w:rPr>
        <w:t>є висвітлення результатів застосування</w:t>
      </w:r>
      <w:r>
        <w:rPr>
          <w:spacing w:val="53"/>
          <w:sz w:val="28"/>
        </w:rPr>
        <w:t> </w:t>
      </w:r>
      <w:r>
        <w:rPr>
          <w:sz w:val="28"/>
        </w:rPr>
        <w:t>методу</w:t>
      </w:r>
    </w:p>
    <w:p>
      <w:pPr>
        <w:pStyle w:val="BodyText"/>
        <w:ind w:right="607"/>
      </w:pPr>
      <w:r>
        <w:rPr/>
        <w:t>«символдрами» при формуванні професійно-етичної компетентності у майбутніх лікарів ветеринарної медицини.</w:t>
      </w:r>
    </w:p>
    <w:p>
      <w:pPr>
        <w:pStyle w:val="BodyText"/>
        <w:ind w:right="611" w:firstLine="710"/>
      </w:pPr>
      <w:r>
        <w:rPr/>
        <w:t>Результати дослідження. Дослідники В. Болотов та В. Сериков у статті, присвяченій розгляду компетентнісного підходу, наголошують, що при цьому підході висувається на перше місце не поінформованість учня, а вміння розв’язувати проблеми, що виникають у пізнавальній, технологічній і технічній діяльності, у сферах етичних, соціальних, правових, професійних, особистих взаємовідносин. Компетентнісний підхід передбачає такий вид змісту освіти, який</w:t>
      </w:r>
      <w:r>
        <w:rPr>
          <w:spacing w:val="-12"/>
        </w:rPr>
        <w:t> </w:t>
      </w:r>
      <w:r>
        <w:rPr/>
        <w:t>не</w:t>
      </w:r>
      <w:r>
        <w:rPr>
          <w:spacing w:val="-11"/>
        </w:rPr>
        <w:t> </w:t>
      </w:r>
      <w:r>
        <w:rPr/>
        <w:t>зводиться</w:t>
      </w:r>
      <w:r>
        <w:rPr>
          <w:spacing w:val="-10"/>
        </w:rPr>
        <w:t> </w:t>
      </w:r>
      <w:r>
        <w:rPr/>
        <w:t>до</w:t>
      </w:r>
      <w:r>
        <w:rPr>
          <w:spacing w:val="-10"/>
        </w:rPr>
        <w:t> </w:t>
      </w:r>
      <w:r>
        <w:rPr/>
        <w:t>знаннєво-орієнтованого</w:t>
      </w:r>
      <w:r>
        <w:rPr>
          <w:spacing w:val="-11"/>
        </w:rPr>
        <w:t> </w:t>
      </w:r>
      <w:r>
        <w:rPr/>
        <w:t>компонента,</w:t>
      </w:r>
      <w:r>
        <w:rPr>
          <w:spacing w:val="-9"/>
        </w:rPr>
        <w:t> </w:t>
      </w:r>
      <w:r>
        <w:rPr/>
        <w:t>а</w:t>
      </w:r>
      <w:r>
        <w:rPr>
          <w:spacing w:val="-11"/>
        </w:rPr>
        <w:t> </w:t>
      </w:r>
      <w:r>
        <w:rPr/>
        <w:t>передбачає</w:t>
      </w:r>
      <w:r>
        <w:rPr>
          <w:spacing w:val="-10"/>
        </w:rPr>
        <w:t> </w:t>
      </w:r>
      <w:r>
        <w:rPr/>
        <w:t>цілісний досвід вирішення життєвих проблем, виконання ключових функцій, соціальних ролей, компетенцій [3, с.</w:t>
      </w:r>
      <w:r>
        <w:rPr>
          <w:spacing w:val="14"/>
        </w:rPr>
        <w:t> </w:t>
      </w:r>
      <w:r>
        <w:rPr/>
        <w:t>10-12].</w:t>
      </w:r>
    </w:p>
    <w:p>
      <w:pPr>
        <w:pStyle w:val="BodyText"/>
        <w:spacing w:before="1"/>
        <w:ind w:right="614" w:firstLine="710"/>
      </w:pPr>
      <w:r>
        <w:rPr/>
        <w:t>Традиційно прийнято вважати, що структура етичного знання включає шість змістовних блоків: емпірична або описова етика; загальна теорія моралі або</w:t>
      </w:r>
      <w:r>
        <w:rPr>
          <w:spacing w:val="-8"/>
        </w:rPr>
        <w:t> </w:t>
      </w:r>
      <w:r>
        <w:rPr/>
        <w:t>філософські</w:t>
      </w:r>
      <w:r>
        <w:rPr>
          <w:spacing w:val="-13"/>
        </w:rPr>
        <w:t> </w:t>
      </w:r>
      <w:r>
        <w:rPr/>
        <w:t>проблеми</w:t>
      </w:r>
      <w:r>
        <w:rPr>
          <w:spacing w:val="-7"/>
        </w:rPr>
        <w:t> </w:t>
      </w:r>
      <w:r>
        <w:rPr/>
        <w:t>етики;</w:t>
      </w:r>
      <w:r>
        <w:rPr>
          <w:spacing w:val="-8"/>
        </w:rPr>
        <w:t> </w:t>
      </w:r>
      <w:r>
        <w:rPr/>
        <w:t>нормативна</w:t>
      </w:r>
      <w:r>
        <w:rPr>
          <w:spacing w:val="-8"/>
        </w:rPr>
        <w:t> </w:t>
      </w:r>
      <w:r>
        <w:rPr/>
        <w:t>етика</w:t>
      </w:r>
      <w:r>
        <w:rPr>
          <w:spacing w:val="-7"/>
        </w:rPr>
        <w:t> </w:t>
      </w:r>
      <w:r>
        <w:rPr/>
        <w:t>як</w:t>
      </w:r>
      <w:r>
        <w:rPr>
          <w:spacing w:val="-9"/>
        </w:rPr>
        <w:t> </w:t>
      </w:r>
      <w:r>
        <w:rPr/>
        <w:t>зведення</w:t>
      </w:r>
      <w:r>
        <w:rPr>
          <w:spacing w:val="-2"/>
        </w:rPr>
        <w:t> </w:t>
      </w:r>
      <w:r>
        <w:rPr/>
        <w:t>вимог,</w:t>
      </w:r>
      <w:r>
        <w:rPr>
          <w:spacing w:val="-6"/>
        </w:rPr>
        <w:t> </w:t>
      </w:r>
      <w:r>
        <w:rPr/>
        <w:t>приписів суспільства і стереотипів поведінки особистості, її моральних якостей, які відповідають суспільним моральним нормам; теорія морального виховання або педагогічна</w:t>
      </w:r>
      <w:r>
        <w:rPr>
          <w:spacing w:val="-15"/>
        </w:rPr>
        <w:t> </w:t>
      </w:r>
      <w:r>
        <w:rPr/>
        <w:t>етика,</w:t>
      </w:r>
      <w:r>
        <w:rPr>
          <w:spacing w:val="-14"/>
        </w:rPr>
        <w:t> </w:t>
      </w:r>
      <w:r>
        <w:rPr/>
        <w:t>яка</w:t>
      </w:r>
      <w:r>
        <w:rPr>
          <w:spacing w:val="-15"/>
        </w:rPr>
        <w:t> </w:t>
      </w:r>
      <w:r>
        <w:rPr/>
        <w:t>забезпечує</w:t>
      </w:r>
      <w:r>
        <w:rPr>
          <w:spacing w:val="-15"/>
        </w:rPr>
        <w:t> </w:t>
      </w:r>
      <w:r>
        <w:rPr/>
        <w:t>засвоєння</w:t>
      </w:r>
      <w:r>
        <w:rPr>
          <w:spacing w:val="-14"/>
        </w:rPr>
        <w:t> </w:t>
      </w:r>
      <w:r>
        <w:rPr/>
        <w:t>індивідами</w:t>
      </w:r>
      <w:r>
        <w:rPr>
          <w:spacing w:val="-16"/>
        </w:rPr>
        <w:t> </w:t>
      </w:r>
      <w:r>
        <w:rPr/>
        <w:t>встановлених</w:t>
      </w:r>
      <w:r>
        <w:rPr>
          <w:spacing w:val="-20"/>
        </w:rPr>
        <w:t> </w:t>
      </w:r>
      <w:r>
        <w:rPr/>
        <w:t>моральних зразків поведінки; професійна етика</w:t>
      </w:r>
      <w:r>
        <w:rPr>
          <w:i/>
        </w:rPr>
        <w:t>, </w:t>
      </w:r>
      <w:r>
        <w:rPr/>
        <w:t>яка покликана описати й обґрунтувати</w:t>
      </w:r>
    </w:p>
    <w:p>
      <w:pPr>
        <w:spacing w:after="0"/>
        <w:sectPr>
          <w:pgSz w:w="11910" w:h="16840"/>
          <w:pgMar w:header="713" w:footer="778" w:top="1140" w:bottom="960" w:left="940" w:right="520"/>
        </w:sectPr>
      </w:pPr>
    </w:p>
    <w:p>
      <w:pPr>
        <w:pStyle w:val="BodyText"/>
        <w:spacing w:before="92"/>
        <w:ind w:right="618"/>
      </w:pPr>
      <w:r>
        <w:rPr/>
        <w:t>особливості моралі різних професійних груп, виходячи зі специфіки їхньої діяльності; історія етичної думки [4, с. 309].</w:t>
      </w:r>
    </w:p>
    <w:p>
      <w:pPr>
        <w:pStyle w:val="BodyText"/>
        <w:ind w:right="610" w:firstLine="710"/>
      </w:pPr>
      <w:r>
        <w:rPr/>
        <w:t>У контексті нашого дослідження вкрай важливим є розуміння того, що саме у професійній етиці формується система конкретних моральних норм із супутніми їм практичними правилами, які «обслуговують» ту чи іншу галузь людської діяльності. Для цілої низки професій виявилося недостатнім, щоб їхні представники мали ті чи інші трудові навички. Наряду з цим вони повинні володіти і певними морально-вольовими якостями, практикувати у своєму середовищі певні принципи і правила поведінки, які, з одного боку, регулювали б відношення всередині професійної групи, з іншого боку – відношення самої професійної групи до осіб, що користуються її послугами.</w:t>
      </w:r>
    </w:p>
    <w:p>
      <w:pPr>
        <w:pStyle w:val="BodyText"/>
        <w:spacing w:before="1"/>
        <w:ind w:right="608" w:firstLine="710"/>
      </w:pPr>
      <w:r>
        <w:rPr/>
        <w:t>У ряді випадків це вимагало навіть вироблення особливих кодексів поведінки, що включали в себе правила, норми, клятви. Все це мало на меті підтримку високого професійного рівня діяльності, престижу, соціальної цінності</w:t>
      </w:r>
      <w:r>
        <w:rPr>
          <w:spacing w:val="-14"/>
        </w:rPr>
        <w:t> </w:t>
      </w:r>
      <w:r>
        <w:rPr/>
        <w:t>професії,</w:t>
      </w:r>
      <w:r>
        <w:rPr>
          <w:spacing w:val="-6"/>
        </w:rPr>
        <w:t> </w:t>
      </w:r>
      <w:r>
        <w:rPr/>
        <w:t>зміцнення</w:t>
      </w:r>
      <w:r>
        <w:rPr>
          <w:spacing w:val="-8"/>
        </w:rPr>
        <w:t> </w:t>
      </w:r>
      <w:r>
        <w:rPr/>
        <w:t>до</w:t>
      </w:r>
      <w:r>
        <w:rPr>
          <w:spacing w:val="-8"/>
        </w:rPr>
        <w:t> </w:t>
      </w:r>
      <w:r>
        <w:rPr/>
        <w:t>неї</w:t>
      </w:r>
      <w:r>
        <w:rPr>
          <w:spacing w:val="-13"/>
        </w:rPr>
        <w:t> </w:t>
      </w:r>
      <w:r>
        <w:rPr/>
        <w:t>довіри</w:t>
      </w:r>
      <w:r>
        <w:rPr>
          <w:spacing w:val="-8"/>
        </w:rPr>
        <w:t> </w:t>
      </w:r>
      <w:r>
        <w:rPr/>
        <w:t>з</w:t>
      </w:r>
      <w:r>
        <w:rPr>
          <w:spacing w:val="-8"/>
        </w:rPr>
        <w:t> </w:t>
      </w:r>
      <w:r>
        <w:rPr/>
        <w:t>боку</w:t>
      </w:r>
      <w:r>
        <w:rPr>
          <w:spacing w:val="-12"/>
        </w:rPr>
        <w:t> </w:t>
      </w:r>
      <w:r>
        <w:rPr/>
        <w:t>суспільства.</w:t>
      </w:r>
      <w:r>
        <w:rPr>
          <w:spacing w:val="-6"/>
        </w:rPr>
        <w:t> </w:t>
      </w:r>
      <w:r>
        <w:rPr>
          <w:spacing w:val="-3"/>
        </w:rPr>
        <w:t>Не</w:t>
      </w:r>
      <w:r>
        <w:rPr>
          <w:spacing w:val="-8"/>
        </w:rPr>
        <w:t> </w:t>
      </w:r>
      <w:r>
        <w:rPr/>
        <w:t>можна</w:t>
      </w:r>
      <w:r>
        <w:rPr>
          <w:spacing w:val="-8"/>
        </w:rPr>
        <w:t> </w:t>
      </w:r>
      <w:r>
        <w:rPr/>
        <w:t>вважати випадковим, що найперші </w:t>
      </w:r>
      <w:r>
        <w:rPr>
          <w:spacing w:val="-3"/>
        </w:rPr>
        <w:t>із </w:t>
      </w:r>
      <w:r>
        <w:rPr/>
        <w:t>відомих нам клятв на вірність професійним обов’язкам (клятва Гіппократа, моральні устави жерців, що виконували судові функції, тощо) виникли ще у стародавні часи серед людей, покликаних служити іншим</w:t>
      </w:r>
      <w:r>
        <w:rPr>
          <w:spacing w:val="1"/>
        </w:rPr>
        <w:t> </w:t>
      </w:r>
      <w:r>
        <w:rPr/>
        <w:t>людям.</w:t>
      </w:r>
    </w:p>
    <w:p>
      <w:pPr>
        <w:pStyle w:val="BodyText"/>
        <w:spacing w:before="3"/>
        <w:ind w:right="609" w:firstLine="710"/>
      </w:pPr>
      <w:r>
        <w:rPr/>
        <w:t>За висновками Л. Сохань, І. Єрмакова, Г. Несена та ін., у галузях, де головним об’єктом діяльності є людина, вона вправі сподіватися і сподівається на ставлення до себе не як до об’єкта зовнішнього впливу, а саме як до людини, тобто розраховує на повагу, розуміння, співчуття та милосердя. Науковці підкреслюють, що названі вище моральні норми є професійно-етичними, тому що їх виникнення і засвоєння не визначаються безпосередньо якимись інституційними умовами (освітою, службовим становищем), а оволодіння ними забезпечується головним чином культурою особистості, її вихованістю, її моральним потенціалом [5, с. 239].</w:t>
      </w:r>
    </w:p>
    <w:p>
      <w:pPr>
        <w:pStyle w:val="BodyText"/>
        <w:ind w:right="611" w:firstLine="710"/>
      </w:pPr>
      <w:r>
        <w:rPr/>
        <w:t>Необхідно відзначити важливість фахової кваліфікації працівника, що, з одного боку, надає право займатися обраною діяльністю, а з іншого боку – визначає</w:t>
      </w:r>
      <w:r>
        <w:rPr>
          <w:spacing w:val="-17"/>
        </w:rPr>
        <w:t> </w:t>
      </w:r>
      <w:r>
        <w:rPr/>
        <w:t>ставлення</w:t>
      </w:r>
      <w:r>
        <w:rPr>
          <w:spacing w:val="-17"/>
        </w:rPr>
        <w:t> </w:t>
      </w:r>
      <w:r>
        <w:rPr/>
        <w:t>до</w:t>
      </w:r>
      <w:r>
        <w:rPr>
          <w:spacing w:val="-17"/>
        </w:rPr>
        <w:t> </w:t>
      </w:r>
      <w:r>
        <w:rPr/>
        <w:t>нього</w:t>
      </w:r>
      <w:r>
        <w:rPr>
          <w:spacing w:val="-18"/>
        </w:rPr>
        <w:t> </w:t>
      </w:r>
      <w:r>
        <w:rPr/>
        <w:t>як</w:t>
      </w:r>
      <w:r>
        <w:rPr>
          <w:spacing w:val="-18"/>
        </w:rPr>
        <w:t> </w:t>
      </w:r>
      <w:r>
        <w:rPr/>
        <w:t>колег,</w:t>
      </w:r>
      <w:r>
        <w:rPr>
          <w:spacing w:val="-16"/>
        </w:rPr>
        <w:t> </w:t>
      </w:r>
      <w:r>
        <w:rPr/>
        <w:t>так</w:t>
      </w:r>
      <w:r>
        <w:rPr>
          <w:spacing w:val="-14"/>
        </w:rPr>
        <w:t> </w:t>
      </w:r>
      <w:r>
        <w:rPr/>
        <w:t>і</w:t>
      </w:r>
      <w:r>
        <w:rPr>
          <w:spacing w:val="-22"/>
        </w:rPr>
        <w:t> </w:t>
      </w:r>
      <w:r>
        <w:rPr/>
        <w:t>людей,</w:t>
      </w:r>
      <w:r>
        <w:rPr>
          <w:spacing w:val="-16"/>
        </w:rPr>
        <w:t> </w:t>
      </w:r>
      <w:r>
        <w:rPr/>
        <w:t>на</w:t>
      </w:r>
      <w:r>
        <w:rPr>
          <w:spacing w:val="-17"/>
        </w:rPr>
        <w:t> </w:t>
      </w:r>
      <w:r>
        <w:rPr/>
        <w:t>благо</w:t>
      </w:r>
      <w:r>
        <w:rPr>
          <w:spacing w:val="-17"/>
        </w:rPr>
        <w:t> </w:t>
      </w:r>
      <w:r>
        <w:rPr/>
        <w:t>яких</w:t>
      </w:r>
      <w:r>
        <w:rPr>
          <w:spacing w:val="-22"/>
        </w:rPr>
        <w:t> </w:t>
      </w:r>
      <w:r>
        <w:rPr/>
        <w:t>спрямована</w:t>
      </w:r>
      <w:r>
        <w:rPr>
          <w:spacing w:val="-17"/>
        </w:rPr>
        <w:t> </w:t>
      </w:r>
      <w:r>
        <w:rPr/>
        <w:t>його праця.</w:t>
      </w:r>
    </w:p>
    <w:p>
      <w:pPr>
        <w:pStyle w:val="BodyText"/>
        <w:spacing w:before="1"/>
        <w:ind w:right="612" w:firstLine="710"/>
      </w:pPr>
      <w:r>
        <w:rPr/>
        <w:t>Водночас практика показує, що формальна, юридично засвідчена кваліфікація</w:t>
      </w:r>
      <w:r>
        <w:rPr>
          <w:spacing w:val="-3"/>
        </w:rPr>
        <w:t> </w:t>
      </w:r>
      <w:r>
        <w:rPr/>
        <w:t>сама</w:t>
      </w:r>
      <w:r>
        <w:rPr>
          <w:spacing w:val="-6"/>
        </w:rPr>
        <w:t> </w:t>
      </w:r>
      <w:r>
        <w:rPr/>
        <w:t>по</w:t>
      </w:r>
      <w:r>
        <w:rPr>
          <w:spacing w:val="-4"/>
        </w:rPr>
        <w:t> </w:t>
      </w:r>
      <w:r>
        <w:rPr/>
        <w:t>собі</w:t>
      </w:r>
      <w:r>
        <w:rPr>
          <w:spacing w:val="-9"/>
        </w:rPr>
        <w:t> </w:t>
      </w:r>
      <w:r>
        <w:rPr/>
        <w:t>не</w:t>
      </w:r>
      <w:r>
        <w:rPr>
          <w:spacing w:val="-7"/>
        </w:rPr>
        <w:t> </w:t>
      </w:r>
      <w:r>
        <w:rPr/>
        <w:t>в</w:t>
      </w:r>
      <w:r>
        <w:rPr>
          <w:spacing w:val="-4"/>
        </w:rPr>
        <w:t> </w:t>
      </w:r>
      <w:r>
        <w:rPr/>
        <w:t>змозі</w:t>
      </w:r>
      <w:r>
        <w:rPr>
          <w:spacing w:val="-9"/>
        </w:rPr>
        <w:t> </w:t>
      </w:r>
      <w:r>
        <w:rPr/>
        <w:t>забезпечити</w:t>
      </w:r>
      <w:r>
        <w:rPr>
          <w:spacing w:val="1"/>
        </w:rPr>
        <w:t> </w:t>
      </w:r>
      <w:r>
        <w:rPr/>
        <w:t>успіх</w:t>
      </w:r>
      <w:r>
        <w:rPr>
          <w:spacing w:val="-9"/>
        </w:rPr>
        <w:t> </w:t>
      </w:r>
      <w:r>
        <w:rPr/>
        <w:t>справи.</w:t>
      </w:r>
      <w:r>
        <w:rPr>
          <w:spacing w:val="-2"/>
        </w:rPr>
        <w:t> </w:t>
      </w:r>
      <w:r>
        <w:rPr/>
        <w:t>Зазначені</w:t>
      </w:r>
      <w:r>
        <w:rPr>
          <w:spacing w:val="-9"/>
        </w:rPr>
        <w:t> </w:t>
      </w:r>
      <w:r>
        <w:rPr/>
        <w:t>норми</w:t>
      </w:r>
      <w:r>
        <w:rPr>
          <w:spacing w:val="-3"/>
        </w:rPr>
        <w:t> </w:t>
      </w:r>
      <w:r>
        <w:rPr/>
        <w:t>є професійно-етичними, тому що їхнє виникнення і засвоєння не визначаються безпосередньо певними інституціональними умовами (освітою, посадою), а оволодіння ними забезпечується головним чином культурою особистості, її вихованістю.</w:t>
      </w:r>
    </w:p>
    <w:p>
      <w:pPr>
        <w:pStyle w:val="BodyText"/>
        <w:ind w:right="618" w:firstLine="710"/>
      </w:pPr>
      <w:r>
        <w:rPr/>
        <w:t>Найважливіше розходження між мораллю і правом стосується засобу регулювання поведінки людей. Виконання норм права забезпечується при необхідності примусовими заходами за допомогою спеціального апарату правосуддя, яке здійснюється посадовими особами. Вимоги моралі підтримуються силою загальноприйнятих звичаїв, суспільної думки або особистої переконаності індивідів. Моральна санкція здійснюється мірами</w:t>
      </w:r>
    </w:p>
    <w:p>
      <w:pPr>
        <w:spacing w:after="0"/>
        <w:sectPr>
          <w:pgSz w:w="11910" w:h="16840"/>
          <w:pgMar w:header="713" w:footer="778" w:top="1140" w:bottom="960" w:left="940" w:right="520"/>
        </w:sectPr>
      </w:pPr>
    </w:p>
    <w:p>
      <w:pPr>
        <w:pStyle w:val="BodyText"/>
        <w:spacing w:before="92"/>
        <w:ind w:right="611"/>
      </w:pPr>
      <w:r>
        <w:rPr/>
        <w:t>духовного впливу, причому не окремими людьми, наділеними якимись особливими повноваженнями, а всім колективом, соціальною групою, суспільством у цілому. Велика частина суспільних відносин регулюється одночасно нормами як права, так і моралі.</w:t>
      </w:r>
    </w:p>
    <w:p>
      <w:pPr>
        <w:pStyle w:val="BodyText"/>
        <w:spacing w:line="242" w:lineRule="auto"/>
        <w:ind w:right="615" w:firstLine="710"/>
      </w:pPr>
      <w:r>
        <w:rPr/>
        <w:t>Можна говорити про те, що моральна культура майбутнього лікаря ветеринарної медицини – це якісна характеристика їхнього етичного розвитку і моральної зрілості, що виявляється на трьох рівнях.</w:t>
      </w:r>
    </w:p>
    <w:p>
      <w:pPr>
        <w:pStyle w:val="BodyText"/>
        <w:ind w:right="608" w:firstLine="710"/>
      </w:pPr>
      <w:r>
        <w:rPr/>
        <w:t>По-перше, це культура моральної свідомості, що виражається у знанні майбутнього лікаря ветеринарної медицини моральних вимог суспільства, у їхній спроможності свідомо обґрунтовувати цілі і засоби діяльності. Цей рівень залежить від світогляду особистості, етичних знань і переконань.</w:t>
      </w:r>
    </w:p>
    <w:p>
      <w:pPr>
        <w:pStyle w:val="BodyText"/>
        <w:ind w:right="606" w:firstLine="710"/>
      </w:pPr>
      <w:r>
        <w:rPr/>
        <w:t>По-друге, винятково важливим рівнем, що забезпечує внутрішнє прийняття</w:t>
      </w:r>
      <w:r>
        <w:rPr>
          <w:spacing w:val="-21"/>
        </w:rPr>
        <w:t> </w:t>
      </w:r>
      <w:r>
        <w:rPr/>
        <w:t>майбутнього</w:t>
      </w:r>
      <w:r>
        <w:rPr>
          <w:spacing w:val="-22"/>
        </w:rPr>
        <w:t> </w:t>
      </w:r>
      <w:r>
        <w:rPr/>
        <w:t>лікаря</w:t>
      </w:r>
      <w:r>
        <w:rPr>
          <w:spacing w:val="-21"/>
        </w:rPr>
        <w:t> </w:t>
      </w:r>
      <w:r>
        <w:rPr/>
        <w:t>ветеринарної</w:t>
      </w:r>
      <w:r>
        <w:rPr>
          <w:spacing w:val="-27"/>
        </w:rPr>
        <w:t> </w:t>
      </w:r>
      <w:r>
        <w:rPr/>
        <w:t>медицини</w:t>
      </w:r>
      <w:r>
        <w:rPr>
          <w:spacing w:val="-23"/>
        </w:rPr>
        <w:t> </w:t>
      </w:r>
      <w:r>
        <w:rPr/>
        <w:t>моральних</w:t>
      </w:r>
      <w:r>
        <w:rPr>
          <w:spacing w:val="-22"/>
        </w:rPr>
        <w:t> </w:t>
      </w:r>
      <w:r>
        <w:rPr/>
        <w:t>цілей</w:t>
      </w:r>
      <w:r>
        <w:rPr>
          <w:spacing w:val="-18"/>
        </w:rPr>
        <w:t> </w:t>
      </w:r>
      <w:r>
        <w:rPr/>
        <w:t>і</w:t>
      </w:r>
      <w:r>
        <w:rPr>
          <w:spacing w:val="-22"/>
        </w:rPr>
        <w:t> </w:t>
      </w:r>
      <w:r>
        <w:rPr/>
        <w:t>засобів, внутрішню готовність до їхньої реалізації, є культура моральних почуттів. Моральна культура припускає не тільки розмежування «добра» і «зла», але і багатство емоційної сфери, здатність до морального резонансу, до співчуття і співпереживання.</w:t>
      </w:r>
    </w:p>
    <w:p>
      <w:pPr>
        <w:pStyle w:val="BodyText"/>
        <w:ind w:right="614" w:firstLine="710"/>
        <w:jc w:val="right"/>
      </w:pPr>
      <w:r>
        <w:rPr/>
        <w:t>І, нарешті, рівень, на якому реалізуються поставлені та</w:t>
      </w:r>
      <w:r>
        <w:rPr>
          <w:spacing w:val="5"/>
        </w:rPr>
        <w:t> </w:t>
      </w:r>
      <w:r>
        <w:rPr/>
        <w:t>прийняті</w:t>
      </w:r>
      <w:r>
        <w:rPr>
          <w:spacing w:val="-4"/>
        </w:rPr>
        <w:t> </w:t>
      </w:r>
      <w:r>
        <w:rPr/>
        <w:t>моральні</w:t>
      </w:r>
      <w:r>
        <w:rPr>
          <w:w w:val="99"/>
        </w:rPr>
        <w:t> </w:t>
      </w:r>
      <w:r>
        <w:rPr/>
        <w:t>цілі, а правила перетворюються на активну життєву позицію, –</w:t>
      </w:r>
      <w:r>
        <w:rPr>
          <w:spacing w:val="10"/>
        </w:rPr>
        <w:t> </w:t>
      </w:r>
      <w:r>
        <w:rPr/>
        <w:t>це</w:t>
      </w:r>
      <w:r>
        <w:rPr>
          <w:spacing w:val="56"/>
        </w:rPr>
        <w:t> </w:t>
      </w:r>
      <w:r>
        <w:rPr/>
        <w:t>культура</w:t>
      </w:r>
      <w:r>
        <w:rPr>
          <w:w w:val="99"/>
        </w:rPr>
        <w:t> </w:t>
      </w:r>
      <w:r>
        <w:rPr/>
        <w:t>поведінки</w:t>
      </w:r>
      <w:r>
        <w:rPr>
          <w:spacing w:val="31"/>
        </w:rPr>
        <w:t> </w:t>
      </w:r>
      <w:r>
        <w:rPr/>
        <w:t>[6,</w:t>
      </w:r>
      <w:r>
        <w:rPr>
          <w:spacing w:val="35"/>
        </w:rPr>
        <w:t> </w:t>
      </w:r>
      <w:r>
        <w:rPr/>
        <w:t>с.</w:t>
      </w:r>
      <w:r>
        <w:rPr>
          <w:spacing w:val="3"/>
        </w:rPr>
        <w:t> </w:t>
      </w:r>
      <w:r>
        <w:rPr/>
        <w:t>12].</w:t>
      </w:r>
      <w:r>
        <w:rPr>
          <w:spacing w:val="34"/>
        </w:rPr>
        <w:t> </w:t>
      </w:r>
      <w:r>
        <w:rPr/>
        <w:t>Культура</w:t>
      </w:r>
      <w:r>
        <w:rPr>
          <w:spacing w:val="33"/>
        </w:rPr>
        <w:t> </w:t>
      </w:r>
      <w:r>
        <w:rPr/>
        <w:t>поведінки</w:t>
      </w:r>
      <w:r>
        <w:rPr>
          <w:spacing w:val="32"/>
        </w:rPr>
        <w:t> </w:t>
      </w:r>
      <w:r>
        <w:rPr/>
        <w:t>майбутнього</w:t>
      </w:r>
      <w:r>
        <w:rPr>
          <w:spacing w:val="32"/>
        </w:rPr>
        <w:t> </w:t>
      </w:r>
      <w:r>
        <w:rPr/>
        <w:t>лікаря</w:t>
      </w:r>
      <w:r>
        <w:rPr>
          <w:spacing w:val="34"/>
        </w:rPr>
        <w:t> </w:t>
      </w:r>
      <w:r>
        <w:rPr/>
        <w:t>ветеринарної</w:t>
      </w:r>
      <w:r>
        <w:rPr>
          <w:w w:val="99"/>
        </w:rPr>
        <w:t> </w:t>
      </w:r>
      <w:r>
        <w:rPr/>
        <w:t>медицини</w:t>
      </w:r>
      <w:r>
        <w:rPr>
          <w:spacing w:val="-15"/>
        </w:rPr>
        <w:t> </w:t>
      </w:r>
      <w:r>
        <w:rPr/>
        <w:t>характеризує</w:t>
      </w:r>
      <w:r>
        <w:rPr>
          <w:spacing w:val="-14"/>
        </w:rPr>
        <w:t> </w:t>
      </w:r>
      <w:r>
        <w:rPr/>
        <w:t>їхню</w:t>
      </w:r>
      <w:r>
        <w:rPr>
          <w:spacing w:val="-21"/>
        </w:rPr>
        <w:t> </w:t>
      </w:r>
      <w:r>
        <w:rPr/>
        <w:t>спроможність</w:t>
      </w:r>
      <w:r>
        <w:rPr>
          <w:spacing w:val="-20"/>
        </w:rPr>
        <w:t> </w:t>
      </w:r>
      <w:r>
        <w:rPr/>
        <w:t>до</w:t>
      </w:r>
      <w:r>
        <w:rPr>
          <w:spacing w:val="-19"/>
        </w:rPr>
        <w:t> </w:t>
      </w:r>
      <w:r>
        <w:rPr/>
        <w:t>вибору</w:t>
      </w:r>
      <w:r>
        <w:rPr>
          <w:spacing w:val="-18"/>
        </w:rPr>
        <w:t> </w:t>
      </w:r>
      <w:r>
        <w:rPr/>
        <w:t>і</w:t>
      </w:r>
      <w:r>
        <w:rPr>
          <w:spacing w:val="-23"/>
        </w:rPr>
        <w:t> </w:t>
      </w:r>
      <w:r>
        <w:rPr/>
        <w:t>до</w:t>
      </w:r>
      <w:r>
        <w:rPr>
          <w:spacing w:val="-19"/>
        </w:rPr>
        <w:t> </w:t>
      </w:r>
      <w:r>
        <w:rPr/>
        <w:t>практичної</w:t>
      </w:r>
      <w:r>
        <w:rPr>
          <w:spacing w:val="-23"/>
        </w:rPr>
        <w:t> </w:t>
      </w:r>
      <w:r>
        <w:rPr/>
        <w:t>діяльності.</w:t>
      </w:r>
    </w:p>
    <w:p>
      <w:pPr>
        <w:pStyle w:val="BodyText"/>
        <w:ind w:right="607" w:firstLine="710"/>
      </w:pPr>
      <w:r>
        <w:rPr/>
        <w:t>Професійно-етична компетентність за специфікою реалізації належить до так</w:t>
      </w:r>
      <w:r>
        <w:rPr>
          <w:spacing w:val="-10"/>
        </w:rPr>
        <w:t> </w:t>
      </w:r>
      <w:r>
        <w:rPr/>
        <w:t>званих</w:t>
      </w:r>
      <w:r>
        <w:rPr>
          <w:spacing w:val="-13"/>
        </w:rPr>
        <w:t> </w:t>
      </w:r>
      <w:r>
        <w:rPr/>
        <w:t>надпредметних</w:t>
      </w:r>
      <w:r>
        <w:rPr>
          <w:spacing w:val="-9"/>
        </w:rPr>
        <w:t> </w:t>
      </w:r>
      <w:r>
        <w:rPr/>
        <w:t>компетентностей.</w:t>
      </w:r>
      <w:r>
        <w:rPr>
          <w:spacing w:val="-7"/>
        </w:rPr>
        <w:t> </w:t>
      </w:r>
      <w:r>
        <w:rPr/>
        <w:t>Вони</w:t>
      </w:r>
      <w:r>
        <w:rPr>
          <w:spacing w:val="-9"/>
        </w:rPr>
        <w:t> </w:t>
      </w:r>
      <w:r>
        <w:rPr/>
        <w:t>мають</w:t>
      </w:r>
      <w:r>
        <w:rPr>
          <w:spacing w:val="-7"/>
        </w:rPr>
        <w:t> </w:t>
      </w:r>
      <w:r>
        <w:rPr/>
        <w:t>інтегрований</w:t>
      </w:r>
      <w:r>
        <w:rPr>
          <w:spacing w:val="-5"/>
        </w:rPr>
        <w:t> </w:t>
      </w:r>
      <w:r>
        <w:rPr/>
        <w:t>характер і поєднують у собі певний комплекс знань, умінь і відносин, які набуваються майбутніми лікарями ветеринарної медицини протягом засвоєння всього змісту професійної освіти. Саме тому нами були визначені такі показники оцінки професійно-етичної компетентності, як: знання загальних морально-етичних цінностей; вміння відстоювати цінність здоров’я і життя тварин; вміння узгоджувати власні інтереси/цілі/мотиви з вимогами і нормами ветеринарних клінік.</w:t>
      </w:r>
    </w:p>
    <w:p>
      <w:pPr>
        <w:pStyle w:val="BodyText"/>
        <w:ind w:right="610" w:firstLine="710"/>
      </w:pPr>
      <w:r>
        <w:rPr/>
        <w:t>Щоб перевірити сформованість професійно-етичної компетентності майбутніх лікарів ветеринарної медицини ОДАУ були розроблені тестові питання. Так, знання загальних морально-етичних цінностей перевірялося за такими питаннями: «Яка категорія етики відображає моральну цінність?»; «Як називаються правила моральної підготовки?»; «Як називається переживання людиною своєї невідповідності моральним нормам?»; «Розкрийте поняття “моральна свідомість” та “моральний обов’язок”»; «Як стати моральною людиною?»; «Що допускає етика спілкування?».</w:t>
      </w:r>
    </w:p>
    <w:p>
      <w:pPr>
        <w:pStyle w:val="BodyText"/>
        <w:ind w:right="620" w:firstLine="710"/>
      </w:pPr>
      <w:r>
        <w:rPr/>
        <w:t>Вміння узгоджувати власні інтереси/цілі/мотиви з вимогами та нормами ветеринарних клінік перевірялося за такими питаннями, як: «Розкрийте зміст поняття “професійна етика”», «Розкрийте зміст поняття “професійна діяльність лікаря ветеринарної медицини”».</w:t>
      </w:r>
    </w:p>
    <w:p>
      <w:pPr>
        <w:pStyle w:val="BodyText"/>
        <w:ind w:right="607" w:firstLine="710"/>
      </w:pPr>
      <w:r>
        <w:rPr/>
        <w:t>Щодо третього показника оцінювання сформованості професійно-етичної компетентності – вміння узгоджувати власні інтереси/цілі/мотиви з вимогами та</w:t>
      </w:r>
    </w:p>
    <w:p>
      <w:pPr>
        <w:spacing w:after="0"/>
        <w:sectPr>
          <w:pgSz w:w="11910" w:h="16840"/>
          <w:pgMar w:header="713" w:footer="778" w:top="1140" w:bottom="960" w:left="940" w:right="520"/>
        </w:sectPr>
      </w:pPr>
    </w:p>
    <w:p>
      <w:pPr>
        <w:pStyle w:val="BodyText"/>
        <w:spacing w:before="92"/>
        <w:ind w:right="619"/>
      </w:pPr>
      <w:r>
        <w:rPr/>
        <w:t>нормами ветеринарних клінік – слід констатувати, що низький рівень виявлено у 40% майбутніх ветеринарних лікарів ОДАУ.</w:t>
      </w:r>
    </w:p>
    <w:p>
      <w:pPr>
        <w:pStyle w:val="BodyText"/>
        <w:ind w:right="610" w:firstLine="710"/>
      </w:pPr>
      <w:r>
        <w:rPr/>
        <w:t>Якісна оцінка отриманих даних щодо професійно-етичної компетентності майбутніми лікарями ветеринарної медицини ОДАУ дозволяє констатувати, що найбільша кількість позитивних відповідей була отримана на запитання про категорію етики як відображення моральної цінності, а найменшу кількість позитивних відповідей було одержано на запитання «Що є пріоритетом для моральної оцінки вчинку людини?». Досить великий процент правильних відповідей дали здобувачі вищої освіти на запитання про соціальне зло та на запитання, пов’язані з предметом та об’єктом етики. А ось запитання, пов’язані з моральною свідомістю, викликали певні труднощі. Можна сказати, що здобувачі вищої освіти в основному обізнані з загально-моральними (духовними) цінностями, але їх знання потребують подальшого поглиблення.</w:t>
      </w:r>
    </w:p>
    <w:p>
      <w:pPr>
        <w:pStyle w:val="BodyText"/>
        <w:spacing w:before="1"/>
        <w:ind w:right="614" w:firstLine="710"/>
      </w:pPr>
      <w:r>
        <w:rPr/>
        <w:t>Тестування показало, що здобувачі вищої освіти погано обізнані з професійно-етичними цінностями у ветеринарній галузі. Так, запитання про професійну етику лікаря ветеринарної медицини викликало у здобувачів вищої освіти певні труднощі. Це говорить про те, що вони не мають повного уявлення про особливості майбутньої професійної діяльності.</w:t>
      </w:r>
    </w:p>
    <w:p>
      <w:pPr>
        <w:pStyle w:val="BodyText"/>
        <w:spacing w:before="3"/>
        <w:ind w:right="609" w:firstLine="710"/>
      </w:pPr>
      <w:r>
        <w:rPr/>
        <w:t>Відповіді здобувачів вищої освіти показали, що переважна більшість опитаних</w:t>
      </w:r>
      <w:r>
        <w:rPr>
          <w:spacing w:val="-18"/>
        </w:rPr>
        <w:t> </w:t>
      </w:r>
      <w:r>
        <w:rPr/>
        <w:t>знає,</w:t>
      </w:r>
      <w:r>
        <w:rPr>
          <w:spacing w:val="-11"/>
        </w:rPr>
        <w:t> </w:t>
      </w:r>
      <w:r>
        <w:rPr/>
        <w:t>як</w:t>
      </w:r>
      <w:r>
        <w:rPr>
          <w:spacing w:val="-15"/>
        </w:rPr>
        <w:t> </w:t>
      </w:r>
      <w:r>
        <w:rPr/>
        <w:t>стати</w:t>
      </w:r>
      <w:r>
        <w:rPr>
          <w:spacing w:val="-13"/>
        </w:rPr>
        <w:t> </w:t>
      </w:r>
      <w:r>
        <w:rPr/>
        <w:t>моральною</w:t>
      </w:r>
      <w:r>
        <w:rPr>
          <w:spacing w:val="-15"/>
        </w:rPr>
        <w:t> </w:t>
      </w:r>
      <w:r>
        <w:rPr/>
        <w:t>людиною,</w:t>
      </w:r>
      <w:r>
        <w:rPr>
          <w:spacing w:val="-12"/>
        </w:rPr>
        <w:t> </w:t>
      </w:r>
      <w:r>
        <w:rPr/>
        <w:t>і</w:t>
      </w:r>
      <w:r>
        <w:rPr>
          <w:spacing w:val="-18"/>
        </w:rPr>
        <w:t> </w:t>
      </w:r>
      <w:r>
        <w:rPr/>
        <w:t>це</w:t>
      </w:r>
      <w:r>
        <w:rPr>
          <w:spacing w:val="-12"/>
        </w:rPr>
        <w:t> </w:t>
      </w:r>
      <w:r>
        <w:rPr/>
        <w:t>дуже</w:t>
      </w:r>
      <w:r>
        <w:rPr>
          <w:spacing w:val="-13"/>
        </w:rPr>
        <w:t> </w:t>
      </w:r>
      <w:r>
        <w:rPr/>
        <w:t>важливо</w:t>
      </w:r>
      <w:r>
        <w:rPr>
          <w:spacing w:val="-13"/>
        </w:rPr>
        <w:t> </w:t>
      </w:r>
      <w:r>
        <w:rPr/>
        <w:t>для</w:t>
      </w:r>
      <w:r>
        <w:rPr>
          <w:spacing w:val="-12"/>
        </w:rPr>
        <w:t> </w:t>
      </w:r>
      <w:r>
        <w:rPr/>
        <w:t>людей</w:t>
      </w:r>
      <w:r>
        <w:rPr>
          <w:spacing w:val="-18"/>
        </w:rPr>
        <w:t> </w:t>
      </w:r>
      <w:r>
        <w:rPr/>
        <w:t>даної професії. А тестування з питань, пов’язаних </w:t>
      </w:r>
      <w:r>
        <w:rPr>
          <w:spacing w:val="-3"/>
        </w:rPr>
        <w:t>із </w:t>
      </w:r>
      <w:r>
        <w:rPr/>
        <w:t>дотриманням етичних норм взаємодії, виявили, що студенти-бакалаври зовсім погано знають, як налагоджувати стосунки з власниками тварин і дотримуватись етичних норм взаємодії. Відсутність цих знань буде заважати в успішній професійній діяльності. Проведене тестування показало, що навіть коли здобувачі вищої освіти мають певні знання з окреслених питань, застосування цих знань у професійній</w:t>
      </w:r>
      <w:r>
        <w:rPr>
          <w:spacing w:val="-19"/>
        </w:rPr>
        <w:t> </w:t>
      </w:r>
      <w:r>
        <w:rPr/>
        <w:t>сфері</w:t>
      </w:r>
      <w:r>
        <w:rPr>
          <w:spacing w:val="-23"/>
        </w:rPr>
        <w:t> </w:t>
      </w:r>
      <w:r>
        <w:rPr/>
        <w:t>викликає</w:t>
      </w:r>
      <w:r>
        <w:rPr>
          <w:spacing w:val="-14"/>
        </w:rPr>
        <w:t> </w:t>
      </w:r>
      <w:r>
        <w:rPr/>
        <w:t>труднощі.</w:t>
      </w:r>
      <w:r>
        <w:rPr>
          <w:spacing w:val="-16"/>
        </w:rPr>
        <w:t> </w:t>
      </w:r>
      <w:r>
        <w:rPr/>
        <w:t>Результати</w:t>
      </w:r>
      <w:r>
        <w:rPr>
          <w:spacing w:val="-19"/>
        </w:rPr>
        <w:t> </w:t>
      </w:r>
      <w:r>
        <w:rPr/>
        <w:t>тестування</w:t>
      </w:r>
      <w:r>
        <w:rPr>
          <w:spacing w:val="-18"/>
        </w:rPr>
        <w:t> </w:t>
      </w:r>
      <w:r>
        <w:rPr/>
        <w:t>свідчать</w:t>
      </w:r>
      <w:r>
        <w:rPr>
          <w:spacing w:val="-20"/>
        </w:rPr>
        <w:t> </w:t>
      </w:r>
      <w:r>
        <w:rPr/>
        <w:t>про</w:t>
      </w:r>
      <w:r>
        <w:rPr>
          <w:spacing w:val="-19"/>
        </w:rPr>
        <w:t> </w:t>
      </w:r>
      <w:r>
        <w:rPr/>
        <w:t>те,</w:t>
      </w:r>
      <w:r>
        <w:rPr>
          <w:spacing w:val="-17"/>
        </w:rPr>
        <w:t> </w:t>
      </w:r>
      <w:r>
        <w:rPr/>
        <w:t>що невеликий процент негативних відповідей був на запитання з етики спілкування та</w:t>
      </w:r>
      <w:r>
        <w:rPr>
          <w:spacing w:val="-17"/>
        </w:rPr>
        <w:t> </w:t>
      </w:r>
      <w:r>
        <w:rPr/>
        <w:t>з</w:t>
      </w:r>
      <w:r>
        <w:rPr>
          <w:spacing w:val="-17"/>
        </w:rPr>
        <w:t> </w:t>
      </w:r>
      <w:r>
        <w:rPr/>
        <w:t>професійної</w:t>
      </w:r>
      <w:r>
        <w:rPr>
          <w:spacing w:val="-22"/>
        </w:rPr>
        <w:t> </w:t>
      </w:r>
      <w:r>
        <w:rPr/>
        <w:t>етики.</w:t>
      </w:r>
      <w:r>
        <w:rPr>
          <w:spacing w:val="-16"/>
        </w:rPr>
        <w:t> </w:t>
      </w:r>
      <w:r>
        <w:rPr/>
        <w:t>Майже</w:t>
      </w:r>
      <w:r>
        <w:rPr>
          <w:spacing w:val="-16"/>
        </w:rPr>
        <w:t> </w:t>
      </w:r>
      <w:r>
        <w:rPr/>
        <w:t>всі</w:t>
      </w:r>
      <w:r>
        <w:rPr>
          <w:spacing w:val="-22"/>
        </w:rPr>
        <w:t> </w:t>
      </w:r>
      <w:r>
        <w:rPr/>
        <w:t>майбутні</w:t>
      </w:r>
      <w:r>
        <w:rPr>
          <w:spacing w:val="-22"/>
        </w:rPr>
        <w:t> </w:t>
      </w:r>
      <w:r>
        <w:rPr/>
        <w:t>лікарі</w:t>
      </w:r>
      <w:r>
        <w:rPr>
          <w:spacing w:val="-17"/>
        </w:rPr>
        <w:t> </w:t>
      </w:r>
      <w:r>
        <w:rPr/>
        <w:t>ветеринарної</w:t>
      </w:r>
      <w:r>
        <w:rPr>
          <w:spacing w:val="-22"/>
        </w:rPr>
        <w:t> </w:t>
      </w:r>
      <w:r>
        <w:rPr/>
        <w:t>медицини</w:t>
      </w:r>
      <w:r>
        <w:rPr>
          <w:spacing w:val="-19"/>
        </w:rPr>
        <w:t> </w:t>
      </w:r>
      <w:r>
        <w:rPr/>
        <w:t>ОДАУ правильно вважали, що етика спілкування допускає співпереживання, а професійна етика – це співвідношення інтересів суспільства і гарантії суверенності особистості </w:t>
      </w:r>
      <w:r>
        <w:rPr>
          <w:spacing w:val="3"/>
        </w:rPr>
        <w:t>як </w:t>
      </w:r>
      <w:r>
        <w:rPr/>
        <w:t>носія певної професії, а також високі вимоги до професіонала, у тому числі до його морально-етичного</w:t>
      </w:r>
      <w:r>
        <w:rPr>
          <w:spacing w:val="-10"/>
        </w:rPr>
        <w:t> </w:t>
      </w:r>
      <w:r>
        <w:rPr/>
        <w:t>обличчя.</w:t>
      </w:r>
    </w:p>
    <w:p>
      <w:pPr>
        <w:pStyle w:val="BodyText"/>
        <w:spacing w:before="1"/>
        <w:ind w:right="607" w:firstLine="710"/>
      </w:pPr>
      <w:r>
        <w:rPr/>
        <w:t>Можна констатувати, що у формуванні професійно-етичної компетентності майбутнього лікаря ветеринарної медицини важлива роль належить навчальному процесу, етико-виховному напрямку лекцій, семінарських і практичних занять. Моральні якості майбутнього лікаря ветеринарної медицини формуються не тільки під час лекцій, семінарських і практичних занять, але і в ході практики в ветеринарних клініках та на тваринницьких фермах.</w:t>
      </w:r>
    </w:p>
    <w:p>
      <w:pPr>
        <w:pStyle w:val="BodyText"/>
        <w:ind w:right="607" w:firstLine="710"/>
      </w:pPr>
      <w:r>
        <w:rPr/>
        <w:t>З метою підвищення рівня сформованості професійно-етичної компетентності майбутніх лікарів ветеринарної медицини ОДАУ нами був застосований</w:t>
      </w:r>
      <w:r>
        <w:rPr>
          <w:spacing w:val="-11"/>
        </w:rPr>
        <w:t> </w:t>
      </w:r>
      <w:r>
        <w:rPr/>
        <w:t>психокорекційний</w:t>
      </w:r>
      <w:r>
        <w:rPr>
          <w:spacing w:val="-11"/>
        </w:rPr>
        <w:t> </w:t>
      </w:r>
      <w:r>
        <w:rPr/>
        <w:t>метод</w:t>
      </w:r>
      <w:r>
        <w:rPr>
          <w:spacing w:val="-9"/>
        </w:rPr>
        <w:t> </w:t>
      </w:r>
      <w:r>
        <w:rPr/>
        <w:t>«символдрама»</w:t>
      </w:r>
      <w:r>
        <w:rPr>
          <w:spacing w:val="-15"/>
        </w:rPr>
        <w:t> </w:t>
      </w:r>
      <w:r>
        <w:rPr/>
        <w:t>на</w:t>
      </w:r>
      <w:r>
        <w:rPr>
          <w:spacing w:val="-11"/>
        </w:rPr>
        <w:t> </w:t>
      </w:r>
      <w:r>
        <w:rPr/>
        <w:t>семінарських</w:t>
      </w:r>
      <w:r>
        <w:rPr>
          <w:spacing w:val="-15"/>
        </w:rPr>
        <w:t> </w:t>
      </w:r>
      <w:r>
        <w:rPr/>
        <w:t>заняттях з навчальної дисципліни</w:t>
      </w:r>
      <w:r>
        <w:rPr>
          <w:spacing w:val="2"/>
        </w:rPr>
        <w:t> </w:t>
      </w:r>
      <w:r>
        <w:rPr/>
        <w:t>«Психологія».</w:t>
      </w:r>
    </w:p>
    <w:p>
      <w:pPr>
        <w:spacing w:after="0"/>
        <w:sectPr>
          <w:pgSz w:w="11910" w:h="16840"/>
          <w:pgMar w:header="713" w:footer="778" w:top="1140" w:bottom="960" w:left="940" w:right="520"/>
        </w:sectPr>
      </w:pPr>
    </w:p>
    <w:p>
      <w:pPr>
        <w:pStyle w:val="BodyText"/>
        <w:spacing w:before="92"/>
        <w:ind w:right="617" w:firstLine="710"/>
      </w:pPr>
      <w:r>
        <w:rPr/>
        <w:t>Предметом дослідження був аналіз поведінки студентів під час перебування в образі, побудованого за психокорекційним методом</w:t>
      </w:r>
    </w:p>
    <w:p>
      <w:pPr>
        <w:pStyle w:val="BodyText"/>
        <w:spacing w:line="321" w:lineRule="exact"/>
      </w:pPr>
      <w:r>
        <w:rPr/>
        <w:t>«символдрама» та формування у них професійно-етичної компетентності.</w:t>
      </w:r>
    </w:p>
    <w:p>
      <w:pPr>
        <w:pStyle w:val="BodyText"/>
        <w:ind w:right="609" w:firstLine="710"/>
      </w:pPr>
      <w:r>
        <w:rPr/>
        <w:t>Майбутні лікарі ветеринарної медицини ОДАУ в процесі професійної підготовки вивчають навчальну дисципліну «Психологію», яка має на меті ознайомити здобувачів вищої освіти з основними поняттями і термінами психологічної науки та сформувати професійно-етичні компетентності в ході проведення семінарських занять. У ході вивчення навчальної дисципліни здобувачі вищої освіти отримують знання про напрями психології, такі як: гештальтпсихологія, біхевіоризм, когнітивна психологія, гуманістична психологія, психоаналіз та </w:t>
      </w:r>
      <w:r>
        <w:rPr>
          <w:spacing w:val="-3"/>
        </w:rPr>
        <w:t>ін. </w:t>
      </w:r>
      <w:r>
        <w:rPr/>
        <w:t>Враховуючи специфіку професії майбутніх ветеринарних лікарів та те, що великий процент здобувачів вищої освіти даного профілю залишається працювати в місті в ветеринарних клініках нами було розроблене комплексне заняття з елементами «символдрами» в ході навчальної дисципліни «Психологія». Заняття проводилося в два етапи. </w:t>
      </w:r>
      <w:r>
        <w:rPr>
          <w:spacing w:val="-3"/>
        </w:rPr>
        <w:t>На </w:t>
      </w:r>
      <w:r>
        <w:rPr/>
        <w:t>першому етапі майбутнім лікарям ветеринарної медицини була прочитана лекція про етику фахівця-аграрія,</w:t>
      </w:r>
      <w:r>
        <w:rPr>
          <w:spacing w:val="-15"/>
        </w:rPr>
        <w:t> </w:t>
      </w:r>
      <w:r>
        <w:rPr/>
        <w:t>особлива</w:t>
      </w:r>
      <w:r>
        <w:rPr>
          <w:spacing w:val="-15"/>
        </w:rPr>
        <w:t> </w:t>
      </w:r>
      <w:r>
        <w:rPr/>
        <w:t>увага</w:t>
      </w:r>
      <w:r>
        <w:rPr>
          <w:spacing w:val="-15"/>
        </w:rPr>
        <w:t> </w:t>
      </w:r>
      <w:r>
        <w:rPr/>
        <w:t>була</w:t>
      </w:r>
      <w:r>
        <w:rPr>
          <w:spacing w:val="-15"/>
        </w:rPr>
        <w:t> </w:t>
      </w:r>
      <w:r>
        <w:rPr/>
        <w:t>приділена</w:t>
      </w:r>
      <w:r>
        <w:rPr>
          <w:spacing w:val="-15"/>
        </w:rPr>
        <w:t> </w:t>
      </w:r>
      <w:r>
        <w:rPr/>
        <w:t>особливостям</w:t>
      </w:r>
      <w:r>
        <w:rPr>
          <w:spacing w:val="-15"/>
        </w:rPr>
        <w:t> </w:t>
      </w:r>
      <w:r>
        <w:rPr/>
        <w:t>професійної</w:t>
      </w:r>
      <w:r>
        <w:rPr>
          <w:spacing w:val="-20"/>
        </w:rPr>
        <w:t> </w:t>
      </w:r>
      <w:r>
        <w:rPr/>
        <w:t>етики лікаря ветеринарної медицини. Дане заняття мало на меті закласти теоретичну основу формування професійно-етичної компентності майбутніх ветеринарних лікарів. Ціллю другого етапу було перевірити засвоєння цих знань на практиці. </w:t>
      </w:r>
      <w:r>
        <w:rPr>
          <w:spacing w:val="-3"/>
        </w:rPr>
        <w:t>На </w:t>
      </w:r>
      <w:r>
        <w:rPr/>
        <w:t>другому етапі було розроблене комплексне практичне заняття, яке мало на меті показати особливості застосування напрямку психоаналізу на прикладі психокорекційного методу «символдрама» та довести ефективність його застосування у формуванні професійно-етичної компетентності майбутніх лікарів ветеринарної</w:t>
      </w:r>
      <w:r>
        <w:rPr>
          <w:spacing w:val="-1"/>
        </w:rPr>
        <w:t> </w:t>
      </w:r>
      <w:r>
        <w:rPr/>
        <w:t>медицини.</w:t>
      </w:r>
    </w:p>
    <w:p>
      <w:pPr>
        <w:pStyle w:val="BodyText"/>
        <w:spacing w:before="3"/>
        <w:ind w:right="615" w:firstLine="710"/>
      </w:pPr>
      <w:r>
        <w:rPr/>
        <w:t>«Символдрама» є одним із напрямків психотерапії, що базується на принципах глибинної психології, у якому використовується особливий метод роботи з уявою для того, щоб зробити наочним несвідомі бажання людини, її фантазії, конфлікти і механізми захисту. В основі цього методу лежить теоретична база психоаналізу та виходить з аналізу несвідомої динаміки актуально діючих конфліктів.</w:t>
      </w:r>
    </w:p>
    <w:p>
      <w:pPr>
        <w:pStyle w:val="BodyText"/>
        <w:spacing w:before="3"/>
        <w:ind w:right="609" w:firstLine="710"/>
      </w:pPr>
      <w:r>
        <w:rPr/>
        <w:t>Дослідження проводилось після ознайомлення студентів з теоретичним матеріалом про напрями і школи психології та ознайомлення з особливостями емоційно-вольових процесів. Для проведення заняття використовувались елементи психокорекційного методу «символдрами», зокрема студентам було запропоновано інтерактивну техніку «Я в ветеринарній клініці». Перед проведенням заняття було з’ясовано кількість учасників, які вже тимчасово працювали в ветеринарних клініках або проходили в них практику. Таких було 17 учасників. Та тих студентів, хто ще не працював за обраним фахом.</w:t>
      </w:r>
    </w:p>
    <w:p>
      <w:pPr>
        <w:pStyle w:val="BodyText"/>
        <w:ind w:right="609" w:firstLine="710"/>
      </w:pPr>
      <w:r>
        <w:rPr/>
        <w:t>Дослідження проводилося в два етапи. У вправі брали участь 22 студенти третього року навчання спеціальності 211 Ветеринарна медицина факультету ветеринарної медицини та біотехнологій ОДАУ. Після проведеної релаксації студентам було запропоновано уявити візит до ветеринарної клініки в ролі господаря якоїсь тварини, яка потребує допомоги ветеринарного лікаря.</w:t>
      </w:r>
    </w:p>
    <w:p>
      <w:pPr>
        <w:spacing w:after="0"/>
        <w:sectPr>
          <w:pgSz w:w="11910" w:h="16840"/>
          <w:pgMar w:header="713" w:footer="778" w:top="1140" w:bottom="960" w:left="940" w:right="520"/>
        </w:sectPr>
      </w:pPr>
    </w:p>
    <w:p>
      <w:pPr>
        <w:pStyle w:val="BodyText"/>
        <w:spacing w:before="92"/>
        <w:ind w:right="609" w:firstLine="710"/>
      </w:pPr>
      <w:r>
        <w:rPr/>
        <w:t>Учасники</w:t>
      </w:r>
      <w:r>
        <w:rPr>
          <w:spacing w:val="-6"/>
        </w:rPr>
        <w:t> </w:t>
      </w:r>
      <w:r>
        <w:rPr/>
        <w:t>мали</w:t>
      </w:r>
      <w:r>
        <w:rPr>
          <w:spacing w:val="-5"/>
        </w:rPr>
        <w:t> </w:t>
      </w:r>
      <w:r>
        <w:rPr/>
        <w:t>уявити,</w:t>
      </w:r>
      <w:r>
        <w:rPr>
          <w:spacing w:val="-4"/>
        </w:rPr>
        <w:t> </w:t>
      </w:r>
      <w:r>
        <w:rPr>
          <w:spacing w:val="2"/>
        </w:rPr>
        <w:t>як</w:t>
      </w:r>
      <w:r>
        <w:rPr>
          <w:spacing w:val="-5"/>
        </w:rPr>
        <w:t> </w:t>
      </w:r>
      <w:r>
        <w:rPr/>
        <w:t>вони</w:t>
      </w:r>
      <w:r>
        <w:rPr>
          <w:spacing w:val="-5"/>
        </w:rPr>
        <w:t> </w:t>
      </w:r>
      <w:r>
        <w:rPr/>
        <w:t>виглядають,</w:t>
      </w:r>
      <w:r>
        <w:rPr>
          <w:spacing w:val="-3"/>
        </w:rPr>
        <w:t> </w:t>
      </w:r>
      <w:r>
        <w:rPr/>
        <w:t>що</w:t>
      </w:r>
      <w:r>
        <w:rPr>
          <w:spacing w:val="-5"/>
        </w:rPr>
        <w:t> </w:t>
      </w:r>
      <w:r>
        <w:rPr/>
        <w:t>відчувають</w:t>
      </w:r>
      <w:r>
        <w:rPr>
          <w:spacing w:val="-7"/>
        </w:rPr>
        <w:t> </w:t>
      </w:r>
      <w:r>
        <w:rPr/>
        <w:t>в</w:t>
      </w:r>
      <w:r>
        <w:rPr>
          <w:spacing w:val="-7"/>
        </w:rPr>
        <w:t> </w:t>
      </w:r>
      <w:r>
        <w:rPr/>
        <w:t>момент</w:t>
      </w:r>
      <w:r>
        <w:rPr>
          <w:spacing w:val="-6"/>
        </w:rPr>
        <w:t> </w:t>
      </w:r>
      <w:r>
        <w:rPr/>
        <w:t>коли зверталися до ветеринарної клініки за допомогою. Потім уявити собі яка у них тварина і що з нею сталося. Бакалаври мали закцентувати свою увагу на своєму психоемоційному стані, як вони відносилися до ветеринарного лікаря, який оглядав їх тварину, що відчувала тварина в момент її</w:t>
      </w:r>
      <w:r>
        <w:rPr>
          <w:spacing w:val="-7"/>
        </w:rPr>
        <w:t> </w:t>
      </w:r>
      <w:r>
        <w:rPr/>
        <w:t>огляду.</w:t>
      </w:r>
    </w:p>
    <w:p>
      <w:pPr>
        <w:pStyle w:val="BodyText"/>
        <w:spacing w:before="3"/>
        <w:ind w:right="610" w:firstLine="710"/>
      </w:pPr>
      <w:r>
        <w:rPr/>
        <w:t>Після проведеної вправи бакалаври по-черзі розповіли про те що вони побачили в образі, що вони відчували; яку допомогу хотіли отримати в клініці для</w:t>
      </w:r>
      <w:r>
        <w:rPr>
          <w:spacing w:val="-6"/>
        </w:rPr>
        <w:t> </w:t>
      </w:r>
      <w:r>
        <w:rPr/>
        <w:t>своїх</w:t>
      </w:r>
      <w:r>
        <w:rPr>
          <w:spacing w:val="-8"/>
        </w:rPr>
        <w:t> </w:t>
      </w:r>
      <w:r>
        <w:rPr/>
        <w:t>тварин;</w:t>
      </w:r>
      <w:r>
        <w:rPr>
          <w:spacing w:val="-8"/>
        </w:rPr>
        <w:t> </w:t>
      </w:r>
      <w:r>
        <w:rPr/>
        <w:t>як</w:t>
      </w:r>
      <w:r>
        <w:rPr>
          <w:spacing w:val="-7"/>
        </w:rPr>
        <w:t> </w:t>
      </w:r>
      <w:r>
        <w:rPr/>
        <w:t>відчували</w:t>
      </w:r>
      <w:r>
        <w:rPr>
          <w:spacing w:val="-3"/>
        </w:rPr>
        <w:t> </w:t>
      </w:r>
      <w:r>
        <w:rPr/>
        <w:t>себе</w:t>
      </w:r>
      <w:r>
        <w:rPr>
          <w:spacing w:val="-7"/>
        </w:rPr>
        <w:t> </w:t>
      </w:r>
      <w:r>
        <w:rPr/>
        <w:t>тварини,</w:t>
      </w:r>
      <w:r>
        <w:rPr>
          <w:spacing w:val="-6"/>
        </w:rPr>
        <w:t> </w:t>
      </w:r>
      <w:r>
        <w:rPr/>
        <w:t>на</w:t>
      </w:r>
      <w:r>
        <w:rPr>
          <w:spacing w:val="-6"/>
        </w:rPr>
        <w:t> </w:t>
      </w:r>
      <w:r>
        <w:rPr/>
        <w:t>їх</w:t>
      </w:r>
      <w:r>
        <w:rPr>
          <w:spacing w:val="-13"/>
        </w:rPr>
        <w:t> </w:t>
      </w:r>
      <w:r>
        <w:rPr/>
        <w:t>думку,</w:t>
      </w:r>
      <w:r>
        <w:rPr>
          <w:spacing w:val="-5"/>
        </w:rPr>
        <w:t> </w:t>
      </w:r>
      <w:r>
        <w:rPr/>
        <w:t>під</w:t>
      </w:r>
      <w:r>
        <w:rPr>
          <w:spacing w:val="-5"/>
        </w:rPr>
        <w:t> </w:t>
      </w:r>
      <w:r>
        <w:rPr/>
        <w:t>час</w:t>
      </w:r>
      <w:r>
        <w:rPr>
          <w:spacing w:val="-6"/>
        </w:rPr>
        <w:t> </w:t>
      </w:r>
      <w:r>
        <w:rPr/>
        <w:t>огляду</w:t>
      </w:r>
      <w:r>
        <w:rPr>
          <w:spacing w:val="-12"/>
        </w:rPr>
        <w:t> </w:t>
      </w:r>
      <w:r>
        <w:rPr/>
        <w:t>лікарем; чи задоволені вони ставленням лікаря до їх тварини; чи кваліфіковані були дії лікаря.</w:t>
      </w:r>
    </w:p>
    <w:p>
      <w:pPr>
        <w:pStyle w:val="BodyText"/>
        <w:ind w:right="613" w:firstLine="710"/>
      </w:pPr>
      <w:r>
        <w:rPr/>
        <w:t>Після завершення образу учасникам було запропоновано намалювати те, що вони побачили під час виконання завдання. Наведемо кілька прикладів виконання цього завдання учасниками. Майже всі учасники заняття відмітили глибоку стурбованість за здоров’я і життя своїх тварин більше половини, а саме 14</w:t>
      </w:r>
      <w:r>
        <w:rPr>
          <w:spacing w:val="-13"/>
        </w:rPr>
        <w:t> </w:t>
      </w:r>
      <w:r>
        <w:rPr/>
        <w:t>учасників</w:t>
      </w:r>
      <w:r>
        <w:rPr>
          <w:spacing w:val="-16"/>
        </w:rPr>
        <w:t> </w:t>
      </w:r>
      <w:r>
        <w:rPr/>
        <w:t>відчували</w:t>
      </w:r>
      <w:r>
        <w:rPr>
          <w:spacing w:val="-12"/>
        </w:rPr>
        <w:t> </w:t>
      </w:r>
      <w:r>
        <w:rPr/>
        <w:t>розгубленість</w:t>
      </w:r>
      <w:r>
        <w:rPr>
          <w:spacing w:val="-11"/>
        </w:rPr>
        <w:t> </w:t>
      </w:r>
      <w:r>
        <w:rPr/>
        <w:t>у</w:t>
      </w:r>
      <w:r>
        <w:rPr>
          <w:spacing w:val="-18"/>
        </w:rPr>
        <w:t> </w:t>
      </w:r>
      <w:r>
        <w:rPr/>
        <w:t>цій</w:t>
      </w:r>
      <w:r>
        <w:rPr>
          <w:spacing w:val="-12"/>
        </w:rPr>
        <w:t> </w:t>
      </w:r>
      <w:r>
        <w:rPr/>
        <w:t>ситуації.</w:t>
      </w:r>
      <w:r>
        <w:rPr>
          <w:spacing w:val="-11"/>
        </w:rPr>
        <w:t> </w:t>
      </w:r>
      <w:r>
        <w:rPr/>
        <w:t>Кожен</w:t>
      </w:r>
      <w:r>
        <w:rPr>
          <w:spacing w:val="-12"/>
        </w:rPr>
        <w:t> </w:t>
      </w:r>
      <w:r>
        <w:rPr/>
        <w:t>господар</w:t>
      </w:r>
      <w:r>
        <w:rPr>
          <w:spacing w:val="-13"/>
        </w:rPr>
        <w:t> </w:t>
      </w:r>
      <w:r>
        <w:rPr/>
        <w:t>вимагав</w:t>
      </w:r>
      <w:r>
        <w:rPr>
          <w:spacing w:val="-10"/>
        </w:rPr>
        <w:t> </w:t>
      </w:r>
      <w:r>
        <w:rPr/>
        <w:t>від ветеринарного лікаря кваліфікованої допомоги і психологічної підтримки. Майже всі учасники помітили занепокоєння своєї тварини, з якими вони прийшли до клініки. Учасники ділилися своїми враженнями про свої емоційні стани,</w:t>
      </w:r>
      <w:r>
        <w:rPr>
          <w:spacing w:val="-8"/>
        </w:rPr>
        <w:t> </w:t>
      </w:r>
      <w:r>
        <w:rPr/>
        <w:t>які</w:t>
      </w:r>
      <w:r>
        <w:rPr>
          <w:spacing w:val="-15"/>
        </w:rPr>
        <w:t> </w:t>
      </w:r>
      <w:r>
        <w:rPr/>
        <w:t>вони</w:t>
      </w:r>
      <w:r>
        <w:rPr>
          <w:spacing w:val="-10"/>
        </w:rPr>
        <w:t> </w:t>
      </w:r>
      <w:r>
        <w:rPr/>
        <w:t>пережили</w:t>
      </w:r>
      <w:r>
        <w:rPr>
          <w:spacing w:val="-10"/>
        </w:rPr>
        <w:t> </w:t>
      </w:r>
      <w:r>
        <w:rPr/>
        <w:t>в</w:t>
      </w:r>
      <w:r>
        <w:rPr>
          <w:spacing w:val="-11"/>
        </w:rPr>
        <w:t> </w:t>
      </w:r>
      <w:r>
        <w:rPr/>
        <w:t>образі</w:t>
      </w:r>
      <w:r>
        <w:rPr>
          <w:spacing w:val="-14"/>
        </w:rPr>
        <w:t> </w:t>
      </w:r>
      <w:r>
        <w:rPr/>
        <w:t>господарів</w:t>
      </w:r>
      <w:r>
        <w:rPr>
          <w:spacing w:val="-11"/>
        </w:rPr>
        <w:t> </w:t>
      </w:r>
      <w:r>
        <w:rPr/>
        <w:t>тварин,</w:t>
      </w:r>
      <w:r>
        <w:rPr>
          <w:spacing w:val="-7"/>
        </w:rPr>
        <w:t> </w:t>
      </w:r>
      <w:r>
        <w:rPr/>
        <w:t>а</w:t>
      </w:r>
      <w:r>
        <w:rPr>
          <w:spacing w:val="-10"/>
        </w:rPr>
        <w:t> </w:t>
      </w:r>
      <w:r>
        <w:rPr/>
        <w:t>потім</w:t>
      </w:r>
      <w:r>
        <w:rPr>
          <w:spacing w:val="-8"/>
        </w:rPr>
        <w:t> </w:t>
      </w:r>
      <w:r>
        <w:rPr/>
        <w:t>поділилися</w:t>
      </w:r>
      <w:r>
        <w:rPr>
          <w:spacing w:val="-9"/>
        </w:rPr>
        <w:t> </w:t>
      </w:r>
      <w:r>
        <w:rPr/>
        <w:t>думкою про те, що відчували їх тварини при огляді їх ветеринарним лікарем. Для здобувачів вищої освіти було досить незвично уявити такі</w:t>
      </w:r>
      <w:r>
        <w:rPr>
          <w:spacing w:val="-14"/>
        </w:rPr>
        <w:t> </w:t>
      </w:r>
      <w:r>
        <w:rPr/>
        <w:t>переживання.</w:t>
      </w:r>
    </w:p>
    <w:p>
      <w:pPr>
        <w:pStyle w:val="BodyText"/>
        <w:ind w:right="611" w:firstLine="710"/>
      </w:pPr>
      <w:r>
        <w:rPr/>
        <w:t>Такі переживання досить позитивні з погляду на те, що майбутній ветеринарний лікар повинен обов’язково враховувати в якому стані приходять до клініки господарі тварин та самі тварини. Такі уявлення здебільшого у майбутніх фахівців є досить поверховими. Для більшості учасників стало зрозуміло, що їх майбутні пацієнти, як і їх господарі потребують психологічної підтримки.</w:t>
      </w:r>
    </w:p>
    <w:p>
      <w:pPr>
        <w:pStyle w:val="BodyText"/>
        <w:ind w:right="614" w:firstLine="710"/>
      </w:pPr>
      <w:r>
        <w:rPr/>
        <w:t>Після проведеного заняття двоє його учасників замислилися над тим, що можливо навчання в магістратурі краще продовжити за спеціальністю ветеринарна гігієна, санітарія і експертиза.</w:t>
      </w:r>
    </w:p>
    <w:p>
      <w:pPr>
        <w:pStyle w:val="BodyText"/>
        <w:ind w:right="607" w:firstLine="710"/>
      </w:pPr>
      <w:r>
        <w:rPr>
          <w:b/>
        </w:rPr>
        <w:t>Висновки</w:t>
      </w:r>
      <w:r>
        <w:rPr/>
        <w:t>. Після проведених практичних занять з застосуванням психокорекційного методу «символдрама» з майбутніми лікарями ветеринарної медицини ОДАУ, метою яких було формування професійно-етичної компетентності можна констатувати наступне:</w:t>
      </w:r>
    </w:p>
    <w:p>
      <w:pPr>
        <w:pStyle w:val="ListParagraph"/>
        <w:numPr>
          <w:ilvl w:val="0"/>
          <w:numId w:val="27"/>
        </w:numPr>
        <w:tabs>
          <w:tab w:pos="1610" w:val="left" w:leader="none"/>
        </w:tabs>
        <w:spacing w:line="240" w:lineRule="auto" w:before="1" w:after="0"/>
        <w:ind w:left="193" w:right="621" w:firstLine="710"/>
        <w:jc w:val="both"/>
        <w:rPr>
          <w:sz w:val="28"/>
        </w:rPr>
      </w:pPr>
      <w:r>
        <w:rPr>
          <w:sz w:val="28"/>
        </w:rPr>
        <w:t>Елементи методу «символдрама» можуть успішно використовуватися в підготовці майбутніх лікарів ветеринарної</w:t>
      </w:r>
      <w:r>
        <w:rPr>
          <w:spacing w:val="-22"/>
          <w:sz w:val="28"/>
        </w:rPr>
        <w:t> </w:t>
      </w:r>
      <w:r>
        <w:rPr>
          <w:sz w:val="28"/>
        </w:rPr>
        <w:t>медицини;</w:t>
      </w:r>
    </w:p>
    <w:p>
      <w:pPr>
        <w:pStyle w:val="ListParagraph"/>
        <w:numPr>
          <w:ilvl w:val="0"/>
          <w:numId w:val="27"/>
        </w:numPr>
        <w:tabs>
          <w:tab w:pos="1610" w:val="left" w:leader="none"/>
        </w:tabs>
        <w:spacing w:line="240" w:lineRule="auto" w:before="0" w:after="0"/>
        <w:ind w:left="193" w:right="612" w:firstLine="710"/>
        <w:jc w:val="both"/>
        <w:rPr>
          <w:sz w:val="28"/>
        </w:rPr>
      </w:pPr>
      <w:r>
        <w:rPr>
          <w:sz w:val="28"/>
        </w:rPr>
        <w:t>Практичне заняття знайомить здобувачів вищої</w:t>
      </w:r>
      <w:r>
        <w:rPr>
          <w:spacing w:val="-52"/>
          <w:sz w:val="28"/>
        </w:rPr>
        <w:t> </w:t>
      </w:r>
      <w:r>
        <w:rPr>
          <w:sz w:val="28"/>
        </w:rPr>
        <w:t>освіти з релаксацією не тільки теоретично, але й дає можливість відчути її на собі, що є важливо в майбутній роботі лікаря ветеринарної медицини; проведене заняття дало змогу здобувачам вищої освіти краще зрозуміти своїх майбутніх пацієнтів та дотримуватись головного правила лікаря «Не</w:t>
      </w:r>
      <w:r>
        <w:rPr>
          <w:spacing w:val="2"/>
          <w:sz w:val="28"/>
        </w:rPr>
        <w:t> </w:t>
      </w:r>
      <w:r>
        <w:rPr>
          <w:sz w:val="28"/>
        </w:rPr>
        <w:t>нашкодь».</w:t>
      </w:r>
    </w:p>
    <w:p>
      <w:pPr>
        <w:spacing w:after="0" w:line="240" w:lineRule="auto"/>
        <w:jc w:val="both"/>
        <w:rPr>
          <w:sz w:val="28"/>
        </w:rPr>
        <w:sectPr>
          <w:pgSz w:w="11910" w:h="16840"/>
          <w:pgMar w:header="713" w:footer="778" w:top="1140" w:bottom="960" w:left="940" w:right="520"/>
        </w:sectPr>
      </w:pPr>
    </w:p>
    <w:p>
      <w:pPr>
        <w:pStyle w:val="Heading1"/>
        <w:spacing w:line="319" w:lineRule="exact" w:before="96"/>
        <w:ind w:left="187"/>
      </w:pPr>
      <w:r>
        <w:rPr/>
        <w:t>ЛІТЕРАТУРА</w:t>
      </w:r>
    </w:p>
    <w:p>
      <w:pPr>
        <w:pStyle w:val="ListParagraph"/>
        <w:numPr>
          <w:ilvl w:val="0"/>
          <w:numId w:val="28"/>
        </w:numPr>
        <w:tabs>
          <w:tab w:pos="1188" w:val="left" w:leader="none"/>
        </w:tabs>
        <w:spacing w:line="240" w:lineRule="auto" w:before="0" w:after="0"/>
        <w:ind w:left="193" w:right="625" w:firstLine="710"/>
        <w:jc w:val="both"/>
        <w:rPr>
          <w:sz w:val="28"/>
        </w:rPr>
      </w:pPr>
      <w:r>
        <w:rPr>
          <w:sz w:val="28"/>
        </w:rPr>
        <w:t>Словник-довідник з професійної педагогіки / за ред. </w:t>
      </w:r>
      <w:r>
        <w:rPr>
          <w:spacing w:val="-3"/>
          <w:sz w:val="28"/>
        </w:rPr>
        <w:t>А. </w:t>
      </w:r>
      <w:r>
        <w:rPr>
          <w:sz w:val="28"/>
        </w:rPr>
        <w:t>В. Семенової. Одеса : Пальміра, 2006. С.</w:t>
      </w:r>
      <w:r>
        <w:rPr>
          <w:spacing w:val="12"/>
          <w:sz w:val="28"/>
        </w:rPr>
        <w:t> </w:t>
      </w:r>
      <w:r>
        <w:rPr>
          <w:sz w:val="28"/>
        </w:rPr>
        <w:t>233.</w:t>
      </w:r>
    </w:p>
    <w:p>
      <w:pPr>
        <w:pStyle w:val="ListParagraph"/>
        <w:numPr>
          <w:ilvl w:val="0"/>
          <w:numId w:val="28"/>
        </w:numPr>
        <w:tabs>
          <w:tab w:pos="1188" w:val="left" w:leader="none"/>
        </w:tabs>
        <w:spacing w:line="240" w:lineRule="auto" w:before="0" w:after="0"/>
        <w:ind w:left="193" w:right="605" w:firstLine="710"/>
        <w:jc w:val="both"/>
        <w:rPr>
          <w:sz w:val="28"/>
        </w:rPr>
      </w:pPr>
      <w:r>
        <w:rPr>
          <w:sz w:val="28"/>
        </w:rPr>
        <w:t>Дудікова Л. В. Методичні рекомендації науково-педагогічним працівникам медичних закладів вищої освіти щодо формування професійно- етичної</w:t>
      </w:r>
      <w:r>
        <w:rPr>
          <w:spacing w:val="-16"/>
          <w:sz w:val="28"/>
        </w:rPr>
        <w:t> </w:t>
      </w:r>
      <w:r>
        <w:rPr>
          <w:sz w:val="28"/>
        </w:rPr>
        <w:t>компетентності</w:t>
      </w:r>
      <w:r>
        <w:rPr>
          <w:spacing w:val="-16"/>
          <w:sz w:val="28"/>
        </w:rPr>
        <w:t> </w:t>
      </w:r>
      <w:r>
        <w:rPr>
          <w:sz w:val="28"/>
        </w:rPr>
        <w:t>майбутніх</w:t>
      </w:r>
      <w:r>
        <w:rPr>
          <w:spacing w:val="-16"/>
          <w:sz w:val="28"/>
        </w:rPr>
        <w:t> </w:t>
      </w:r>
      <w:r>
        <w:rPr>
          <w:sz w:val="28"/>
        </w:rPr>
        <w:t>лікарів.</w:t>
      </w:r>
      <w:r>
        <w:rPr>
          <w:spacing w:val="-9"/>
          <w:sz w:val="28"/>
        </w:rPr>
        <w:t> </w:t>
      </w:r>
      <w:r>
        <w:rPr>
          <w:sz w:val="28"/>
        </w:rPr>
        <w:t>Молодь</w:t>
      </w:r>
      <w:r>
        <w:rPr>
          <w:spacing w:val="-13"/>
          <w:sz w:val="28"/>
        </w:rPr>
        <w:t> </w:t>
      </w:r>
      <w:r>
        <w:rPr>
          <w:sz w:val="28"/>
        </w:rPr>
        <w:t>і</w:t>
      </w:r>
      <w:r>
        <w:rPr>
          <w:spacing w:val="-16"/>
          <w:sz w:val="28"/>
        </w:rPr>
        <w:t> </w:t>
      </w:r>
      <w:r>
        <w:rPr>
          <w:sz w:val="28"/>
        </w:rPr>
        <w:t>ринок.</w:t>
      </w:r>
      <w:r>
        <w:rPr>
          <w:spacing w:val="-1"/>
          <w:sz w:val="28"/>
        </w:rPr>
        <w:t> </w:t>
      </w:r>
      <w:r>
        <w:rPr>
          <w:sz w:val="28"/>
        </w:rPr>
        <w:t>2018.</w:t>
      </w:r>
      <w:r>
        <w:rPr>
          <w:spacing w:val="-9"/>
          <w:sz w:val="28"/>
        </w:rPr>
        <w:t> </w:t>
      </w:r>
      <w:r>
        <w:rPr>
          <w:sz w:val="28"/>
        </w:rPr>
        <w:t>№6</w:t>
      </w:r>
      <w:r>
        <w:rPr>
          <w:spacing w:val="-11"/>
          <w:sz w:val="28"/>
        </w:rPr>
        <w:t> </w:t>
      </w:r>
      <w:r>
        <w:rPr>
          <w:sz w:val="28"/>
        </w:rPr>
        <w:t>(161).</w:t>
      </w:r>
      <w:r>
        <w:rPr>
          <w:spacing w:val="-9"/>
          <w:sz w:val="28"/>
        </w:rPr>
        <w:t> </w:t>
      </w:r>
      <w:r>
        <w:rPr>
          <w:sz w:val="28"/>
        </w:rPr>
        <w:t>С.55- 61.</w:t>
      </w:r>
    </w:p>
    <w:p>
      <w:pPr>
        <w:pStyle w:val="ListParagraph"/>
        <w:numPr>
          <w:ilvl w:val="0"/>
          <w:numId w:val="28"/>
        </w:numPr>
        <w:tabs>
          <w:tab w:pos="1188" w:val="left" w:leader="none"/>
          <w:tab w:pos="2367" w:val="left" w:leader="none"/>
          <w:tab w:pos="2827" w:val="left" w:leader="none"/>
          <w:tab w:pos="3374" w:val="left" w:leader="none"/>
          <w:tab w:pos="4510" w:val="left" w:leader="none"/>
          <w:tab w:pos="5235" w:val="left" w:leader="none"/>
          <w:tab w:pos="7397" w:val="left" w:leader="none"/>
          <w:tab w:pos="8451" w:val="left" w:leader="none"/>
          <w:tab w:pos="8917" w:val="left" w:leader="none"/>
          <w:tab w:pos="9689" w:val="left" w:leader="none"/>
        </w:tabs>
        <w:spacing w:line="240" w:lineRule="auto" w:before="1" w:after="0"/>
        <w:ind w:left="193" w:right="617" w:firstLine="710"/>
        <w:jc w:val="left"/>
        <w:rPr>
          <w:sz w:val="28"/>
        </w:rPr>
      </w:pPr>
      <w:r>
        <w:rPr>
          <w:sz w:val="28"/>
        </w:rPr>
        <w:t>Болотов</w:t>
        <w:tab/>
        <w:t>В.</w:t>
        <w:tab/>
        <w:t>А.,</w:t>
        <w:tab/>
        <w:t>Серіков</w:t>
        <w:tab/>
        <w:t>В.В.</w:t>
        <w:tab/>
        <w:t>Компетентосная</w:t>
        <w:tab/>
        <w:t>модель</w:t>
        <w:tab/>
        <w:t>от</w:t>
        <w:tab/>
        <w:t>идеи</w:t>
        <w:tab/>
      </w:r>
      <w:r>
        <w:rPr>
          <w:spacing w:val="-18"/>
          <w:sz w:val="28"/>
        </w:rPr>
        <w:t>к </w:t>
      </w:r>
      <w:r>
        <w:rPr>
          <w:sz w:val="28"/>
        </w:rPr>
        <w:t>образовательной програме. Педагогіка. 2003. № 10. С.</w:t>
      </w:r>
      <w:r>
        <w:rPr>
          <w:spacing w:val="9"/>
          <w:sz w:val="28"/>
        </w:rPr>
        <w:t> </w:t>
      </w:r>
      <w:r>
        <w:rPr>
          <w:sz w:val="28"/>
        </w:rPr>
        <w:t>10-12.</w:t>
      </w:r>
    </w:p>
    <w:p>
      <w:pPr>
        <w:pStyle w:val="ListParagraph"/>
        <w:numPr>
          <w:ilvl w:val="0"/>
          <w:numId w:val="28"/>
        </w:numPr>
        <w:tabs>
          <w:tab w:pos="1188" w:val="left" w:leader="none"/>
        </w:tabs>
        <w:spacing w:line="240" w:lineRule="auto" w:before="0" w:after="0"/>
        <w:ind w:left="193" w:right="623" w:firstLine="710"/>
        <w:jc w:val="left"/>
        <w:rPr>
          <w:sz w:val="28"/>
        </w:rPr>
      </w:pPr>
      <w:r>
        <w:rPr>
          <w:sz w:val="28"/>
        </w:rPr>
        <w:t>Блощинська</w:t>
      </w:r>
      <w:r>
        <w:rPr>
          <w:spacing w:val="-10"/>
          <w:sz w:val="28"/>
        </w:rPr>
        <w:t> </w:t>
      </w:r>
      <w:r>
        <w:rPr>
          <w:sz w:val="28"/>
        </w:rPr>
        <w:t>В.</w:t>
      </w:r>
      <w:r>
        <w:rPr>
          <w:spacing w:val="-7"/>
          <w:sz w:val="28"/>
        </w:rPr>
        <w:t> </w:t>
      </w:r>
      <w:r>
        <w:rPr>
          <w:spacing w:val="-3"/>
          <w:sz w:val="28"/>
        </w:rPr>
        <w:t>А.</w:t>
      </w:r>
      <w:r>
        <w:rPr>
          <w:spacing w:val="-8"/>
          <w:sz w:val="28"/>
        </w:rPr>
        <w:t> </w:t>
      </w:r>
      <w:r>
        <w:rPr>
          <w:sz w:val="28"/>
        </w:rPr>
        <w:t>Етика</w:t>
      </w:r>
      <w:r>
        <w:rPr>
          <w:spacing w:val="-9"/>
          <w:sz w:val="28"/>
        </w:rPr>
        <w:t> </w:t>
      </w:r>
      <w:r>
        <w:rPr>
          <w:sz w:val="28"/>
        </w:rPr>
        <w:t>практикум.</w:t>
      </w:r>
      <w:r>
        <w:rPr>
          <w:spacing w:val="-8"/>
          <w:sz w:val="28"/>
        </w:rPr>
        <w:t> </w:t>
      </w:r>
      <w:r>
        <w:rPr>
          <w:sz w:val="28"/>
        </w:rPr>
        <w:t>Київ</w:t>
      </w:r>
      <w:r>
        <w:rPr>
          <w:spacing w:val="-12"/>
          <w:sz w:val="28"/>
        </w:rPr>
        <w:t> </w:t>
      </w:r>
      <w:r>
        <w:rPr>
          <w:sz w:val="28"/>
        </w:rPr>
        <w:t>:</w:t>
      </w:r>
      <w:r>
        <w:rPr>
          <w:spacing w:val="-10"/>
          <w:sz w:val="28"/>
        </w:rPr>
        <w:t> </w:t>
      </w:r>
      <w:r>
        <w:rPr>
          <w:sz w:val="28"/>
        </w:rPr>
        <w:t>Центр</w:t>
      </w:r>
      <w:r>
        <w:rPr>
          <w:spacing w:val="-10"/>
          <w:sz w:val="28"/>
        </w:rPr>
        <w:t> </w:t>
      </w:r>
      <w:r>
        <w:rPr>
          <w:sz w:val="28"/>
        </w:rPr>
        <w:t>навчальної</w:t>
      </w:r>
      <w:r>
        <w:rPr>
          <w:spacing w:val="-15"/>
          <w:sz w:val="28"/>
        </w:rPr>
        <w:t> </w:t>
      </w:r>
      <w:r>
        <w:rPr>
          <w:sz w:val="28"/>
        </w:rPr>
        <w:t>літератури, 2005. 309</w:t>
      </w:r>
      <w:r>
        <w:rPr>
          <w:spacing w:val="4"/>
          <w:sz w:val="28"/>
        </w:rPr>
        <w:t> </w:t>
      </w:r>
      <w:r>
        <w:rPr>
          <w:sz w:val="28"/>
        </w:rPr>
        <w:t>с.</w:t>
      </w:r>
    </w:p>
    <w:p>
      <w:pPr>
        <w:pStyle w:val="ListParagraph"/>
        <w:numPr>
          <w:ilvl w:val="0"/>
          <w:numId w:val="28"/>
        </w:numPr>
        <w:tabs>
          <w:tab w:pos="1188" w:val="left" w:leader="none"/>
        </w:tabs>
        <w:spacing w:line="240" w:lineRule="auto" w:before="0" w:after="0"/>
        <w:ind w:left="193" w:right="621" w:firstLine="710"/>
        <w:jc w:val="left"/>
        <w:rPr>
          <w:sz w:val="28"/>
        </w:rPr>
      </w:pPr>
      <w:r>
        <w:rPr>
          <w:sz w:val="28"/>
        </w:rPr>
        <w:t>Сохань Л. В., Єрмаков І. Г., Несен Г. М. Життєва компетентність особистості. Київ : Богдана, 2003.</w:t>
      </w:r>
      <w:r>
        <w:rPr>
          <w:spacing w:val="10"/>
          <w:sz w:val="28"/>
        </w:rPr>
        <w:t> </w:t>
      </w:r>
      <w:r>
        <w:rPr>
          <w:sz w:val="28"/>
        </w:rPr>
        <w:t>С.83.</w:t>
      </w:r>
    </w:p>
    <w:p>
      <w:pPr>
        <w:pStyle w:val="ListParagraph"/>
        <w:numPr>
          <w:ilvl w:val="0"/>
          <w:numId w:val="28"/>
        </w:numPr>
        <w:tabs>
          <w:tab w:pos="1188" w:val="left" w:leader="none"/>
        </w:tabs>
        <w:spacing w:line="240" w:lineRule="auto" w:before="0" w:after="0"/>
        <w:ind w:left="193" w:right="628" w:firstLine="710"/>
        <w:jc w:val="left"/>
        <w:rPr>
          <w:sz w:val="28"/>
        </w:rPr>
      </w:pPr>
      <w:r>
        <w:rPr>
          <w:sz w:val="28"/>
        </w:rPr>
        <w:t>Бралатан В. П., Гуцаленко Л. В., Здирко </w:t>
      </w:r>
      <w:r>
        <w:rPr>
          <w:spacing w:val="-3"/>
          <w:sz w:val="28"/>
        </w:rPr>
        <w:t>Н. </w:t>
      </w:r>
      <w:r>
        <w:rPr>
          <w:sz w:val="28"/>
        </w:rPr>
        <w:t>Г. Професійна етика. Навч. посіб. Київ: Центр учбової літератури, 2011.</w:t>
      </w:r>
      <w:r>
        <w:rPr>
          <w:spacing w:val="10"/>
          <w:sz w:val="28"/>
        </w:rPr>
        <w:t> </w:t>
      </w:r>
      <w:r>
        <w:rPr>
          <w:sz w:val="28"/>
        </w:rPr>
        <w:t>С.12.</w:t>
      </w:r>
    </w:p>
    <w:p>
      <w:pPr>
        <w:pStyle w:val="BodyText"/>
        <w:spacing w:before="2"/>
        <w:ind w:left="0"/>
        <w:jc w:val="left"/>
      </w:pPr>
    </w:p>
    <w:p>
      <w:pPr>
        <w:spacing w:line="242" w:lineRule="auto" w:before="0"/>
        <w:ind w:left="735" w:right="1152" w:firstLine="1"/>
        <w:jc w:val="center"/>
        <w:rPr>
          <w:b/>
          <w:sz w:val="28"/>
        </w:rPr>
      </w:pPr>
      <w:r>
        <w:rPr>
          <w:b/>
          <w:color w:val="212121"/>
          <w:sz w:val="28"/>
        </w:rPr>
        <w:t>ФОРМИРОВАНИЕ ПРОФЕССИОНАЛЬНО-ЭТИЧЕСКОЙ КОМПЕТЕНТНОСТИ В БУДУЩИХ ВРАЧЕЙ ВЕТЕРИНАРНОЙ МЕДИЦИНЫ С ПРИМЕНЕНИЕМ МЕТОДА «СИМВОЛДРАМЫ»</w:t>
      </w:r>
    </w:p>
    <w:p>
      <w:pPr>
        <w:pStyle w:val="BodyText"/>
        <w:spacing w:line="311" w:lineRule="exact"/>
        <w:ind w:left="3665"/>
      </w:pPr>
      <w:r>
        <w:rPr/>
        <w:t>Ногинская А., Федорова И.</w:t>
      </w:r>
    </w:p>
    <w:p>
      <w:pPr>
        <w:tabs>
          <w:tab w:pos="9692" w:val="left" w:leader="none"/>
        </w:tabs>
        <w:spacing w:line="240" w:lineRule="auto" w:before="0"/>
        <w:ind w:left="193" w:right="610" w:firstLine="710"/>
        <w:jc w:val="both"/>
        <w:rPr>
          <w:i/>
          <w:sz w:val="28"/>
        </w:rPr>
      </w:pPr>
      <w:r>
        <w:rPr>
          <w:i/>
          <w:sz w:val="28"/>
        </w:rPr>
        <w:t>В статьи предпринята попытка исследовать уровень формирования </w:t>
      </w:r>
      <w:r>
        <w:rPr>
          <w:i/>
          <w:sz w:val="28"/>
        </w:rPr>
        <w:t>профессионально-этической компетентности будущих врачей ветеринарной медицины факультета ветеринарной медицины и биотехнологий Одесского государственного аграрного университета. Рассмотрены теоретические аспекты понятий «компетенция», «компетентность», «профессионально- этическая компетентность». Обработаны исследования научного сообщества в области медицинского образования, проблем психологии в медицинском образовании, компетенций личностного профессионального развития врача, формирования         </w:t>
      </w:r>
      <w:r>
        <w:rPr>
          <w:i/>
          <w:spacing w:val="19"/>
          <w:sz w:val="28"/>
        </w:rPr>
        <w:t> </w:t>
      </w:r>
      <w:r>
        <w:rPr>
          <w:i/>
          <w:sz w:val="28"/>
        </w:rPr>
        <w:t>профессионально-этической         </w:t>
      </w:r>
      <w:r>
        <w:rPr>
          <w:i/>
          <w:spacing w:val="18"/>
          <w:sz w:val="28"/>
        </w:rPr>
        <w:t> </w:t>
      </w:r>
      <w:r>
        <w:rPr>
          <w:i/>
          <w:sz w:val="28"/>
        </w:rPr>
        <w:t>компетентности</w:t>
        <w:tab/>
      </w:r>
      <w:r>
        <w:rPr>
          <w:i/>
          <w:spacing w:val="-18"/>
          <w:sz w:val="28"/>
        </w:rPr>
        <w:t>и </w:t>
      </w:r>
      <w:r>
        <w:rPr>
          <w:i/>
          <w:sz w:val="28"/>
        </w:rPr>
        <w:t>профессионально важных качеств врача ветеринарной медицины. Проанализировано состояние формирования современного этического комплекса ветеринарного врача. Этот аспект является крайне необходимым в ходе формирования профессиональных компетенций будущего врача ветеринарной медицины, учебной деятельности и практической подготовки во время обучения по специальности 211 Ветеринарная медицина в Одесском государственном аграрном университете. Авторы уделили внимание формированию нравственных аспектов соискателей высшего образования ОГАУ, основанные, в первую очередь, на общепринятых ценностях, общественной мысли и личных убеждениях студентов. На основе моральных качеств начинает формироваться профессионально-этическая компетентность будущего врача ветеринарной медицины, который учится в ОГАУ. Разработаны анкеты с целью проверки сформированности профессионально-этической компетентности будущих врачей ветеринарной медицины, обучающихся в ОГАУ. Основное внимание было уделено</w:t>
      </w:r>
      <w:r>
        <w:rPr>
          <w:i/>
          <w:spacing w:val="-9"/>
          <w:sz w:val="28"/>
        </w:rPr>
        <w:t> </w:t>
      </w:r>
      <w:r>
        <w:rPr>
          <w:i/>
          <w:sz w:val="28"/>
        </w:rPr>
        <w:t>умениям</w:t>
      </w:r>
    </w:p>
    <w:p>
      <w:pPr>
        <w:spacing w:after="0" w:line="240" w:lineRule="auto"/>
        <w:jc w:val="both"/>
        <w:rPr>
          <w:sz w:val="28"/>
        </w:rPr>
        <w:sectPr>
          <w:pgSz w:w="11910" w:h="16840"/>
          <w:pgMar w:header="713" w:footer="778" w:top="1140" w:bottom="960" w:left="940" w:right="520"/>
        </w:sectPr>
      </w:pPr>
    </w:p>
    <w:p>
      <w:pPr>
        <w:spacing w:before="92"/>
        <w:ind w:left="193" w:right="614" w:firstLine="0"/>
        <w:jc w:val="both"/>
        <w:rPr>
          <w:i/>
          <w:sz w:val="28"/>
        </w:rPr>
      </w:pPr>
      <w:r>
        <w:rPr>
          <w:i/>
          <w:sz w:val="28"/>
        </w:rPr>
        <w:t>согласовывать свои интересы, цели, мотивы с требованиями и нормами </w:t>
      </w:r>
      <w:r>
        <w:rPr>
          <w:i/>
          <w:sz w:val="28"/>
        </w:rPr>
        <w:t>ветеринарных клиник, что является залогом становления врача ветеринарной медицины.</w:t>
      </w:r>
    </w:p>
    <w:p>
      <w:pPr>
        <w:spacing w:line="240" w:lineRule="auto" w:before="0"/>
        <w:ind w:left="193" w:right="613" w:firstLine="710"/>
        <w:jc w:val="both"/>
        <w:rPr>
          <w:i/>
          <w:sz w:val="28"/>
        </w:rPr>
      </w:pPr>
      <w:r>
        <w:rPr>
          <w:i/>
          <w:sz w:val="28"/>
        </w:rPr>
        <w:t>Исследователи пришли к выводу о том, что нужно усилить знания </w:t>
      </w:r>
      <w:r>
        <w:rPr>
          <w:i/>
          <w:sz w:val="28"/>
        </w:rPr>
        <w:t>соискателей высшего образования в области ветеринарной медицины по профессиональной этике врача ветеринарной медицины в ходе лекций, семинаров, практических занятий, а также во время практики в</w:t>
      </w:r>
      <w:r>
        <w:rPr>
          <w:i/>
          <w:spacing w:val="-39"/>
          <w:sz w:val="28"/>
        </w:rPr>
        <w:t> </w:t>
      </w:r>
      <w:r>
        <w:rPr>
          <w:i/>
          <w:sz w:val="28"/>
        </w:rPr>
        <w:t>ветеринарных клиниках и на животноводческих</w:t>
      </w:r>
      <w:r>
        <w:rPr>
          <w:i/>
          <w:spacing w:val="4"/>
          <w:sz w:val="28"/>
        </w:rPr>
        <w:t> </w:t>
      </w:r>
      <w:r>
        <w:rPr>
          <w:i/>
          <w:sz w:val="28"/>
        </w:rPr>
        <w:t>фермах.</w:t>
      </w:r>
    </w:p>
    <w:p>
      <w:pPr>
        <w:spacing w:before="2"/>
        <w:ind w:left="193" w:right="616" w:firstLine="710"/>
        <w:jc w:val="both"/>
        <w:rPr>
          <w:i/>
          <w:sz w:val="28"/>
        </w:rPr>
      </w:pPr>
      <w:r>
        <w:rPr>
          <w:b/>
          <w:i/>
          <w:color w:val="212121"/>
          <w:sz w:val="28"/>
        </w:rPr>
        <w:t>Ключевые слова: </w:t>
      </w:r>
      <w:r>
        <w:rPr>
          <w:i/>
          <w:color w:val="212121"/>
          <w:sz w:val="28"/>
        </w:rPr>
        <w:t>компетенция; профессиональная этика; </w:t>
      </w:r>
      <w:r>
        <w:rPr>
          <w:i/>
          <w:color w:val="212121"/>
          <w:sz w:val="28"/>
        </w:rPr>
        <w:t>профессионально-этическая компетентность; врач ветеринарной медицины; метод «символдрама».</w:t>
      </w:r>
    </w:p>
    <w:p>
      <w:pPr>
        <w:pStyle w:val="BodyText"/>
        <w:spacing w:before="4"/>
        <w:ind w:left="0"/>
        <w:jc w:val="left"/>
        <w:rPr>
          <w:i/>
        </w:rPr>
      </w:pPr>
    </w:p>
    <w:p>
      <w:pPr>
        <w:pStyle w:val="Heading1"/>
        <w:ind w:left="394" w:right="802" w:firstLine="734"/>
        <w:jc w:val="left"/>
      </w:pPr>
      <w:r>
        <w:rPr/>
        <w:t>FORMATION OF PROFESSIONAL-ETHICAL COMPETENCE IN FUTURE VETERINARY DOCTORS WITH THE APPLICATION OF THE</w:t>
      </w:r>
    </w:p>
    <w:p>
      <w:pPr>
        <w:spacing w:line="319" w:lineRule="exact" w:before="0"/>
        <w:ind w:left="3299" w:right="0" w:firstLine="0"/>
        <w:jc w:val="left"/>
        <w:rPr>
          <w:b/>
          <w:sz w:val="28"/>
        </w:rPr>
      </w:pPr>
      <w:r>
        <w:rPr>
          <w:b/>
          <w:sz w:val="28"/>
        </w:rPr>
        <w:t>SYMBOLDRAM METHOD</w:t>
      </w:r>
    </w:p>
    <w:p>
      <w:pPr>
        <w:pStyle w:val="BodyText"/>
        <w:spacing w:line="320" w:lineRule="exact"/>
        <w:ind w:left="3737"/>
      </w:pPr>
      <w:r>
        <w:rPr/>
        <w:t>Noginskaya A., Fedorovа I.</w:t>
      </w:r>
    </w:p>
    <w:p>
      <w:pPr>
        <w:spacing w:line="240" w:lineRule="auto" w:before="0"/>
        <w:ind w:left="193" w:right="619" w:firstLine="561"/>
        <w:jc w:val="both"/>
        <w:rPr>
          <w:i/>
          <w:sz w:val="28"/>
        </w:rPr>
      </w:pPr>
      <w:r>
        <w:rPr>
          <w:i/>
          <w:sz w:val="28"/>
        </w:rPr>
        <w:t>The authors of the article have attempted to investigate the level of formation of </w:t>
      </w:r>
      <w:r>
        <w:rPr>
          <w:i/>
          <w:sz w:val="28"/>
        </w:rPr>
        <w:t>professional and ethical competence of future veterinary medicine doctors of the Faculty of Veterinary Medicine and Biotechnology of Odessa State Agrarian University.</w:t>
      </w:r>
    </w:p>
    <w:p>
      <w:pPr>
        <w:spacing w:line="240" w:lineRule="auto" w:before="3"/>
        <w:ind w:left="193" w:right="607" w:firstLine="705"/>
        <w:jc w:val="both"/>
        <w:rPr>
          <w:i/>
          <w:sz w:val="28"/>
        </w:rPr>
      </w:pPr>
      <w:r>
        <w:rPr>
          <w:i/>
          <w:sz w:val="28"/>
        </w:rPr>
        <w:t>The theoretical aspects of the meaning of the terms "competence", </w:t>
      </w:r>
      <w:r>
        <w:rPr>
          <w:i/>
          <w:sz w:val="28"/>
        </w:rPr>
        <w:t>"competency",</w:t>
      </w:r>
      <w:r>
        <w:rPr>
          <w:i/>
          <w:spacing w:val="-1"/>
          <w:sz w:val="28"/>
        </w:rPr>
        <w:t> </w:t>
      </w:r>
      <w:r>
        <w:rPr>
          <w:i/>
          <w:sz w:val="28"/>
        </w:rPr>
        <w:t>"professional</w:t>
      </w:r>
      <w:r>
        <w:rPr>
          <w:i/>
          <w:spacing w:val="-8"/>
          <w:sz w:val="28"/>
        </w:rPr>
        <w:t> </w:t>
      </w:r>
      <w:r>
        <w:rPr>
          <w:i/>
          <w:sz w:val="28"/>
        </w:rPr>
        <w:t>and</w:t>
      </w:r>
      <w:r>
        <w:rPr>
          <w:i/>
          <w:spacing w:val="-7"/>
          <w:sz w:val="28"/>
        </w:rPr>
        <w:t> </w:t>
      </w:r>
      <w:r>
        <w:rPr>
          <w:i/>
          <w:sz w:val="28"/>
        </w:rPr>
        <w:t>ethical</w:t>
      </w:r>
      <w:r>
        <w:rPr>
          <w:i/>
          <w:spacing w:val="-8"/>
          <w:sz w:val="28"/>
        </w:rPr>
        <w:t> </w:t>
      </w:r>
      <w:r>
        <w:rPr>
          <w:i/>
          <w:sz w:val="28"/>
        </w:rPr>
        <w:t>competency"</w:t>
      </w:r>
      <w:r>
        <w:rPr>
          <w:i/>
          <w:spacing w:val="-14"/>
          <w:sz w:val="28"/>
        </w:rPr>
        <w:t> </w:t>
      </w:r>
      <w:r>
        <w:rPr>
          <w:i/>
          <w:sz w:val="28"/>
        </w:rPr>
        <w:t>are</w:t>
      </w:r>
      <w:r>
        <w:rPr>
          <w:i/>
          <w:spacing w:val="-7"/>
          <w:sz w:val="28"/>
        </w:rPr>
        <w:t> </w:t>
      </w:r>
      <w:r>
        <w:rPr>
          <w:i/>
          <w:sz w:val="28"/>
        </w:rPr>
        <w:t>considered.</w:t>
      </w:r>
      <w:r>
        <w:rPr>
          <w:i/>
          <w:spacing w:val="-5"/>
          <w:sz w:val="28"/>
        </w:rPr>
        <w:t> </w:t>
      </w:r>
      <w:r>
        <w:rPr>
          <w:i/>
          <w:sz w:val="28"/>
        </w:rPr>
        <w:t>The</w:t>
      </w:r>
      <w:r>
        <w:rPr>
          <w:i/>
          <w:spacing w:val="-8"/>
          <w:sz w:val="28"/>
        </w:rPr>
        <w:t> </w:t>
      </w:r>
      <w:r>
        <w:rPr>
          <w:i/>
          <w:sz w:val="28"/>
        </w:rPr>
        <w:t>research</w:t>
      </w:r>
      <w:r>
        <w:rPr>
          <w:i/>
          <w:spacing w:val="-7"/>
          <w:sz w:val="28"/>
        </w:rPr>
        <w:t> </w:t>
      </w:r>
      <w:r>
        <w:rPr>
          <w:i/>
          <w:sz w:val="28"/>
        </w:rPr>
        <w:t>of the scientific community in the field of medical education, problems of psychology in medical education, competences of personal professional development of the doctor, formation</w:t>
      </w:r>
      <w:r>
        <w:rPr>
          <w:i/>
          <w:spacing w:val="-17"/>
          <w:sz w:val="28"/>
        </w:rPr>
        <w:t> </w:t>
      </w:r>
      <w:r>
        <w:rPr>
          <w:i/>
          <w:sz w:val="28"/>
        </w:rPr>
        <w:t>of</w:t>
      </w:r>
      <w:r>
        <w:rPr>
          <w:i/>
          <w:spacing w:val="-13"/>
          <w:sz w:val="28"/>
        </w:rPr>
        <w:t> </w:t>
      </w:r>
      <w:r>
        <w:rPr>
          <w:i/>
          <w:sz w:val="28"/>
        </w:rPr>
        <w:t>professional-ethical</w:t>
      </w:r>
      <w:r>
        <w:rPr>
          <w:i/>
          <w:spacing w:val="-16"/>
          <w:sz w:val="28"/>
        </w:rPr>
        <w:t> </w:t>
      </w:r>
      <w:r>
        <w:rPr>
          <w:i/>
          <w:sz w:val="28"/>
        </w:rPr>
        <w:t>competence</w:t>
      </w:r>
      <w:r>
        <w:rPr>
          <w:i/>
          <w:spacing w:val="-16"/>
          <w:sz w:val="28"/>
        </w:rPr>
        <w:t> </w:t>
      </w:r>
      <w:r>
        <w:rPr>
          <w:i/>
          <w:sz w:val="28"/>
        </w:rPr>
        <w:t>and</w:t>
      </w:r>
      <w:r>
        <w:rPr>
          <w:i/>
          <w:spacing w:val="-16"/>
          <w:sz w:val="28"/>
        </w:rPr>
        <w:t> </w:t>
      </w:r>
      <w:r>
        <w:rPr>
          <w:i/>
          <w:sz w:val="28"/>
        </w:rPr>
        <w:t>professionally</w:t>
      </w:r>
      <w:r>
        <w:rPr>
          <w:i/>
          <w:spacing w:val="-16"/>
          <w:sz w:val="28"/>
        </w:rPr>
        <w:t> </w:t>
      </w:r>
      <w:r>
        <w:rPr>
          <w:i/>
          <w:sz w:val="28"/>
        </w:rPr>
        <w:t>important</w:t>
      </w:r>
      <w:r>
        <w:rPr>
          <w:i/>
          <w:spacing w:val="-16"/>
          <w:sz w:val="28"/>
        </w:rPr>
        <w:t> </w:t>
      </w:r>
      <w:r>
        <w:rPr>
          <w:i/>
          <w:sz w:val="28"/>
        </w:rPr>
        <w:t>qualities</w:t>
      </w:r>
      <w:r>
        <w:rPr>
          <w:i/>
          <w:spacing w:val="-15"/>
          <w:sz w:val="28"/>
        </w:rPr>
        <w:t> </w:t>
      </w:r>
      <w:r>
        <w:rPr>
          <w:i/>
          <w:sz w:val="28"/>
        </w:rPr>
        <w:t>of the veterinary medicine doctor </w:t>
      </w:r>
      <w:r>
        <w:rPr>
          <w:i/>
          <w:spacing w:val="-3"/>
          <w:sz w:val="28"/>
        </w:rPr>
        <w:t>was </w:t>
      </w:r>
      <w:r>
        <w:rPr>
          <w:i/>
          <w:sz w:val="28"/>
        </w:rPr>
        <w:t>carried out. The state of formation of the modern ethical</w:t>
      </w:r>
      <w:r>
        <w:rPr>
          <w:i/>
          <w:spacing w:val="-14"/>
          <w:sz w:val="28"/>
        </w:rPr>
        <w:t> </w:t>
      </w:r>
      <w:r>
        <w:rPr>
          <w:i/>
          <w:sz w:val="28"/>
        </w:rPr>
        <w:t>complex</w:t>
      </w:r>
      <w:r>
        <w:rPr>
          <w:i/>
          <w:spacing w:val="-12"/>
          <w:sz w:val="28"/>
        </w:rPr>
        <w:t> </w:t>
      </w:r>
      <w:r>
        <w:rPr>
          <w:i/>
          <w:sz w:val="28"/>
        </w:rPr>
        <w:t>of</w:t>
      </w:r>
      <w:r>
        <w:rPr>
          <w:i/>
          <w:spacing w:val="-14"/>
          <w:sz w:val="28"/>
        </w:rPr>
        <w:t> </w:t>
      </w:r>
      <w:r>
        <w:rPr>
          <w:i/>
          <w:sz w:val="28"/>
        </w:rPr>
        <w:t>veterinary</w:t>
      </w:r>
      <w:r>
        <w:rPr>
          <w:i/>
          <w:spacing w:val="-11"/>
          <w:sz w:val="28"/>
        </w:rPr>
        <w:t> </w:t>
      </w:r>
      <w:r>
        <w:rPr>
          <w:i/>
          <w:sz w:val="28"/>
        </w:rPr>
        <w:t>medicine</w:t>
      </w:r>
      <w:r>
        <w:rPr>
          <w:i/>
          <w:spacing w:val="-12"/>
          <w:sz w:val="28"/>
        </w:rPr>
        <w:t> </w:t>
      </w:r>
      <w:r>
        <w:rPr>
          <w:i/>
          <w:sz w:val="28"/>
        </w:rPr>
        <w:t>doctor</w:t>
      </w:r>
      <w:r>
        <w:rPr>
          <w:i/>
          <w:spacing w:val="-11"/>
          <w:sz w:val="28"/>
        </w:rPr>
        <w:t> </w:t>
      </w:r>
      <w:r>
        <w:rPr>
          <w:i/>
          <w:sz w:val="28"/>
        </w:rPr>
        <w:t>is</w:t>
      </w:r>
      <w:r>
        <w:rPr>
          <w:i/>
          <w:spacing w:val="-12"/>
          <w:sz w:val="28"/>
        </w:rPr>
        <w:t> </w:t>
      </w:r>
      <w:r>
        <w:rPr>
          <w:i/>
          <w:sz w:val="28"/>
        </w:rPr>
        <w:t>analyzed.</w:t>
      </w:r>
      <w:r>
        <w:rPr>
          <w:i/>
          <w:spacing w:val="-15"/>
          <w:sz w:val="28"/>
        </w:rPr>
        <w:t> </w:t>
      </w:r>
      <w:r>
        <w:rPr>
          <w:i/>
          <w:sz w:val="28"/>
        </w:rPr>
        <w:t>This</w:t>
      </w:r>
      <w:r>
        <w:rPr>
          <w:i/>
          <w:spacing w:val="-12"/>
          <w:sz w:val="28"/>
        </w:rPr>
        <w:t> </w:t>
      </w:r>
      <w:r>
        <w:rPr>
          <w:i/>
          <w:sz w:val="28"/>
        </w:rPr>
        <w:t>aspect</w:t>
      </w:r>
      <w:r>
        <w:rPr>
          <w:i/>
          <w:spacing w:val="-17"/>
          <w:sz w:val="28"/>
        </w:rPr>
        <w:t> </w:t>
      </w:r>
      <w:r>
        <w:rPr>
          <w:i/>
          <w:sz w:val="28"/>
        </w:rPr>
        <w:t>is</w:t>
      </w:r>
      <w:r>
        <w:rPr>
          <w:i/>
          <w:spacing w:val="-12"/>
          <w:sz w:val="28"/>
        </w:rPr>
        <w:t> </w:t>
      </w:r>
      <w:r>
        <w:rPr>
          <w:i/>
          <w:sz w:val="28"/>
        </w:rPr>
        <w:t>indispensable in the course of forming the professional competencies of the future veterinary medicine</w:t>
      </w:r>
      <w:r>
        <w:rPr>
          <w:i/>
          <w:spacing w:val="-17"/>
          <w:sz w:val="28"/>
        </w:rPr>
        <w:t> </w:t>
      </w:r>
      <w:r>
        <w:rPr>
          <w:i/>
          <w:sz w:val="28"/>
        </w:rPr>
        <w:t>doctor,</w:t>
      </w:r>
      <w:r>
        <w:rPr>
          <w:i/>
          <w:spacing w:val="-16"/>
          <w:sz w:val="28"/>
        </w:rPr>
        <w:t> </w:t>
      </w:r>
      <w:r>
        <w:rPr>
          <w:i/>
          <w:sz w:val="28"/>
        </w:rPr>
        <w:t>learning</w:t>
      </w:r>
      <w:r>
        <w:rPr>
          <w:i/>
          <w:spacing w:val="-18"/>
          <w:sz w:val="28"/>
        </w:rPr>
        <w:t> </w:t>
      </w:r>
      <w:r>
        <w:rPr>
          <w:i/>
          <w:sz w:val="28"/>
        </w:rPr>
        <w:t>activity</w:t>
      </w:r>
      <w:r>
        <w:rPr>
          <w:i/>
          <w:spacing w:val="-17"/>
          <w:sz w:val="28"/>
        </w:rPr>
        <w:t> </w:t>
      </w:r>
      <w:r>
        <w:rPr>
          <w:i/>
          <w:sz w:val="28"/>
        </w:rPr>
        <w:t>and</w:t>
      </w:r>
      <w:r>
        <w:rPr>
          <w:i/>
          <w:spacing w:val="-17"/>
          <w:sz w:val="28"/>
        </w:rPr>
        <w:t> </w:t>
      </w:r>
      <w:r>
        <w:rPr>
          <w:i/>
          <w:sz w:val="28"/>
        </w:rPr>
        <w:t>practical</w:t>
      </w:r>
      <w:r>
        <w:rPr>
          <w:i/>
          <w:spacing w:val="-18"/>
          <w:sz w:val="28"/>
        </w:rPr>
        <w:t> </w:t>
      </w:r>
      <w:r>
        <w:rPr>
          <w:i/>
          <w:sz w:val="28"/>
        </w:rPr>
        <w:t>training</w:t>
      </w:r>
      <w:r>
        <w:rPr>
          <w:i/>
          <w:spacing w:val="-13"/>
          <w:sz w:val="28"/>
        </w:rPr>
        <w:t> </w:t>
      </w:r>
      <w:r>
        <w:rPr>
          <w:i/>
          <w:sz w:val="28"/>
        </w:rPr>
        <w:t>while</w:t>
      </w:r>
      <w:r>
        <w:rPr>
          <w:i/>
          <w:spacing w:val="-17"/>
          <w:sz w:val="28"/>
        </w:rPr>
        <w:t> </w:t>
      </w:r>
      <w:r>
        <w:rPr>
          <w:i/>
          <w:sz w:val="28"/>
        </w:rPr>
        <w:t>studying</w:t>
      </w:r>
      <w:r>
        <w:rPr>
          <w:i/>
          <w:spacing w:val="-18"/>
          <w:sz w:val="28"/>
        </w:rPr>
        <w:t> </w:t>
      </w:r>
      <w:r>
        <w:rPr>
          <w:i/>
          <w:sz w:val="28"/>
        </w:rPr>
        <w:t>in</w:t>
      </w:r>
      <w:r>
        <w:rPr>
          <w:i/>
          <w:spacing w:val="-17"/>
          <w:sz w:val="28"/>
        </w:rPr>
        <w:t> </w:t>
      </w:r>
      <w:r>
        <w:rPr>
          <w:i/>
          <w:sz w:val="28"/>
        </w:rPr>
        <w:t>the</w:t>
      </w:r>
      <w:r>
        <w:rPr>
          <w:i/>
          <w:spacing w:val="-17"/>
          <w:sz w:val="28"/>
        </w:rPr>
        <w:t> </w:t>
      </w:r>
      <w:r>
        <w:rPr>
          <w:i/>
          <w:sz w:val="28"/>
        </w:rPr>
        <w:t>specialty 211 Veterinary Medicine at the Odessa State Agrarian University. The authors paid attention to the formation of moral aspects of higher education students of OSAU, which are based, first of all, on the common values, public opinion and students' personal beliefs. The professional and ethical competence of the future veterinary doctor studying at the OSAU is beginning to emerge on the basis of moral aspects. In the</w:t>
      </w:r>
      <w:r>
        <w:rPr>
          <w:i/>
          <w:spacing w:val="-8"/>
          <w:sz w:val="28"/>
        </w:rPr>
        <w:t> </w:t>
      </w:r>
      <w:r>
        <w:rPr>
          <w:i/>
          <w:sz w:val="28"/>
        </w:rPr>
        <w:t>article</w:t>
      </w:r>
      <w:r>
        <w:rPr>
          <w:i/>
          <w:spacing w:val="-6"/>
          <w:sz w:val="28"/>
        </w:rPr>
        <w:t> </w:t>
      </w:r>
      <w:r>
        <w:rPr>
          <w:i/>
          <w:sz w:val="28"/>
        </w:rPr>
        <w:t>developed</w:t>
      </w:r>
      <w:r>
        <w:rPr>
          <w:i/>
          <w:spacing w:val="-5"/>
          <w:sz w:val="28"/>
        </w:rPr>
        <w:t> </w:t>
      </w:r>
      <w:r>
        <w:rPr>
          <w:i/>
          <w:sz w:val="28"/>
        </w:rPr>
        <w:t>questionnaires</w:t>
      </w:r>
      <w:r>
        <w:rPr>
          <w:i/>
          <w:spacing w:val="-6"/>
          <w:sz w:val="28"/>
        </w:rPr>
        <w:t> </w:t>
      </w:r>
      <w:r>
        <w:rPr>
          <w:i/>
          <w:sz w:val="28"/>
        </w:rPr>
        <w:t>to</w:t>
      </w:r>
      <w:r>
        <w:rPr>
          <w:i/>
          <w:spacing w:val="-8"/>
          <w:sz w:val="28"/>
        </w:rPr>
        <w:t> </w:t>
      </w:r>
      <w:r>
        <w:rPr>
          <w:i/>
          <w:sz w:val="28"/>
        </w:rPr>
        <w:t>test</w:t>
      </w:r>
      <w:r>
        <w:rPr>
          <w:i/>
          <w:spacing w:val="-10"/>
          <w:sz w:val="28"/>
        </w:rPr>
        <w:t> </w:t>
      </w:r>
      <w:r>
        <w:rPr>
          <w:i/>
          <w:sz w:val="28"/>
        </w:rPr>
        <w:t>the</w:t>
      </w:r>
      <w:r>
        <w:rPr>
          <w:i/>
          <w:spacing w:val="-7"/>
          <w:sz w:val="28"/>
        </w:rPr>
        <w:t> </w:t>
      </w:r>
      <w:r>
        <w:rPr>
          <w:i/>
          <w:sz w:val="28"/>
        </w:rPr>
        <w:t>ethical</w:t>
      </w:r>
      <w:r>
        <w:rPr>
          <w:i/>
          <w:spacing w:val="-8"/>
          <w:sz w:val="28"/>
        </w:rPr>
        <w:t> </w:t>
      </w:r>
      <w:r>
        <w:rPr>
          <w:i/>
          <w:sz w:val="28"/>
        </w:rPr>
        <w:t>competence</w:t>
      </w:r>
      <w:r>
        <w:rPr>
          <w:i/>
          <w:spacing w:val="-7"/>
          <w:sz w:val="28"/>
        </w:rPr>
        <w:t> </w:t>
      </w:r>
      <w:r>
        <w:rPr>
          <w:i/>
          <w:sz w:val="28"/>
        </w:rPr>
        <w:t>of</w:t>
      </w:r>
      <w:r>
        <w:rPr>
          <w:i/>
          <w:spacing w:val="-8"/>
          <w:sz w:val="28"/>
        </w:rPr>
        <w:t> </w:t>
      </w:r>
      <w:r>
        <w:rPr>
          <w:i/>
          <w:sz w:val="28"/>
        </w:rPr>
        <w:t>future</w:t>
      </w:r>
      <w:r>
        <w:rPr>
          <w:i/>
          <w:spacing w:val="-8"/>
          <w:sz w:val="28"/>
        </w:rPr>
        <w:t> </w:t>
      </w:r>
      <w:r>
        <w:rPr>
          <w:i/>
          <w:sz w:val="28"/>
        </w:rPr>
        <w:t>veterinary doctors studying at the OSAU. The main attention was paid to the ability to reconcile their own interests, goals, motives </w:t>
      </w:r>
      <w:r>
        <w:rPr>
          <w:i/>
          <w:spacing w:val="-3"/>
          <w:sz w:val="28"/>
        </w:rPr>
        <w:t>with </w:t>
      </w:r>
      <w:r>
        <w:rPr>
          <w:i/>
          <w:sz w:val="28"/>
        </w:rPr>
        <w:t>the requirements and standards of veterinary clinics,</w:t>
      </w:r>
      <w:r>
        <w:rPr>
          <w:i/>
          <w:spacing w:val="-1"/>
          <w:sz w:val="28"/>
        </w:rPr>
        <w:t> </w:t>
      </w:r>
      <w:r>
        <w:rPr>
          <w:i/>
          <w:sz w:val="28"/>
        </w:rPr>
        <w:t>which</w:t>
      </w:r>
      <w:r>
        <w:rPr>
          <w:i/>
          <w:spacing w:val="-6"/>
          <w:sz w:val="28"/>
        </w:rPr>
        <w:t> </w:t>
      </w:r>
      <w:r>
        <w:rPr>
          <w:i/>
          <w:sz w:val="28"/>
        </w:rPr>
        <w:t>is</w:t>
      </w:r>
      <w:r>
        <w:rPr>
          <w:i/>
          <w:spacing w:val="-6"/>
          <w:sz w:val="28"/>
        </w:rPr>
        <w:t> </w:t>
      </w:r>
      <w:r>
        <w:rPr>
          <w:i/>
          <w:sz w:val="28"/>
        </w:rPr>
        <w:t>the</w:t>
      </w:r>
      <w:r>
        <w:rPr>
          <w:i/>
          <w:spacing w:val="-7"/>
          <w:sz w:val="28"/>
        </w:rPr>
        <w:t> </w:t>
      </w:r>
      <w:r>
        <w:rPr>
          <w:i/>
          <w:sz w:val="28"/>
        </w:rPr>
        <w:t>key</w:t>
      </w:r>
      <w:r>
        <w:rPr>
          <w:i/>
          <w:spacing w:val="-7"/>
          <w:sz w:val="28"/>
        </w:rPr>
        <w:t> </w:t>
      </w:r>
      <w:r>
        <w:rPr>
          <w:i/>
          <w:sz w:val="28"/>
        </w:rPr>
        <w:t>to</w:t>
      </w:r>
      <w:r>
        <w:rPr>
          <w:i/>
          <w:spacing w:val="-7"/>
          <w:sz w:val="28"/>
        </w:rPr>
        <w:t> </w:t>
      </w:r>
      <w:r>
        <w:rPr>
          <w:i/>
          <w:sz w:val="28"/>
        </w:rPr>
        <w:t>becoming</w:t>
      </w:r>
      <w:r>
        <w:rPr>
          <w:i/>
          <w:spacing w:val="-8"/>
          <w:sz w:val="28"/>
        </w:rPr>
        <w:t> </w:t>
      </w:r>
      <w:r>
        <w:rPr>
          <w:i/>
          <w:sz w:val="28"/>
        </w:rPr>
        <w:t>a</w:t>
      </w:r>
      <w:r>
        <w:rPr>
          <w:i/>
          <w:spacing w:val="-2"/>
          <w:sz w:val="28"/>
        </w:rPr>
        <w:t> </w:t>
      </w:r>
      <w:r>
        <w:rPr>
          <w:i/>
          <w:sz w:val="28"/>
        </w:rPr>
        <w:t>veterinarian</w:t>
      </w:r>
      <w:r>
        <w:rPr>
          <w:i/>
          <w:spacing w:val="-8"/>
          <w:sz w:val="28"/>
        </w:rPr>
        <w:t> </w:t>
      </w:r>
      <w:r>
        <w:rPr>
          <w:i/>
          <w:sz w:val="28"/>
        </w:rPr>
        <w:t>specialist.</w:t>
      </w:r>
      <w:r>
        <w:rPr>
          <w:i/>
          <w:spacing w:val="-5"/>
          <w:sz w:val="28"/>
        </w:rPr>
        <w:t> </w:t>
      </w:r>
      <w:r>
        <w:rPr>
          <w:i/>
          <w:sz w:val="28"/>
        </w:rPr>
        <w:t>Researchers</w:t>
      </w:r>
      <w:r>
        <w:rPr>
          <w:i/>
          <w:spacing w:val="-5"/>
          <w:sz w:val="28"/>
        </w:rPr>
        <w:t> </w:t>
      </w:r>
      <w:r>
        <w:rPr>
          <w:i/>
          <w:sz w:val="28"/>
        </w:rPr>
        <w:t>have</w:t>
      </w:r>
      <w:r>
        <w:rPr>
          <w:i/>
          <w:spacing w:val="-7"/>
          <w:sz w:val="28"/>
        </w:rPr>
        <w:t> </w:t>
      </w:r>
      <w:r>
        <w:rPr>
          <w:i/>
          <w:sz w:val="28"/>
        </w:rPr>
        <w:t>come to</w:t>
      </w:r>
      <w:r>
        <w:rPr>
          <w:i/>
          <w:spacing w:val="-7"/>
          <w:sz w:val="28"/>
        </w:rPr>
        <w:t> </w:t>
      </w:r>
      <w:r>
        <w:rPr>
          <w:i/>
          <w:sz w:val="28"/>
        </w:rPr>
        <w:t>the</w:t>
      </w:r>
      <w:r>
        <w:rPr>
          <w:i/>
          <w:spacing w:val="-5"/>
          <w:sz w:val="28"/>
        </w:rPr>
        <w:t> </w:t>
      </w:r>
      <w:r>
        <w:rPr>
          <w:i/>
          <w:sz w:val="28"/>
        </w:rPr>
        <w:t>conclusion</w:t>
      </w:r>
      <w:r>
        <w:rPr>
          <w:i/>
          <w:spacing w:val="-1"/>
          <w:sz w:val="28"/>
        </w:rPr>
        <w:t> </w:t>
      </w:r>
      <w:r>
        <w:rPr>
          <w:i/>
          <w:sz w:val="28"/>
        </w:rPr>
        <w:t>that</w:t>
      </w:r>
      <w:r>
        <w:rPr>
          <w:i/>
          <w:spacing w:val="-7"/>
          <w:sz w:val="28"/>
        </w:rPr>
        <w:t> </w:t>
      </w:r>
      <w:r>
        <w:rPr>
          <w:i/>
          <w:sz w:val="28"/>
        </w:rPr>
        <w:t>it</w:t>
      </w:r>
      <w:r>
        <w:rPr>
          <w:i/>
          <w:spacing w:val="-6"/>
          <w:sz w:val="28"/>
        </w:rPr>
        <w:t> </w:t>
      </w:r>
      <w:r>
        <w:rPr>
          <w:i/>
          <w:sz w:val="28"/>
        </w:rPr>
        <w:t>is</w:t>
      </w:r>
      <w:r>
        <w:rPr>
          <w:i/>
          <w:spacing w:val="-4"/>
          <w:sz w:val="28"/>
        </w:rPr>
        <w:t> </w:t>
      </w:r>
      <w:r>
        <w:rPr>
          <w:i/>
          <w:sz w:val="28"/>
        </w:rPr>
        <w:t>necessary</w:t>
      </w:r>
      <w:r>
        <w:rPr>
          <w:i/>
          <w:spacing w:val="-6"/>
          <w:sz w:val="28"/>
        </w:rPr>
        <w:t> </w:t>
      </w:r>
      <w:r>
        <w:rPr>
          <w:i/>
          <w:sz w:val="28"/>
        </w:rPr>
        <w:t>to</w:t>
      </w:r>
      <w:r>
        <w:rPr>
          <w:i/>
          <w:spacing w:val="-6"/>
          <w:sz w:val="28"/>
        </w:rPr>
        <w:t> </w:t>
      </w:r>
      <w:r>
        <w:rPr>
          <w:i/>
          <w:sz w:val="28"/>
        </w:rPr>
        <w:t>increase</w:t>
      </w:r>
      <w:r>
        <w:rPr>
          <w:i/>
          <w:spacing w:val="-5"/>
          <w:sz w:val="28"/>
        </w:rPr>
        <w:t> </w:t>
      </w:r>
      <w:r>
        <w:rPr>
          <w:i/>
          <w:sz w:val="28"/>
        </w:rPr>
        <w:t>the</w:t>
      </w:r>
      <w:r>
        <w:rPr>
          <w:i/>
          <w:spacing w:val="-6"/>
          <w:sz w:val="28"/>
        </w:rPr>
        <w:t> </w:t>
      </w:r>
      <w:r>
        <w:rPr>
          <w:i/>
          <w:sz w:val="28"/>
        </w:rPr>
        <w:t>knowledge</w:t>
      </w:r>
      <w:r>
        <w:rPr>
          <w:i/>
          <w:spacing w:val="-5"/>
          <w:sz w:val="28"/>
        </w:rPr>
        <w:t> </w:t>
      </w:r>
      <w:r>
        <w:rPr>
          <w:i/>
          <w:sz w:val="28"/>
        </w:rPr>
        <w:t>of</w:t>
      </w:r>
      <w:r>
        <w:rPr>
          <w:i/>
          <w:spacing w:val="4"/>
          <w:sz w:val="28"/>
        </w:rPr>
        <w:t> </w:t>
      </w:r>
      <w:r>
        <w:rPr>
          <w:i/>
          <w:sz w:val="28"/>
        </w:rPr>
        <w:t>applicants</w:t>
      </w:r>
      <w:r>
        <w:rPr>
          <w:i/>
          <w:spacing w:val="-5"/>
          <w:sz w:val="28"/>
        </w:rPr>
        <w:t> </w:t>
      </w:r>
      <w:r>
        <w:rPr>
          <w:i/>
          <w:sz w:val="28"/>
        </w:rPr>
        <w:t>of</w:t>
      </w:r>
      <w:r>
        <w:rPr>
          <w:i/>
          <w:spacing w:val="-4"/>
          <w:sz w:val="28"/>
        </w:rPr>
        <w:t> </w:t>
      </w:r>
      <w:r>
        <w:rPr>
          <w:i/>
          <w:sz w:val="28"/>
        </w:rPr>
        <w:t>higher veterinary education in the field of professional ethics of veterinary medicine during lectures, seminars, workshops, as </w:t>
      </w:r>
      <w:r>
        <w:rPr>
          <w:i/>
          <w:spacing w:val="-3"/>
          <w:sz w:val="28"/>
        </w:rPr>
        <w:t>well </w:t>
      </w:r>
      <w:r>
        <w:rPr>
          <w:i/>
          <w:sz w:val="28"/>
        </w:rPr>
        <w:t>as during practice in veterinary clinics and animal farms.</w:t>
      </w:r>
    </w:p>
    <w:p>
      <w:pPr>
        <w:spacing w:before="0"/>
        <w:ind w:left="193" w:right="618" w:firstLine="710"/>
        <w:jc w:val="both"/>
        <w:rPr>
          <w:i/>
          <w:sz w:val="28"/>
        </w:rPr>
      </w:pPr>
      <w:r>
        <w:rPr>
          <w:b/>
          <w:i/>
          <w:sz w:val="28"/>
        </w:rPr>
        <w:t>Key words: </w:t>
      </w:r>
      <w:r>
        <w:rPr>
          <w:i/>
          <w:sz w:val="28"/>
        </w:rPr>
        <w:t>competence; professional ethics; professional and ethical </w:t>
      </w:r>
      <w:r>
        <w:rPr>
          <w:i/>
          <w:sz w:val="28"/>
        </w:rPr>
        <w:t>competence; doctor of veterinary medicine; Symboldram method.</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right="0"/>
        <w:jc w:val="left"/>
      </w:pPr>
      <w:r>
        <w:rPr/>
        <w:t>УДК:</w:t>
      </w:r>
      <w:r>
        <w:rPr>
          <w:spacing w:val="-3"/>
        </w:rPr>
        <w:t> </w:t>
      </w:r>
      <w:r>
        <w:rPr/>
        <w:t>338.1:634.84</w:t>
        <w:tab/>
        <w:t>DOI:</w:t>
      </w:r>
      <w:r>
        <w:rPr>
          <w:spacing w:val="-1"/>
        </w:rPr>
        <w:t> </w:t>
      </w:r>
      <w:r>
        <w:rPr/>
        <w:t>10.37000/abbsl.2020.96.18</w:t>
      </w:r>
    </w:p>
    <w:p>
      <w:pPr>
        <w:pStyle w:val="BodyText"/>
        <w:spacing w:before="11"/>
        <w:ind w:left="0"/>
        <w:jc w:val="left"/>
        <w:rPr>
          <w:b/>
          <w:sz w:val="27"/>
        </w:rPr>
      </w:pPr>
    </w:p>
    <w:p>
      <w:pPr>
        <w:spacing w:before="0"/>
        <w:ind w:left="1566" w:right="894" w:hanging="370"/>
        <w:jc w:val="left"/>
        <w:rPr>
          <w:b/>
          <w:sz w:val="28"/>
        </w:rPr>
      </w:pPr>
      <w:r>
        <w:rPr>
          <w:b/>
          <w:sz w:val="28"/>
        </w:rPr>
        <w:t>РОЗВИТОК МАРКЕТИНГОВОЇ ТОВАРНО-АСОРТИМЕНТНОЇ ПОЛІТИКИ ВИНОГРАДУ СТОЛОВОГО НАПРЯМУ</w:t>
      </w:r>
    </w:p>
    <w:p>
      <w:pPr>
        <w:spacing w:line="322" w:lineRule="exact" w:before="0"/>
        <w:ind w:left="895" w:right="603" w:firstLine="0"/>
        <w:jc w:val="center"/>
        <w:rPr>
          <w:b/>
          <w:sz w:val="28"/>
        </w:rPr>
      </w:pPr>
      <w:r>
        <w:rPr>
          <w:b/>
          <w:sz w:val="28"/>
        </w:rPr>
        <w:t>М. Сахацький, А. Белоус</w:t>
      </w:r>
    </w:p>
    <w:p>
      <w:pPr>
        <w:spacing w:before="0"/>
        <w:ind w:left="885" w:right="603" w:firstLine="0"/>
        <w:jc w:val="center"/>
        <w:rPr>
          <w:i/>
          <w:sz w:val="28"/>
        </w:rPr>
      </w:pPr>
      <w:r>
        <w:rPr>
          <w:i/>
          <w:sz w:val="28"/>
        </w:rPr>
        <w:t>Одеська державна академія будівництва та архітектури</w:t>
      </w:r>
    </w:p>
    <w:p>
      <w:pPr>
        <w:pStyle w:val="BodyText"/>
        <w:spacing w:before="11"/>
        <w:ind w:left="0"/>
        <w:jc w:val="left"/>
        <w:rPr>
          <w:i/>
          <w:sz w:val="27"/>
        </w:rPr>
      </w:pPr>
    </w:p>
    <w:p>
      <w:pPr>
        <w:spacing w:line="240" w:lineRule="auto" w:before="0"/>
        <w:ind w:left="193" w:right="610" w:firstLine="710"/>
        <w:jc w:val="both"/>
        <w:rPr>
          <w:i/>
          <w:sz w:val="28"/>
        </w:rPr>
      </w:pPr>
      <w:r>
        <w:rPr>
          <w:i/>
          <w:sz w:val="28"/>
        </w:rPr>
        <w:t>Проаналізовано</w:t>
      </w:r>
      <w:r>
        <w:rPr>
          <w:i/>
          <w:spacing w:val="-21"/>
          <w:sz w:val="28"/>
        </w:rPr>
        <w:t> </w:t>
      </w:r>
      <w:r>
        <w:rPr>
          <w:i/>
          <w:sz w:val="28"/>
        </w:rPr>
        <w:t>стан</w:t>
      </w:r>
      <w:r>
        <w:rPr>
          <w:i/>
          <w:spacing w:val="-21"/>
          <w:sz w:val="28"/>
        </w:rPr>
        <w:t> </w:t>
      </w:r>
      <w:r>
        <w:rPr>
          <w:i/>
          <w:sz w:val="28"/>
        </w:rPr>
        <w:t>сортименту</w:t>
      </w:r>
      <w:r>
        <w:rPr>
          <w:i/>
          <w:spacing w:val="-20"/>
          <w:sz w:val="28"/>
        </w:rPr>
        <w:t> </w:t>
      </w:r>
      <w:r>
        <w:rPr>
          <w:i/>
          <w:sz w:val="28"/>
        </w:rPr>
        <w:t>виноградних</w:t>
      </w:r>
      <w:r>
        <w:rPr>
          <w:i/>
          <w:spacing w:val="-20"/>
          <w:sz w:val="28"/>
        </w:rPr>
        <w:t> </w:t>
      </w:r>
      <w:r>
        <w:rPr>
          <w:i/>
          <w:sz w:val="28"/>
        </w:rPr>
        <w:t>насаджень</w:t>
      </w:r>
      <w:r>
        <w:rPr>
          <w:i/>
          <w:spacing w:val="-22"/>
          <w:sz w:val="28"/>
        </w:rPr>
        <w:t> </w:t>
      </w:r>
      <w:r>
        <w:rPr>
          <w:i/>
          <w:sz w:val="28"/>
        </w:rPr>
        <w:t>України,</w:t>
      </w:r>
      <w:r>
        <w:rPr>
          <w:i/>
          <w:spacing w:val="-20"/>
          <w:sz w:val="28"/>
        </w:rPr>
        <w:t> </w:t>
      </w:r>
      <w:r>
        <w:rPr>
          <w:i/>
          <w:sz w:val="28"/>
        </w:rPr>
        <w:t>а</w:t>
      </w:r>
      <w:r>
        <w:rPr>
          <w:i/>
          <w:spacing w:val="-25"/>
          <w:sz w:val="28"/>
        </w:rPr>
        <w:t> </w:t>
      </w:r>
      <w:r>
        <w:rPr>
          <w:i/>
          <w:sz w:val="28"/>
        </w:rPr>
        <w:t>саме </w:t>
      </w:r>
      <w:r>
        <w:rPr>
          <w:i/>
          <w:sz w:val="28"/>
        </w:rPr>
        <w:t>сортів винограду столового напрямку основних виноградарських регіонів України та необхідності його вдосконалення при інтеграції у світовий </w:t>
      </w:r>
      <w:r>
        <w:rPr>
          <w:i/>
          <w:spacing w:val="2"/>
          <w:sz w:val="28"/>
        </w:rPr>
        <w:t>ринок</w:t>
      </w:r>
      <w:r>
        <w:rPr>
          <w:spacing w:val="2"/>
          <w:sz w:val="28"/>
        </w:rPr>
        <w:t>. </w:t>
      </w:r>
      <w:r>
        <w:rPr>
          <w:i/>
          <w:sz w:val="28"/>
        </w:rPr>
        <w:t>Через те, що сортимент винограду є одним з основних чинників, який необхідно </w:t>
      </w:r>
      <w:r>
        <w:rPr>
          <w:i/>
          <w:sz w:val="28"/>
        </w:rPr>
        <w:t>враховувати при інтеграції галузі у світовий ринок, він повинен відповідати смакам споживача традиційних сортів, а також залучати їх до нових сортів, які були одержані в останні роки. Але слід зазначити, що розмноження і впровадження сортів нової селекції відбувається дуже повільно як через невеликі розмірі маточників, або навіть їх відсутність, так і через певну недовіру до нового сортименту. До того ж формування й реконструкція сортименту винограду здійснюється стихійно, до уваги береться лише ринковий попит, не враховуються перспективи розвитку регіонів, господарств та наявність розсадницької</w:t>
      </w:r>
      <w:r>
        <w:rPr>
          <w:i/>
          <w:spacing w:val="2"/>
          <w:sz w:val="28"/>
        </w:rPr>
        <w:t> </w:t>
      </w:r>
      <w:r>
        <w:rPr>
          <w:i/>
          <w:sz w:val="28"/>
        </w:rPr>
        <w:t>бази.</w:t>
      </w:r>
    </w:p>
    <w:p>
      <w:pPr>
        <w:spacing w:before="1"/>
        <w:ind w:left="193" w:right="617" w:firstLine="710"/>
        <w:jc w:val="both"/>
        <w:rPr>
          <w:i/>
          <w:sz w:val="28"/>
        </w:rPr>
      </w:pPr>
      <w:r>
        <w:rPr>
          <w:b/>
          <w:i/>
          <w:sz w:val="28"/>
        </w:rPr>
        <w:t>Ключові слова. </w:t>
      </w:r>
      <w:r>
        <w:rPr>
          <w:i/>
          <w:sz w:val="28"/>
        </w:rPr>
        <w:t>Столові сорти винограду, сортимент сортів винограду, </w:t>
      </w:r>
      <w:r>
        <w:rPr>
          <w:i/>
          <w:sz w:val="28"/>
        </w:rPr>
        <w:t>аналіз ринку столових сортів, конвеєр столових сортів винограду, сорти нової селекції.</w:t>
      </w:r>
    </w:p>
    <w:p>
      <w:pPr>
        <w:pStyle w:val="BodyText"/>
        <w:spacing w:before="10"/>
        <w:ind w:left="0"/>
        <w:jc w:val="left"/>
        <w:rPr>
          <w:i/>
          <w:sz w:val="27"/>
        </w:rPr>
      </w:pPr>
    </w:p>
    <w:p>
      <w:pPr>
        <w:pStyle w:val="BodyText"/>
        <w:ind w:right="610" w:firstLine="710"/>
      </w:pPr>
      <w:r>
        <w:rPr>
          <w:b/>
        </w:rPr>
        <w:t>Вступ. </w:t>
      </w:r>
      <w:r>
        <w:rPr/>
        <w:t>Актуальність науково прикладного опрацювання проблеми формування сортименту сортів винограду столового напрямку зумовлена цілим рядом чинників, серед яких до основних слід віднести те, що виноградарський сектор є економічно самодостатнім та відноситься до числа найбільш вагомих в АПК й господарському комплексі. Значущість виноградарства для висхідного соціально-економічного</w:t>
      </w:r>
      <w:r>
        <w:rPr>
          <w:spacing w:val="-20"/>
        </w:rPr>
        <w:t> </w:t>
      </w:r>
      <w:r>
        <w:rPr/>
        <w:t>розвитку</w:t>
      </w:r>
      <w:r>
        <w:rPr>
          <w:spacing w:val="-23"/>
        </w:rPr>
        <w:t> </w:t>
      </w:r>
      <w:r>
        <w:rPr/>
        <w:t>країни</w:t>
      </w:r>
      <w:r>
        <w:rPr>
          <w:spacing w:val="-20"/>
        </w:rPr>
        <w:t> </w:t>
      </w:r>
      <w:r>
        <w:rPr/>
        <w:t>полягає</w:t>
      </w:r>
      <w:r>
        <w:rPr>
          <w:spacing w:val="-18"/>
        </w:rPr>
        <w:t> </w:t>
      </w:r>
      <w:r>
        <w:rPr/>
        <w:t>в</w:t>
      </w:r>
      <w:r>
        <w:rPr>
          <w:spacing w:val="-21"/>
        </w:rPr>
        <w:t> </w:t>
      </w:r>
      <w:r>
        <w:rPr/>
        <w:t>тому,</w:t>
      </w:r>
      <w:r>
        <w:rPr>
          <w:spacing w:val="-17"/>
        </w:rPr>
        <w:t> </w:t>
      </w:r>
      <w:r>
        <w:rPr/>
        <w:t>що</w:t>
      </w:r>
      <w:r>
        <w:rPr>
          <w:spacing w:val="-19"/>
        </w:rPr>
        <w:t> </w:t>
      </w:r>
      <w:r>
        <w:rPr/>
        <w:t>ця</w:t>
      </w:r>
      <w:r>
        <w:rPr>
          <w:spacing w:val="-22"/>
        </w:rPr>
        <w:t> </w:t>
      </w:r>
      <w:r>
        <w:rPr/>
        <w:t>сфера</w:t>
      </w:r>
      <w:r>
        <w:rPr>
          <w:spacing w:val="-22"/>
        </w:rPr>
        <w:t> </w:t>
      </w:r>
      <w:r>
        <w:rPr/>
        <w:t>виробничо- господарської діяльності зберігає і розвиває традиції, звичаї та культуру Української нації. За рівнем конкурентоспроможності продукції виноградарства можна об’єктивно оцінити зрілість провідників державної політики всіх управлінських поверхів країни, регуляторні важелі якої надають синергію від поєднання в цілісну систему економічних, соціальних, екологічних, інституціональних та науково-технологічних складових суспільства. Особливої уваги при цьому заслуговує виноградарство столового напряму як такого, що віддзеркалює реальність соціального спрямування національної економіки, бо оздоровлює населення країни, задовольняє фізіологічні потреби людини в основних харчових речовинах і енергії, покращує в суспільстві культуру харчового споживання.</w:t>
      </w:r>
    </w:p>
    <w:p>
      <w:pPr>
        <w:pStyle w:val="BodyText"/>
        <w:ind w:right="618" w:firstLine="710"/>
      </w:pPr>
      <w:r>
        <w:rPr>
          <w:b/>
        </w:rPr>
        <w:t>Аналіз останніх досліджень. </w:t>
      </w:r>
      <w:r>
        <w:rPr/>
        <w:t>Дослідження проблеми формування сортименту виноградних насаджень України та її регіонів проводять Авидзба А.М.,</w:t>
      </w:r>
      <w:r>
        <w:rPr>
          <w:spacing w:val="54"/>
        </w:rPr>
        <w:t> </w:t>
      </w:r>
      <w:r>
        <w:rPr/>
        <w:t>Анісімова</w:t>
      </w:r>
      <w:r>
        <w:rPr>
          <w:spacing w:val="57"/>
        </w:rPr>
        <w:t> </w:t>
      </w:r>
      <w:r>
        <w:rPr/>
        <w:t>Н.Ю.,</w:t>
      </w:r>
      <w:r>
        <w:rPr>
          <w:spacing w:val="58"/>
        </w:rPr>
        <w:t> </w:t>
      </w:r>
      <w:r>
        <w:rPr/>
        <w:t>Бузні</w:t>
      </w:r>
      <w:r>
        <w:rPr>
          <w:spacing w:val="51"/>
        </w:rPr>
        <w:t> </w:t>
      </w:r>
      <w:r>
        <w:rPr/>
        <w:t>А.М.,</w:t>
      </w:r>
      <w:r>
        <w:rPr>
          <w:spacing w:val="54"/>
        </w:rPr>
        <w:t> </w:t>
      </w:r>
      <w:r>
        <w:rPr/>
        <w:t>Белоус</w:t>
      </w:r>
      <w:r>
        <w:rPr>
          <w:spacing w:val="58"/>
        </w:rPr>
        <w:t> </w:t>
      </w:r>
      <w:r>
        <w:rPr/>
        <w:t>І.В.,</w:t>
      </w:r>
      <w:r>
        <w:rPr>
          <w:spacing w:val="54"/>
        </w:rPr>
        <w:t> </w:t>
      </w:r>
      <w:r>
        <w:rPr/>
        <w:t>Власов</w:t>
      </w:r>
      <w:r>
        <w:rPr>
          <w:spacing w:val="55"/>
        </w:rPr>
        <w:t> </w:t>
      </w:r>
      <w:r>
        <w:rPr/>
        <w:t>В.В.,</w:t>
      </w:r>
      <w:r>
        <w:rPr>
          <w:spacing w:val="54"/>
        </w:rPr>
        <w:t> </w:t>
      </w:r>
      <w:r>
        <w:rPr/>
        <w:t>Волинкін</w:t>
      </w:r>
      <w:r>
        <w:rPr>
          <w:spacing w:val="56"/>
        </w:rPr>
        <w:t> </w:t>
      </w:r>
      <w:r>
        <w:rPr/>
        <w:t>В.А.,</w:t>
      </w:r>
    </w:p>
    <w:p>
      <w:pPr>
        <w:spacing w:after="0"/>
        <w:sectPr>
          <w:pgSz w:w="11910" w:h="16840"/>
          <w:pgMar w:header="713" w:footer="778" w:top="1140" w:bottom="960" w:left="940" w:right="520"/>
        </w:sectPr>
      </w:pPr>
    </w:p>
    <w:p>
      <w:pPr>
        <w:pStyle w:val="BodyText"/>
        <w:spacing w:before="92"/>
        <w:ind w:right="617"/>
      </w:pPr>
      <w:r>
        <w:rPr/>
        <w:t>Лянний О.Д., Мелешко Л.Ф., Спектор Я.С., Тулаєва М.І., Серпуховітіна К.А., Хреновськов Е.І., Червен І.І., Черемісина С.Г. й інші вчені. Але необхідно зазначити, що інтенсивна інтеграція України у світовий економічний простір, незадовільний стан і регресивний рух важливої для здоров’я нації галузі потребують її постійного наукового супроводу та більш глибокого вивчення проблем формування сортименту виноградних насаджень столового напряму.</w:t>
      </w:r>
    </w:p>
    <w:p>
      <w:pPr>
        <w:pStyle w:val="BodyText"/>
        <w:spacing w:before="3"/>
        <w:ind w:right="608" w:firstLine="710"/>
      </w:pPr>
      <w:r>
        <w:rPr>
          <w:b/>
        </w:rPr>
        <w:t>Метою дослідження є </w:t>
      </w:r>
      <w:r>
        <w:rPr/>
        <w:t>обґрунтування теоретичних засад та розробка практичних рекомендацій щодо розвитку маркетингової товарно-асортиментної політики винограду столового напряму для задоволення потреб споживачів як вітчизняного, так і світового ринків у високоякісному, </w:t>
      </w:r>
      <w:r>
        <w:rPr>
          <w:color w:val="212121"/>
        </w:rPr>
        <w:t>цілющому, високопоживному продукту</w:t>
      </w:r>
      <w:r>
        <w:rPr/>
        <w:t>.</w:t>
      </w:r>
    </w:p>
    <w:p>
      <w:pPr>
        <w:pStyle w:val="BodyText"/>
        <w:ind w:right="608" w:firstLine="710"/>
      </w:pPr>
      <w:r>
        <w:rPr>
          <w:b/>
        </w:rPr>
        <w:t>Результати досліджень. </w:t>
      </w:r>
      <w:r>
        <w:rPr/>
        <w:t>Обґрунтування теоретичних засад та розробка практичних рекомендацій щодо розвитку маркетингової товарно-асортиментної політики винограду столового напряму передбачає проведення аналізу його сучасного стану та існуючих трендів для виявлення чинників, вплив яких прискорює</w:t>
      </w:r>
      <w:r>
        <w:rPr>
          <w:spacing w:val="-18"/>
        </w:rPr>
        <w:t> </w:t>
      </w:r>
      <w:r>
        <w:rPr/>
        <w:t>чи</w:t>
      </w:r>
      <w:r>
        <w:rPr>
          <w:spacing w:val="-19"/>
        </w:rPr>
        <w:t> </w:t>
      </w:r>
      <w:r>
        <w:rPr/>
        <w:t>гальмує</w:t>
      </w:r>
      <w:r>
        <w:rPr>
          <w:spacing w:val="-18"/>
        </w:rPr>
        <w:t> </w:t>
      </w:r>
      <w:r>
        <w:rPr/>
        <w:t>висхідний</w:t>
      </w:r>
      <w:r>
        <w:rPr>
          <w:spacing w:val="-18"/>
        </w:rPr>
        <w:t> </w:t>
      </w:r>
      <w:r>
        <w:rPr/>
        <w:t>рух</w:t>
      </w:r>
      <w:r>
        <w:rPr>
          <w:spacing w:val="-23"/>
        </w:rPr>
        <w:t> </w:t>
      </w:r>
      <w:r>
        <w:rPr/>
        <w:t>галузі,</w:t>
      </w:r>
      <w:r>
        <w:rPr>
          <w:spacing w:val="-17"/>
        </w:rPr>
        <w:t> </w:t>
      </w:r>
      <w:r>
        <w:rPr/>
        <w:t>що</w:t>
      </w:r>
      <w:r>
        <w:rPr>
          <w:spacing w:val="-19"/>
        </w:rPr>
        <w:t> </w:t>
      </w:r>
      <w:r>
        <w:rPr/>
        <w:t>покликана</w:t>
      </w:r>
      <w:r>
        <w:rPr>
          <w:spacing w:val="-11"/>
        </w:rPr>
        <w:t> </w:t>
      </w:r>
      <w:r>
        <w:rPr/>
        <w:t>задовольняти</w:t>
      </w:r>
      <w:r>
        <w:rPr>
          <w:spacing w:val="-19"/>
        </w:rPr>
        <w:t> </w:t>
      </w:r>
      <w:r>
        <w:rPr/>
        <w:t>потреби споживачів</w:t>
      </w:r>
      <w:r>
        <w:rPr>
          <w:spacing w:val="-8"/>
        </w:rPr>
        <w:t> </w:t>
      </w:r>
      <w:r>
        <w:rPr/>
        <w:t>у</w:t>
      </w:r>
      <w:r>
        <w:rPr>
          <w:spacing w:val="-14"/>
        </w:rPr>
        <w:t> </w:t>
      </w:r>
      <w:r>
        <w:rPr/>
        <w:t>високоякісній</w:t>
      </w:r>
      <w:r>
        <w:rPr>
          <w:spacing w:val="-10"/>
        </w:rPr>
        <w:t> </w:t>
      </w:r>
      <w:r>
        <w:rPr/>
        <w:t>та</w:t>
      </w:r>
      <w:r>
        <w:rPr>
          <w:spacing w:val="-7"/>
        </w:rPr>
        <w:t> </w:t>
      </w:r>
      <w:r>
        <w:rPr>
          <w:color w:val="212121"/>
        </w:rPr>
        <w:t>цілющій</w:t>
      </w:r>
      <w:r>
        <w:rPr>
          <w:color w:val="212121"/>
          <w:spacing w:val="-6"/>
        </w:rPr>
        <w:t> </w:t>
      </w:r>
      <w:r>
        <w:rPr>
          <w:color w:val="212121"/>
        </w:rPr>
        <w:t>продукції.</w:t>
      </w:r>
      <w:r>
        <w:rPr>
          <w:color w:val="212121"/>
          <w:spacing w:val="-6"/>
        </w:rPr>
        <w:t> </w:t>
      </w:r>
      <w:r>
        <w:rPr/>
        <w:t>Ознайомлення</w:t>
      </w:r>
      <w:r>
        <w:rPr>
          <w:spacing w:val="-9"/>
        </w:rPr>
        <w:t> </w:t>
      </w:r>
      <w:r>
        <w:rPr/>
        <w:t>зі</w:t>
      </w:r>
      <w:r>
        <w:rPr>
          <w:spacing w:val="-12"/>
        </w:rPr>
        <w:t> </w:t>
      </w:r>
      <w:r>
        <w:rPr/>
        <w:t>спеціальною літературою</w:t>
      </w:r>
      <w:r>
        <w:rPr>
          <w:spacing w:val="-9"/>
        </w:rPr>
        <w:t> </w:t>
      </w:r>
      <w:r>
        <w:rPr/>
        <w:t>з</w:t>
      </w:r>
      <w:r>
        <w:rPr>
          <w:spacing w:val="-7"/>
        </w:rPr>
        <w:t> </w:t>
      </w:r>
      <w:r>
        <w:rPr/>
        <w:t>досліджуваної</w:t>
      </w:r>
      <w:r>
        <w:rPr>
          <w:spacing w:val="-8"/>
        </w:rPr>
        <w:t> </w:t>
      </w:r>
      <w:r>
        <w:rPr/>
        <w:t>проблеми</w:t>
      </w:r>
      <w:r>
        <w:rPr>
          <w:spacing w:val="-7"/>
        </w:rPr>
        <w:t> </w:t>
      </w:r>
      <w:r>
        <w:rPr/>
        <w:t>показує,</w:t>
      </w:r>
      <w:r>
        <w:rPr>
          <w:spacing w:val="-5"/>
        </w:rPr>
        <w:t> </w:t>
      </w:r>
      <w:r>
        <w:rPr/>
        <w:t>що</w:t>
      </w:r>
      <w:r>
        <w:rPr>
          <w:spacing w:val="-7"/>
        </w:rPr>
        <w:t> </w:t>
      </w:r>
      <w:r>
        <w:rPr/>
        <w:t>виноградарство</w:t>
      </w:r>
      <w:r>
        <w:rPr>
          <w:spacing w:val="-3"/>
        </w:rPr>
        <w:t> </w:t>
      </w:r>
      <w:r>
        <w:rPr/>
        <w:t>України</w:t>
      </w:r>
      <w:r>
        <w:rPr>
          <w:spacing w:val="-7"/>
        </w:rPr>
        <w:t> </w:t>
      </w:r>
      <w:r>
        <w:rPr/>
        <w:t>має тисячолітню історію, яку започаткували в Північному Причорномор’ї греки- колоністи за 2-3 століття до нашої ери і продовжили генуезці, які мали тут колонії в ХІ-ХІІ віці. В подальшому протягом багатьох років сортимент виноградників України збільшувався тільки за рахунок інтродукованих сортів, які завозилися з Європи, насамперед з Франції, Німеччини, Болгарії та Угорщини. Перші українські сорти - Сухолиманський білий, Одеський чорний, Сорок років Жовтню, Бастардо магарачський, Ранній Магарача були районовані 1969 року. За останні десятиріччя у сортиментах, що змінювалися, налічувалося від 110 до 120 сортів. Однак співвідношення вітчизняних та зарубіжних сортів змінюється. Так, якщо до 90-х років інтродуковані сорти становили 80%, а українські 20%, то до 2006 року останніх було вже 50%, а у реєстрі 2007 року - 54% [2, с.</w:t>
      </w:r>
      <w:r>
        <w:rPr>
          <w:spacing w:val="7"/>
        </w:rPr>
        <w:t> </w:t>
      </w:r>
      <w:r>
        <w:rPr/>
        <w:t>24].</w:t>
      </w:r>
    </w:p>
    <w:p>
      <w:pPr>
        <w:pStyle w:val="BodyText"/>
        <w:ind w:right="612" w:firstLine="710"/>
      </w:pPr>
      <w:r>
        <w:rPr/>
        <w:t>Відсоткове збільшення сортів вітчизняного походження в структурі виноградних</w:t>
      </w:r>
      <w:r>
        <w:rPr>
          <w:spacing w:val="-15"/>
        </w:rPr>
        <w:t> </w:t>
      </w:r>
      <w:r>
        <w:rPr/>
        <w:t>сортів</w:t>
      </w:r>
      <w:r>
        <w:rPr>
          <w:spacing w:val="-12"/>
        </w:rPr>
        <w:t> </w:t>
      </w:r>
      <w:r>
        <w:rPr/>
        <w:t>дозволяє</w:t>
      </w:r>
      <w:r>
        <w:rPr>
          <w:spacing w:val="-10"/>
        </w:rPr>
        <w:t> </w:t>
      </w:r>
      <w:r>
        <w:rPr/>
        <w:t>зробити</w:t>
      </w:r>
      <w:r>
        <w:rPr>
          <w:spacing w:val="-9"/>
        </w:rPr>
        <w:t> </w:t>
      </w:r>
      <w:r>
        <w:rPr/>
        <w:t>два</w:t>
      </w:r>
      <w:r>
        <w:rPr>
          <w:spacing w:val="-10"/>
        </w:rPr>
        <w:t> </w:t>
      </w:r>
      <w:r>
        <w:rPr/>
        <w:t>узагальнюючі</w:t>
      </w:r>
      <w:r>
        <w:rPr>
          <w:spacing w:val="-15"/>
        </w:rPr>
        <w:t> </w:t>
      </w:r>
      <w:r>
        <w:rPr/>
        <w:t>висновки.</w:t>
      </w:r>
      <w:r>
        <w:rPr>
          <w:spacing w:val="-8"/>
        </w:rPr>
        <w:t> </w:t>
      </w:r>
      <w:r>
        <w:rPr/>
        <w:t>Перший,</w:t>
      </w:r>
      <w:r>
        <w:rPr>
          <w:spacing w:val="-8"/>
        </w:rPr>
        <w:t> </w:t>
      </w:r>
      <w:r>
        <w:rPr/>
        <w:t>роль наукового супроводу виробничо-господарської діяльності виноградарської галузі зростає, бо сортове оновлення відбувається на основі надійного інноваційного забезпечення. Другий, потіснити інтродукований виноград та збільшити частку автохтонних сортів в умовах ринкової економіки можливо лише за рахунок вищої конкурентоспроможності сорту-новинки, що містить відчутні</w:t>
      </w:r>
      <w:r>
        <w:rPr>
          <w:spacing w:val="-19"/>
        </w:rPr>
        <w:t> </w:t>
      </w:r>
      <w:r>
        <w:rPr/>
        <w:t>якісні</w:t>
      </w:r>
      <w:r>
        <w:rPr>
          <w:spacing w:val="-18"/>
        </w:rPr>
        <w:t> </w:t>
      </w:r>
      <w:r>
        <w:rPr/>
        <w:t>переваги</w:t>
      </w:r>
      <w:r>
        <w:rPr>
          <w:spacing w:val="-13"/>
        </w:rPr>
        <w:t> </w:t>
      </w:r>
      <w:r>
        <w:rPr/>
        <w:t>по</w:t>
      </w:r>
      <w:r>
        <w:rPr>
          <w:spacing w:val="-14"/>
        </w:rPr>
        <w:t> </w:t>
      </w:r>
      <w:r>
        <w:rPr/>
        <w:t>відношенню</w:t>
      </w:r>
      <w:r>
        <w:rPr>
          <w:spacing w:val="-9"/>
        </w:rPr>
        <w:t> </w:t>
      </w:r>
      <w:r>
        <w:rPr/>
        <w:t>до</w:t>
      </w:r>
      <w:r>
        <w:rPr>
          <w:spacing w:val="-14"/>
        </w:rPr>
        <w:t> </w:t>
      </w:r>
      <w:r>
        <w:rPr/>
        <w:t>чужорідного.</w:t>
      </w:r>
      <w:r>
        <w:rPr>
          <w:spacing w:val="-41"/>
        </w:rPr>
        <w:t> </w:t>
      </w:r>
      <w:r>
        <w:rPr/>
        <w:t>Для</w:t>
      </w:r>
      <w:r>
        <w:rPr>
          <w:spacing w:val="-12"/>
        </w:rPr>
        <w:t> </w:t>
      </w:r>
      <w:r>
        <w:rPr/>
        <w:t>південних</w:t>
      </w:r>
      <w:r>
        <w:rPr>
          <w:spacing w:val="-18"/>
        </w:rPr>
        <w:t> </w:t>
      </w:r>
      <w:r>
        <w:rPr/>
        <w:t>областей України та Закарпаття виноградарство є надзвичайно важливою галуззю, яка здатна приносити значні прибутки. Проте аналіз сучасного стану та тенденцій розвитку виноградарської галузі показує, що протягом багатьох років в виноградарстві України зберігається небезпечна тенденція занепаду. Про це свідчить скорочення площі насаджень, зменшення їх урожайності та обсягів валового збору, що характерне для всіх областей промислового</w:t>
      </w:r>
      <w:r>
        <w:rPr>
          <w:spacing w:val="47"/>
        </w:rPr>
        <w:t> </w:t>
      </w:r>
      <w:r>
        <w:rPr/>
        <w:t>виноградарства</w:t>
      </w:r>
    </w:p>
    <w:p>
      <w:pPr>
        <w:spacing w:after="0"/>
        <w:sectPr>
          <w:pgSz w:w="11910" w:h="16840"/>
          <w:pgMar w:header="713" w:footer="778" w:top="1140" w:bottom="960" w:left="940" w:right="520"/>
        </w:sectPr>
      </w:pPr>
    </w:p>
    <w:p>
      <w:pPr>
        <w:pStyle w:val="BodyText"/>
        <w:spacing w:line="322" w:lineRule="exact" w:before="92"/>
      </w:pPr>
      <w:r>
        <w:rPr/>
        <w:t>[1, с. 12].</w:t>
      </w:r>
    </w:p>
    <w:p>
      <w:pPr>
        <w:pStyle w:val="BodyText"/>
        <w:ind w:right="606"/>
      </w:pPr>
      <w:r>
        <w:rPr/>
        <w:t>За напрямом використання врожаю всі виноградні насадження України поділяються на дві групи: виноградники столового напрямку (споживання винограду в свіжому вигляді) і виноградники технічного напряму (сировина до виробництва вина та інших продуктів з винограду). Взагалі основні промислові сортові ресурси винограду України представляють близько 25 сортів, з них біля 15 - технічних, 5-6 столових та 5 універсальних. За даними останнього перепису 1998 р. в структурі виноградних насаджень України переважали технічні сорти (більш</w:t>
      </w:r>
      <w:r>
        <w:rPr>
          <w:spacing w:val="-17"/>
        </w:rPr>
        <w:t> </w:t>
      </w:r>
      <w:r>
        <w:rPr/>
        <w:t>ніж</w:t>
      </w:r>
      <w:r>
        <w:rPr>
          <w:spacing w:val="-18"/>
        </w:rPr>
        <w:t> </w:t>
      </w:r>
      <w:r>
        <w:rPr/>
        <w:t>80%</w:t>
      </w:r>
      <w:r>
        <w:rPr>
          <w:spacing w:val="-19"/>
        </w:rPr>
        <w:t> </w:t>
      </w:r>
      <w:r>
        <w:rPr/>
        <w:t>загальної</w:t>
      </w:r>
      <w:r>
        <w:rPr>
          <w:spacing w:val="-22"/>
        </w:rPr>
        <w:t> </w:t>
      </w:r>
      <w:r>
        <w:rPr/>
        <w:t>площі).</w:t>
      </w:r>
      <w:r>
        <w:rPr>
          <w:spacing w:val="-17"/>
        </w:rPr>
        <w:t> </w:t>
      </w:r>
      <w:r>
        <w:rPr/>
        <w:t>У</w:t>
      </w:r>
      <w:r>
        <w:rPr>
          <w:spacing w:val="-18"/>
        </w:rPr>
        <w:t> </w:t>
      </w:r>
      <w:r>
        <w:rPr/>
        <w:t>матеріалах</w:t>
      </w:r>
      <w:r>
        <w:rPr>
          <w:spacing w:val="-22"/>
        </w:rPr>
        <w:t> </w:t>
      </w:r>
      <w:r>
        <w:rPr/>
        <w:t>перепису</w:t>
      </w:r>
      <w:r>
        <w:rPr>
          <w:spacing w:val="-23"/>
        </w:rPr>
        <w:t> </w:t>
      </w:r>
      <w:r>
        <w:rPr/>
        <w:t>враховано</w:t>
      </w:r>
      <w:r>
        <w:rPr>
          <w:spacing w:val="-18"/>
        </w:rPr>
        <w:t> </w:t>
      </w:r>
      <w:r>
        <w:rPr/>
        <w:t>54</w:t>
      </w:r>
      <w:r>
        <w:rPr>
          <w:spacing w:val="-18"/>
        </w:rPr>
        <w:t> </w:t>
      </w:r>
      <w:r>
        <w:rPr/>
        <w:t>технічних, 27 столових та 11 технічно-столових сортів. Технічні сорти займають 80,7 тис. га, або 75,0% </w:t>
      </w:r>
      <w:r>
        <w:rPr>
          <w:spacing w:val="-3"/>
        </w:rPr>
        <w:t>від </w:t>
      </w:r>
      <w:r>
        <w:rPr/>
        <w:t>загальної площі насаджень, столові - 21,2 тис. га, або 20,0%, і технічно-столові</w:t>
      </w:r>
      <w:r>
        <w:rPr>
          <w:spacing w:val="-8"/>
        </w:rPr>
        <w:t> </w:t>
      </w:r>
      <w:r>
        <w:rPr/>
        <w:t>-</w:t>
      </w:r>
      <w:r>
        <w:rPr>
          <w:spacing w:val="-6"/>
        </w:rPr>
        <w:t> </w:t>
      </w:r>
      <w:r>
        <w:rPr/>
        <w:t>відповідно</w:t>
      </w:r>
      <w:r>
        <w:rPr>
          <w:spacing w:val="-4"/>
        </w:rPr>
        <w:t> </w:t>
      </w:r>
      <w:r>
        <w:rPr/>
        <w:t>5,4</w:t>
      </w:r>
      <w:r>
        <w:rPr>
          <w:spacing w:val="-4"/>
        </w:rPr>
        <w:t> </w:t>
      </w:r>
      <w:r>
        <w:rPr/>
        <w:t>тис.</w:t>
      </w:r>
      <w:r>
        <w:rPr>
          <w:spacing w:val="-6"/>
        </w:rPr>
        <w:t> </w:t>
      </w:r>
      <w:r>
        <w:rPr/>
        <w:t>га,</w:t>
      </w:r>
      <w:r>
        <w:rPr>
          <w:spacing w:val="-6"/>
        </w:rPr>
        <w:t> </w:t>
      </w:r>
      <w:r>
        <w:rPr/>
        <w:t>або</w:t>
      </w:r>
      <w:r>
        <w:rPr>
          <w:spacing w:val="-8"/>
        </w:rPr>
        <w:t> </w:t>
      </w:r>
      <w:r>
        <w:rPr/>
        <w:t>5,0%</w:t>
      </w:r>
      <w:r>
        <w:rPr>
          <w:spacing w:val="-10"/>
        </w:rPr>
        <w:t> </w:t>
      </w:r>
      <w:r>
        <w:rPr/>
        <w:t>[2,</w:t>
      </w:r>
      <w:r>
        <w:rPr>
          <w:spacing w:val="-1"/>
        </w:rPr>
        <w:t> </w:t>
      </w:r>
      <w:r>
        <w:rPr/>
        <w:t>с.</w:t>
      </w:r>
      <w:r>
        <w:rPr>
          <w:spacing w:val="-6"/>
        </w:rPr>
        <w:t> </w:t>
      </w:r>
      <w:r>
        <w:rPr/>
        <w:t>25].Структура</w:t>
      </w:r>
      <w:r>
        <w:rPr>
          <w:spacing w:val="-3"/>
        </w:rPr>
        <w:t> </w:t>
      </w:r>
      <w:r>
        <w:rPr/>
        <w:t>сортового складу виноградних насаджень України у 2018 р. представлена в таблиці 1. Аналіз цифрових даних таблиці показує, що столовий виноград в продуктивних насадженнях представлений 43 сортами, що вирощуються в п’яти областях загальною</w:t>
      </w:r>
      <w:r>
        <w:rPr>
          <w:spacing w:val="-11"/>
        </w:rPr>
        <w:t> </w:t>
      </w:r>
      <w:r>
        <w:rPr/>
        <w:t>площею</w:t>
      </w:r>
      <w:r>
        <w:rPr>
          <w:spacing w:val="-11"/>
        </w:rPr>
        <w:t> </w:t>
      </w:r>
      <w:r>
        <w:rPr/>
        <w:t>2138,2</w:t>
      </w:r>
      <w:r>
        <w:rPr>
          <w:spacing w:val="-9"/>
        </w:rPr>
        <w:t> </w:t>
      </w:r>
      <w:r>
        <w:rPr/>
        <w:t>гектарів.</w:t>
      </w:r>
      <w:r>
        <w:rPr>
          <w:spacing w:val="-7"/>
        </w:rPr>
        <w:t> </w:t>
      </w:r>
      <w:r>
        <w:rPr/>
        <w:t>При</w:t>
      </w:r>
      <w:r>
        <w:rPr>
          <w:spacing w:val="-9"/>
        </w:rPr>
        <w:t> </w:t>
      </w:r>
      <w:r>
        <w:rPr/>
        <w:t>цьому</w:t>
      </w:r>
      <w:r>
        <w:rPr>
          <w:spacing w:val="-14"/>
        </w:rPr>
        <w:t> </w:t>
      </w:r>
      <w:r>
        <w:rPr/>
        <w:t>сортимент</w:t>
      </w:r>
      <w:r>
        <w:rPr>
          <w:spacing w:val="-11"/>
        </w:rPr>
        <w:t> </w:t>
      </w:r>
      <w:r>
        <w:rPr/>
        <w:t>столового</w:t>
      </w:r>
      <w:r>
        <w:rPr>
          <w:spacing w:val="-9"/>
        </w:rPr>
        <w:t> </w:t>
      </w:r>
      <w:r>
        <w:rPr/>
        <w:t>винограду</w:t>
      </w:r>
      <w:r>
        <w:rPr>
          <w:spacing w:val="-14"/>
        </w:rPr>
        <w:t> </w:t>
      </w:r>
      <w:r>
        <w:rPr/>
        <w:t>в основному представлений п’ятьма сортами – Аркадія, Кеша, Молдова, Мускат янтарний, Одеський сувенір. </w:t>
      </w:r>
      <w:r>
        <w:rPr>
          <w:spacing w:val="-3"/>
        </w:rPr>
        <w:t>На </w:t>
      </w:r>
      <w:r>
        <w:rPr/>
        <w:t>ці сорти приходиться 67,2% від загальної площі столового винограду країни. Тоді як 38 інших сортів займають лише 32,8 % загальної площі. Варто вказати на те, що беззаперечним лідером в сортовому насадженні столового винограду є Молдова, площа якої складає 766,71 га, або майже</w:t>
      </w:r>
      <w:r>
        <w:rPr>
          <w:spacing w:val="-9"/>
        </w:rPr>
        <w:t> </w:t>
      </w:r>
      <w:r>
        <w:rPr/>
        <w:t>36</w:t>
      </w:r>
      <w:r>
        <w:rPr>
          <w:spacing w:val="-8"/>
        </w:rPr>
        <w:t> </w:t>
      </w:r>
      <w:r>
        <w:rPr/>
        <w:t>%</w:t>
      </w:r>
      <w:r>
        <w:rPr>
          <w:spacing w:val="-9"/>
        </w:rPr>
        <w:t> </w:t>
      </w:r>
      <w:r>
        <w:rPr>
          <w:spacing w:val="-3"/>
        </w:rPr>
        <w:t>від</w:t>
      </w:r>
      <w:r>
        <w:rPr>
          <w:spacing w:val="-7"/>
        </w:rPr>
        <w:t> </w:t>
      </w:r>
      <w:r>
        <w:rPr/>
        <w:t>загальної</w:t>
      </w:r>
      <w:r>
        <w:rPr>
          <w:spacing w:val="-13"/>
        </w:rPr>
        <w:t> </w:t>
      </w:r>
      <w:r>
        <w:rPr/>
        <w:t>площі</w:t>
      </w:r>
      <w:r>
        <w:rPr>
          <w:spacing w:val="-14"/>
        </w:rPr>
        <w:t> </w:t>
      </w:r>
      <w:r>
        <w:rPr/>
        <w:t>насаджень. Сорт</w:t>
      </w:r>
      <w:r>
        <w:rPr>
          <w:spacing w:val="-10"/>
        </w:rPr>
        <w:t> </w:t>
      </w:r>
      <w:r>
        <w:rPr/>
        <w:t>Аркадія</w:t>
      </w:r>
      <w:r>
        <w:rPr>
          <w:spacing w:val="-7"/>
        </w:rPr>
        <w:t> </w:t>
      </w:r>
      <w:r>
        <w:rPr/>
        <w:t>займає</w:t>
      </w:r>
      <w:r>
        <w:rPr>
          <w:spacing w:val="-8"/>
        </w:rPr>
        <w:t> </w:t>
      </w:r>
      <w:r>
        <w:rPr/>
        <w:t>другу</w:t>
      </w:r>
      <w:r>
        <w:rPr>
          <w:spacing w:val="-13"/>
        </w:rPr>
        <w:t> </w:t>
      </w:r>
      <w:r>
        <w:rPr/>
        <w:t>сходинку в сортовому рейтингу столових виноградів за площею насаджень, що в 2 рази менше значення аналогічного показника сорту Молдова. </w:t>
      </w:r>
      <w:r>
        <w:rPr>
          <w:spacing w:val="-3"/>
        </w:rPr>
        <w:t>На </w:t>
      </w:r>
      <w:r>
        <w:rPr/>
        <w:t>поточний період за площею</w:t>
      </w:r>
      <w:r>
        <w:rPr>
          <w:spacing w:val="-19"/>
        </w:rPr>
        <w:t> </w:t>
      </w:r>
      <w:r>
        <w:rPr/>
        <w:t>насаджень</w:t>
      </w:r>
      <w:r>
        <w:rPr>
          <w:spacing w:val="-18"/>
        </w:rPr>
        <w:t> </w:t>
      </w:r>
      <w:r>
        <w:rPr/>
        <w:t>сорти</w:t>
      </w:r>
      <w:r>
        <w:rPr>
          <w:spacing w:val="-16"/>
        </w:rPr>
        <w:t> </w:t>
      </w:r>
      <w:r>
        <w:rPr/>
        <w:t>Молдова</w:t>
      </w:r>
      <w:r>
        <w:rPr>
          <w:spacing w:val="-16"/>
        </w:rPr>
        <w:t> </w:t>
      </w:r>
      <w:r>
        <w:rPr/>
        <w:t>та</w:t>
      </w:r>
      <w:r>
        <w:rPr>
          <w:spacing w:val="-11"/>
        </w:rPr>
        <w:t> </w:t>
      </w:r>
      <w:r>
        <w:rPr/>
        <w:t>Аркадія</w:t>
      </w:r>
      <w:r>
        <w:rPr>
          <w:spacing w:val="-15"/>
        </w:rPr>
        <w:t> </w:t>
      </w:r>
      <w:r>
        <w:rPr/>
        <w:t>домінують</w:t>
      </w:r>
      <w:r>
        <w:rPr>
          <w:spacing w:val="-19"/>
        </w:rPr>
        <w:t> </w:t>
      </w:r>
      <w:r>
        <w:rPr/>
        <w:t>в</w:t>
      </w:r>
      <w:r>
        <w:rPr>
          <w:spacing w:val="-18"/>
        </w:rPr>
        <w:t> </w:t>
      </w:r>
      <w:r>
        <w:rPr/>
        <w:t>сортименті</w:t>
      </w:r>
      <w:r>
        <w:rPr>
          <w:spacing w:val="-22"/>
        </w:rPr>
        <w:t> </w:t>
      </w:r>
      <w:r>
        <w:rPr/>
        <w:t>столового винограду: їх питома вага складає понад 53,6 % в загальній площі столових насаджень.</w:t>
      </w:r>
      <w:r>
        <w:rPr>
          <w:spacing w:val="-5"/>
        </w:rPr>
        <w:t> </w:t>
      </w:r>
      <w:r>
        <w:rPr/>
        <w:t>Про</w:t>
      </w:r>
      <w:r>
        <w:rPr>
          <w:spacing w:val="-7"/>
        </w:rPr>
        <w:t> </w:t>
      </w:r>
      <w:r>
        <w:rPr/>
        <w:t>значущість</w:t>
      </w:r>
      <w:r>
        <w:rPr>
          <w:spacing w:val="-9"/>
        </w:rPr>
        <w:t> </w:t>
      </w:r>
      <w:r>
        <w:rPr/>
        <w:t>цих</w:t>
      </w:r>
      <w:r>
        <w:rPr>
          <w:spacing w:val="-7"/>
        </w:rPr>
        <w:t> </w:t>
      </w:r>
      <w:r>
        <w:rPr/>
        <w:t>сортів</w:t>
      </w:r>
      <w:r>
        <w:rPr>
          <w:spacing w:val="-9"/>
        </w:rPr>
        <w:t> </w:t>
      </w:r>
      <w:r>
        <w:rPr/>
        <w:t>по</w:t>
      </w:r>
      <w:r>
        <w:rPr>
          <w:spacing w:val="-7"/>
        </w:rPr>
        <w:t> </w:t>
      </w:r>
      <w:r>
        <w:rPr/>
        <w:t>відношенню до</w:t>
      </w:r>
      <w:r>
        <w:rPr>
          <w:spacing w:val="-3"/>
        </w:rPr>
        <w:t> </w:t>
      </w:r>
      <w:r>
        <w:rPr/>
        <w:t>інших</w:t>
      </w:r>
      <w:r>
        <w:rPr>
          <w:spacing w:val="-12"/>
        </w:rPr>
        <w:t> </w:t>
      </w:r>
      <w:r>
        <w:rPr/>
        <w:t>засвідчує</w:t>
      </w:r>
      <w:r>
        <w:rPr>
          <w:spacing w:val="-6"/>
        </w:rPr>
        <w:t> </w:t>
      </w:r>
      <w:r>
        <w:rPr/>
        <w:t>те,</w:t>
      </w:r>
      <w:r>
        <w:rPr>
          <w:spacing w:val="-5"/>
        </w:rPr>
        <w:t> </w:t>
      </w:r>
      <w:r>
        <w:rPr/>
        <w:t>що за площею сорт Аркадія у 3,4 рази перевищую сорт Одеський Сувенір, який займає</w:t>
      </w:r>
      <w:r>
        <w:rPr>
          <w:spacing w:val="-13"/>
        </w:rPr>
        <w:t> </w:t>
      </w:r>
      <w:r>
        <w:rPr/>
        <w:t>третю</w:t>
      </w:r>
      <w:r>
        <w:rPr>
          <w:spacing w:val="-15"/>
        </w:rPr>
        <w:t> </w:t>
      </w:r>
      <w:r>
        <w:rPr/>
        <w:t>сходинку</w:t>
      </w:r>
      <w:r>
        <w:rPr>
          <w:spacing w:val="-13"/>
        </w:rPr>
        <w:t> </w:t>
      </w:r>
      <w:r>
        <w:rPr/>
        <w:t>у</w:t>
      </w:r>
      <w:r>
        <w:rPr>
          <w:spacing w:val="-17"/>
        </w:rPr>
        <w:t> </w:t>
      </w:r>
      <w:r>
        <w:rPr/>
        <w:t>загальному</w:t>
      </w:r>
      <w:r>
        <w:rPr>
          <w:spacing w:val="-18"/>
        </w:rPr>
        <w:t> </w:t>
      </w:r>
      <w:r>
        <w:rPr/>
        <w:t>рейтингу</w:t>
      </w:r>
      <w:r>
        <w:rPr>
          <w:spacing w:val="-17"/>
        </w:rPr>
        <w:t> </w:t>
      </w:r>
      <w:r>
        <w:rPr/>
        <w:t>площ</w:t>
      </w:r>
      <w:r>
        <w:rPr>
          <w:spacing w:val="-12"/>
        </w:rPr>
        <w:t> </w:t>
      </w:r>
      <w:r>
        <w:rPr/>
        <w:t>столового</w:t>
      </w:r>
      <w:r>
        <w:rPr>
          <w:spacing w:val="-13"/>
        </w:rPr>
        <w:t> </w:t>
      </w:r>
      <w:r>
        <w:rPr/>
        <w:t>винограду.</w:t>
      </w:r>
      <w:r>
        <w:rPr>
          <w:spacing w:val="-11"/>
        </w:rPr>
        <w:t> </w:t>
      </w:r>
      <w:r>
        <w:rPr/>
        <w:t>У</w:t>
      </w:r>
      <w:r>
        <w:rPr>
          <w:spacing w:val="-13"/>
        </w:rPr>
        <w:t> </w:t>
      </w:r>
      <w:r>
        <w:rPr/>
        <w:t>всіх регіонах промислового вирощування винограду в Україні поширені три сорти – Молдова, Аркадія та</w:t>
      </w:r>
      <w:r>
        <w:rPr>
          <w:spacing w:val="8"/>
        </w:rPr>
        <w:t> </w:t>
      </w:r>
      <w:r>
        <w:rPr/>
        <w:t>Восторг.</w:t>
      </w:r>
    </w:p>
    <w:p>
      <w:pPr>
        <w:pStyle w:val="BodyText"/>
        <w:spacing w:before="5" w:after="7"/>
        <w:ind w:left="903"/>
      </w:pPr>
      <w:r>
        <w:rPr/>
        <w:t>Таблиця 1. Площа столових сортів винограду за регіонами у 2018 р.</w:t>
      </w:r>
    </w:p>
    <w:tbl>
      <w:tblPr>
        <w:tblW w:w="0" w:type="auto"/>
        <w:jc w:val="left"/>
        <w:tblInd w:w="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4"/>
        <w:gridCol w:w="1133"/>
        <w:gridCol w:w="850"/>
        <w:gridCol w:w="1133"/>
        <w:gridCol w:w="854"/>
        <w:gridCol w:w="989"/>
        <w:gridCol w:w="854"/>
        <w:gridCol w:w="849"/>
      </w:tblGrid>
      <w:tr>
        <w:trPr>
          <w:trHeight w:val="249" w:hRule="atLeast"/>
        </w:trPr>
        <w:tc>
          <w:tcPr>
            <w:tcW w:w="2564" w:type="dxa"/>
            <w:vMerge w:val="restart"/>
          </w:tcPr>
          <w:p>
            <w:pPr>
              <w:pStyle w:val="TableParagraph"/>
              <w:rPr>
                <w:sz w:val="24"/>
              </w:rPr>
            </w:pPr>
          </w:p>
          <w:p>
            <w:pPr>
              <w:pStyle w:val="TableParagraph"/>
              <w:rPr>
                <w:sz w:val="24"/>
              </w:rPr>
            </w:pPr>
          </w:p>
          <w:p>
            <w:pPr>
              <w:pStyle w:val="TableParagraph"/>
              <w:spacing w:before="145"/>
              <w:ind w:left="1030" w:right="1020"/>
              <w:jc w:val="center"/>
              <w:rPr>
                <w:sz w:val="22"/>
              </w:rPr>
            </w:pPr>
            <w:r>
              <w:rPr>
                <w:sz w:val="22"/>
              </w:rPr>
              <w:t>Сорт</w:t>
            </w:r>
          </w:p>
        </w:tc>
        <w:tc>
          <w:tcPr>
            <w:tcW w:w="1983" w:type="dxa"/>
            <w:gridSpan w:val="2"/>
          </w:tcPr>
          <w:p>
            <w:pPr>
              <w:pStyle w:val="TableParagraph"/>
              <w:spacing w:line="230" w:lineRule="exact"/>
              <w:ind w:left="328" w:right="326"/>
              <w:jc w:val="center"/>
              <w:rPr>
                <w:sz w:val="22"/>
              </w:rPr>
            </w:pPr>
            <w:r>
              <w:rPr>
                <w:sz w:val="22"/>
              </w:rPr>
              <w:t>Площа</w:t>
            </w:r>
          </w:p>
        </w:tc>
        <w:tc>
          <w:tcPr>
            <w:tcW w:w="4679" w:type="dxa"/>
            <w:gridSpan w:val="5"/>
          </w:tcPr>
          <w:p>
            <w:pPr>
              <w:pStyle w:val="TableParagraph"/>
              <w:spacing w:line="230" w:lineRule="exact"/>
              <w:ind w:left="1588" w:right="1576"/>
              <w:jc w:val="center"/>
              <w:rPr>
                <w:sz w:val="22"/>
              </w:rPr>
            </w:pPr>
            <w:r>
              <w:rPr>
                <w:sz w:val="22"/>
              </w:rPr>
              <w:t>в тому числі, га</w:t>
            </w:r>
          </w:p>
        </w:tc>
      </w:tr>
      <w:tr>
        <w:trPr>
          <w:trHeight w:val="1646" w:hRule="atLeast"/>
        </w:trPr>
        <w:tc>
          <w:tcPr>
            <w:tcW w:w="2564" w:type="dxa"/>
            <w:vMerge/>
            <w:tcBorders>
              <w:top w:val="nil"/>
            </w:tcBorders>
          </w:tcPr>
          <w:p>
            <w:pPr>
              <w:rPr>
                <w:sz w:val="2"/>
                <w:szCs w:val="2"/>
              </w:rPr>
            </w:pPr>
          </w:p>
        </w:tc>
        <w:tc>
          <w:tcPr>
            <w:tcW w:w="1133" w:type="dxa"/>
          </w:tcPr>
          <w:p>
            <w:pPr>
              <w:pStyle w:val="TableParagraph"/>
              <w:rPr>
                <w:sz w:val="24"/>
              </w:rPr>
            </w:pPr>
          </w:p>
          <w:p>
            <w:pPr>
              <w:pStyle w:val="TableParagraph"/>
              <w:rPr>
                <w:sz w:val="24"/>
              </w:rPr>
            </w:pPr>
          </w:p>
          <w:p>
            <w:pPr>
              <w:pStyle w:val="TableParagraph"/>
              <w:spacing w:before="140"/>
              <w:ind w:left="136" w:right="119"/>
              <w:jc w:val="center"/>
              <w:rPr>
                <w:sz w:val="22"/>
              </w:rPr>
            </w:pPr>
            <w:r>
              <w:rPr>
                <w:sz w:val="22"/>
              </w:rPr>
              <w:t>га</w:t>
            </w:r>
          </w:p>
        </w:tc>
        <w:tc>
          <w:tcPr>
            <w:tcW w:w="850" w:type="dxa"/>
          </w:tcPr>
          <w:p>
            <w:pPr>
              <w:pStyle w:val="TableParagraph"/>
              <w:rPr>
                <w:sz w:val="24"/>
              </w:rPr>
            </w:pPr>
          </w:p>
          <w:p>
            <w:pPr>
              <w:pStyle w:val="TableParagraph"/>
              <w:rPr>
                <w:sz w:val="24"/>
              </w:rPr>
            </w:pPr>
          </w:p>
          <w:p>
            <w:pPr>
              <w:pStyle w:val="TableParagraph"/>
              <w:spacing w:before="140"/>
              <w:ind w:left="16"/>
              <w:jc w:val="center"/>
              <w:rPr>
                <w:sz w:val="22"/>
              </w:rPr>
            </w:pPr>
            <w:r>
              <w:rPr>
                <w:w w:val="100"/>
                <w:sz w:val="22"/>
              </w:rPr>
              <w:t>%</w:t>
            </w:r>
          </w:p>
        </w:tc>
        <w:tc>
          <w:tcPr>
            <w:tcW w:w="1133" w:type="dxa"/>
            <w:textDirection w:val="btLr"/>
          </w:tcPr>
          <w:p>
            <w:pPr>
              <w:pStyle w:val="TableParagraph"/>
              <w:rPr>
                <w:sz w:val="24"/>
              </w:rPr>
            </w:pPr>
          </w:p>
          <w:p>
            <w:pPr>
              <w:pStyle w:val="TableParagraph"/>
              <w:spacing w:before="167"/>
              <w:ind w:left="216"/>
              <w:rPr>
                <w:sz w:val="22"/>
              </w:rPr>
            </w:pPr>
            <w:r>
              <w:rPr>
                <w:sz w:val="22"/>
              </w:rPr>
              <w:t>Одеська обл.</w:t>
            </w:r>
          </w:p>
        </w:tc>
        <w:tc>
          <w:tcPr>
            <w:tcW w:w="854" w:type="dxa"/>
            <w:textDirection w:val="btLr"/>
          </w:tcPr>
          <w:p>
            <w:pPr>
              <w:pStyle w:val="TableParagraph"/>
              <w:spacing w:line="244" w:lineRule="auto" w:before="169"/>
              <w:ind w:left="629" w:right="152" w:hanging="461"/>
              <w:rPr>
                <w:sz w:val="22"/>
              </w:rPr>
            </w:pPr>
            <w:r>
              <w:rPr>
                <w:sz w:val="22"/>
              </w:rPr>
              <w:t>Миколаївська обл.</w:t>
            </w:r>
          </w:p>
        </w:tc>
        <w:tc>
          <w:tcPr>
            <w:tcW w:w="989" w:type="dxa"/>
            <w:textDirection w:val="btLr"/>
          </w:tcPr>
          <w:p>
            <w:pPr>
              <w:pStyle w:val="TableParagraph"/>
              <w:spacing w:before="10"/>
              <w:rPr>
                <w:sz w:val="31"/>
              </w:rPr>
            </w:pPr>
          </w:p>
          <w:p>
            <w:pPr>
              <w:pStyle w:val="TableParagraph"/>
              <w:spacing w:before="1"/>
              <w:ind w:left="52"/>
              <w:rPr>
                <w:sz w:val="22"/>
              </w:rPr>
            </w:pPr>
            <w:r>
              <w:rPr>
                <w:sz w:val="22"/>
              </w:rPr>
              <w:t>Херсонська обл.</w:t>
            </w:r>
          </w:p>
        </w:tc>
        <w:tc>
          <w:tcPr>
            <w:tcW w:w="854" w:type="dxa"/>
            <w:textDirection w:val="btLr"/>
          </w:tcPr>
          <w:p>
            <w:pPr>
              <w:pStyle w:val="TableParagraph"/>
              <w:spacing w:line="247" w:lineRule="auto" w:before="170"/>
              <w:ind w:left="398" w:hanging="29"/>
              <w:rPr>
                <w:sz w:val="22"/>
              </w:rPr>
            </w:pPr>
            <w:r>
              <w:rPr>
                <w:sz w:val="22"/>
              </w:rPr>
              <w:t>Закарпат- ська обл.</w:t>
            </w:r>
          </w:p>
        </w:tc>
        <w:tc>
          <w:tcPr>
            <w:tcW w:w="849" w:type="dxa"/>
            <w:textDirection w:val="btLr"/>
          </w:tcPr>
          <w:p>
            <w:pPr>
              <w:pStyle w:val="TableParagraph"/>
              <w:spacing w:before="8"/>
              <w:rPr>
                <w:sz w:val="25"/>
              </w:rPr>
            </w:pPr>
          </w:p>
          <w:p>
            <w:pPr>
              <w:pStyle w:val="TableParagraph"/>
              <w:ind w:left="100"/>
              <w:rPr>
                <w:sz w:val="22"/>
              </w:rPr>
            </w:pPr>
            <w:r>
              <w:rPr>
                <w:sz w:val="22"/>
              </w:rPr>
              <w:t>Запорізька обл.</w:t>
            </w:r>
          </w:p>
        </w:tc>
      </w:tr>
      <w:tr>
        <w:trPr>
          <w:trHeight w:val="330" w:hRule="atLeast"/>
        </w:trPr>
        <w:tc>
          <w:tcPr>
            <w:tcW w:w="2564" w:type="dxa"/>
          </w:tcPr>
          <w:p>
            <w:pPr>
              <w:pStyle w:val="TableParagraph"/>
              <w:spacing w:before="34"/>
              <w:ind w:left="110"/>
              <w:rPr>
                <w:sz w:val="22"/>
              </w:rPr>
            </w:pPr>
            <w:r>
              <w:rPr>
                <w:sz w:val="22"/>
              </w:rPr>
              <w:t>Августін</w:t>
            </w:r>
          </w:p>
        </w:tc>
        <w:tc>
          <w:tcPr>
            <w:tcW w:w="1133" w:type="dxa"/>
          </w:tcPr>
          <w:p>
            <w:pPr>
              <w:pStyle w:val="TableParagraph"/>
              <w:spacing w:before="34"/>
              <w:ind w:left="135" w:right="121"/>
              <w:jc w:val="center"/>
              <w:rPr>
                <w:sz w:val="22"/>
              </w:rPr>
            </w:pPr>
            <w:r>
              <w:rPr>
                <w:sz w:val="22"/>
              </w:rPr>
              <w:t>9,29</w:t>
            </w:r>
          </w:p>
        </w:tc>
        <w:tc>
          <w:tcPr>
            <w:tcW w:w="850" w:type="dxa"/>
          </w:tcPr>
          <w:p>
            <w:pPr>
              <w:pStyle w:val="TableParagraph"/>
              <w:spacing w:before="34"/>
              <w:ind w:left="159" w:right="140"/>
              <w:jc w:val="center"/>
              <w:rPr>
                <w:sz w:val="22"/>
              </w:rPr>
            </w:pPr>
            <w:r>
              <w:rPr>
                <w:sz w:val="22"/>
              </w:rPr>
              <w:t>0,43</w:t>
            </w:r>
          </w:p>
        </w:tc>
        <w:tc>
          <w:tcPr>
            <w:tcW w:w="1133" w:type="dxa"/>
          </w:tcPr>
          <w:p>
            <w:pPr>
              <w:pStyle w:val="TableParagraph"/>
              <w:spacing w:before="34"/>
              <w:ind w:left="136" w:right="121"/>
              <w:jc w:val="center"/>
              <w:rPr>
                <w:sz w:val="22"/>
              </w:rPr>
            </w:pPr>
            <w:r>
              <w:rPr>
                <w:sz w:val="22"/>
              </w:rPr>
              <w:t>9,29</w:t>
            </w:r>
          </w:p>
        </w:tc>
        <w:tc>
          <w:tcPr>
            <w:tcW w:w="854" w:type="dxa"/>
          </w:tcPr>
          <w:p>
            <w:pPr>
              <w:pStyle w:val="TableParagraph"/>
              <w:spacing w:before="34"/>
              <w:ind w:left="8"/>
              <w:jc w:val="center"/>
              <w:rPr>
                <w:sz w:val="22"/>
              </w:rPr>
            </w:pPr>
            <w:r>
              <w:rPr>
                <w:w w:val="100"/>
                <w:sz w:val="22"/>
              </w:rPr>
              <w:t>-</w:t>
            </w:r>
          </w:p>
        </w:tc>
        <w:tc>
          <w:tcPr>
            <w:tcW w:w="989" w:type="dxa"/>
          </w:tcPr>
          <w:p>
            <w:pPr>
              <w:pStyle w:val="TableParagraph"/>
              <w:spacing w:before="34"/>
              <w:ind w:left="9"/>
              <w:jc w:val="center"/>
              <w:rPr>
                <w:sz w:val="22"/>
              </w:rPr>
            </w:pPr>
            <w:r>
              <w:rPr>
                <w:w w:val="100"/>
                <w:sz w:val="22"/>
              </w:rPr>
              <w:t>-</w:t>
            </w:r>
          </w:p>
        </w:tc>
        <w:tc>
          <w:tcPr>
            <w:tcW w:w="854" w:type="dxa"/>
          </w:tcPr>
          <w:p>
            <w:pPr>
              <w:pStyle w:val="TableParagraph"/>
              <w:spacing w:before="34"/>
              <w:ind w:left="9"/>
              <w:jc w:val="center"/>
              <w:rPr>
                <w:sz w:val="22"/>
              </w:rPr>
            </w:pPr>
            <w:r>
              <w:rPr>
                <w:w w:val="100"/>
                <w:sz w:val="22"/>
              </w:rPr>
              <w:t>-</w:t>
            </w:r>
          </w:p>
        </w:tc>
        <w:tc>
          <w:tcPr>
            <w:tcW w:w="849" w:type="dxa"/>
          </w:tcPr>
          <w:p>
            <w:pPr>
              <w:pStyle w:val="TableParagraph"/>
              <w:spacing w:before="34"/>
              <w:ind w:left="6"/>
              <w:jc w:val="center"/>
              <w:rPr>
                <w:sz w:val="22"/>
              </w:rPr>
            </w:pPr>
            <w:r>
              <w:rPr>
                <w:w w:val="100"/>
                <w:sz w:val="22"/>
              </w:rPr>
              <w:t>-</w:t>
            </w:r>
          </w:p>
        </w:tc>
      </w:tr>
      <w:tr>
        <w:trPr>
          <w:trHeight w:val="330" w:hRule="atLeast"/>
        </w:trPr>
        <w:tc>
          <w:tcPr>
            <w:tcW w:w="2564" w:type="dxa"/>
          </w:tcPr>
          <w:p>
            <w:pPr>
              <w:pStyle w:val="TableParagraph"/>
              <w:spacing w:before="34"/>
              <w:ind w:left="110"/>
              <w:rPr>
                <w:sz w:val="22"/>
              </w:rPr>
            </w:pPr>
            <w:r>
              <w:rPr>
                <w:sz w:val="22"/>
              </w:rPr>
              <w:t>Аркадія</w:t>
            </w:r>
          </w:p>
        </w:tc>
        <w:tc>
          <w:tcPr>
            <w:tcW w:w="1133" w:type="dxa"/>
          </w:tcPr>
          <w:p>
            <w:pPr>
              <w:pStyle w:val="TableParagraph"/>
              <w:spacing w:before="34"/>
              <w:ind w:left="136" w:right="121"/>
              <w:jc w:val="center"/>
              <w:rPr>
                <w:sz w:val="22"/>
              </w:rPr>
            </w:pPr>
            <w:r>
              <w:rPr>
                <w:sz w:val="22"/>
              </w:rPr>
              <w:t>381,12</w:t>
            </w:r>
          </w:p>
        </w:tc>
        <w:tc>
          <w:tcPr>
            <w:tcW w:w="850" w:type="dxa"/>
          </w:tcPr>
          <w:p>
            <w:pPr>
              <w:pStyle w:val="TableParagraph"/>
              <w:spacing w:before="34"/>
              <w:ind w:left="159" w:right="145"/>
              <w:jc w:val="center"/>
              <w:rPr>
                <w:sz w:val="22"/>
              </w:rPr>
            </w:pPr>
            <w:r>
              <w:rPr>
                <w:sz w:val="22"/>
              </w:rPr>
              <w:t>17,82</w:t>
            </w:r>
          </w:p>
        </w:tc>
        <w:tc>
          <w:tcPr>
            <w:tcW w:w="1133" w:type="dxa"/>
          </w:tcPr>
          <w:p>
            <w:pPr>
              <w:pStyle w:val="TableParagraph"/>
              <w:spacing w:before="34"/>
              <w:ind w:left="136" w:right="121"/>
              <w:jc w:val="center"/>
              <w:rPr>
                <w:sz w:val="22"/>
              </w:rPr>
            </w:pPr>
            <w:r>
              <w:rPr>
                <w:sz w:val="22"/>
              </w:rPr>
              <w:t>295,01</w:t>
            </w:r>
          </w:p>
        </w:tc>
        <w:tc>
          <w:tcPr>
            <w:tcW w:w="854" w:type="dxa"/>
          </w:tcPr>
          <w:p>
            <w:pPr>
              <w:pStyle w:val="TableParagraph"/>
              <w:spacing w:before="34"/>
              <w:ind w:left="160" w:right="144"/>
              <w:jc w:val="center"/>
              <w:rPr>
                <w:sz w:val="22"/>
              </w:rPr>
            </w:pPr>
            <w:r>
              <w:rPr>
                <w:sz w:val="22"/>
              </w:rPr>
              <w:t>7,02</w:t>
            </w:r>
          </w:p>
        </w:tc>
        <w:tc>
          <w:tcPr>
            <w:tcW w:w="989" w:type="dxa"/>
          </w:tcPr>
          <w:p>
            <w:pPr>
              <w:pStyle w:val="TableParagraph"/>
              <w:spacing w:before="34"/>
              <w:ind w:left="112" w:right="101"/>
              <w:jc w:val="center"/>
              <w:rPr>
                <w:sz w:val="22"/>
              </w:rPr>
            </w:pPr>
            <w:r>
              <w:rPr>
                <w:sz w:val="22"/>
              </w:rPr>
              <w:t>67,59</w:t>
            </w:r>
          </w:p>
        </w:tc>
        <w:tc>
          <w:tcPr>
            <w:tcW w:w="854" w:type="dxa"/>
          </w:tcPr>
          <w:p>
            <w:pPr>
              <w:pStyle w:val="TableParagraph"/>
              <w:spacing w:before="34"/>
              <w:ind w:left="160" w:right="143"/>
              <w:jc w:val="center"/>
              <w:rPr>
                <w:sz w:val="22"/>
              </w:rPr>
            </w:pPr>
            <w:r>
              <w:rPr>
                <w:sz w:val="22"/>
              </w:rPr>
              <w:t>0,25</w:t>
            </w:r>
          </w:p>
        </w:tc>
        <w:tc>
          <w:tcPr>
            <w:tcW w:w="849" w:type="dxa"/>
          </w:tcPr>
          <w:p>
            <w:pPr>
              <w:pStyle w:val="TableParagraph"/>
              <w:spacing w:before="34"/>
              <w:ind w:left="156" w:right="147"/>
              <w:jc w:val="center"/>
              <w:rPr>
                <w:sz w:val="22"/>
              </w:rPr>
            </w:pPr>
            <w:r>
              <w:rPr>
                <w:sz w:val="22"/>
              </w:rPr>
              <w:t>11,25</w:t>
            </w:r>
          </w:p>
        </w:tc>
      </w:tr>
      <w:tr>
        <w:trPr>
          <w:trHeight w:val="330" w:hRule="atLeast"/>
        </w:trPr>
        <w:tc>
          <w:tcPr>
            <w:tcW w:w="2564" w:type="dxa"/>
          </w:tcPr>
          <w:p>
            <w:pPr>
              <w:pStyle w:val="TableParagraph"/>
              <w:spacing w:before="34"/>
              <w:ind w:left="110"/>
              <w:rPr>
                <w:sz w:val="22"/>
              </w:rPr>
            </w:pPr>
            <w:r>
              <w:rPr>
                <w:sz w:val="22"/>
              </w:rPr>
              <w:t>Мельника без кісточок</w:t>
            </w:r>
          </w:p>
        </w:tc>
        <w:tc>
          <w:tcPr>
            <w:tcW w:w="1133" w:type="dxa"/>
          </w:tcPr>
          <w:p>
            <w:pPr>
              <w:pStyle w:val="TableParagraph"/>
              <w:spacing w:before="34"/>
              <w:ind w:left="135" w:right="121"/>
              <w:jc w:val="center"/>
              <w:rPr>
                <w:sz w:val="22"/>
              </w:rPr>
            </w:pPr>
            <w:r>
              <w:rPr>
                <w:sz w:val="22"/>
              </w:rPr>
              <w:t>0,03</w:t>
            </w:r>
          </w:p>
        </w:tc>
        <w:tc>
          <w:tcPr>
            <w:tcW w:w="850" w:type="dxa"/>
          </w:tcPr>
          <w:p>
            <w:pPr>
              <w:pStyle w:val="TableParagraph"/>
              <w:spacing w:before="34"/>
              <w:ind w:left="159" w:right="140"/>
              <w:jc w:val="center"/>
              <w:rPr>
                <w:sz w:val="22"/>
              </w:rPr>
            </w:pPr>
            <w:r>
              <w:rPr>
                <w:sz w:val="22"/>
              </w:rPr>
              <w:t>0,00</w:t>
            </w:r>
          </w:p>
        </w:tc>
        <w:tc>
          <w:tcPr>
            <w:tcW w:w="1133" w:type="dxa"/>
          </w:tcPr>
          <w:p>
            <w:pPr>
              <w:pStyle w:val="TableParagraph"/>
              <w:spacing w:before="34"/>
              <w:ind w:left="16"/>
              <w:jc w:val="center"/>
              <w:rPr>
                <w:sz w:val="22"/>
              </w:rPr>
            </w:pPr>
            <w:r>
              <w:rPr>
                <w:w w:val="100"/>
                <w:sz w:val="22"/>
              </w:rPr>
              <w:t>-</w:t>
            </w:r>
          </w:p>
        </w:tc>
        <w:tc>
          <w:tcPr>
            <w:tcW w:w="854" w:type="dxa"/>
          </w:tcPr>
          <w:p>
            <w:pPr>
              <w:pStyle w:val="TableParagraph"/>
              <w:spacing w:before="34"/>
              <w:ind w:left="160" w:right="144"/>
              <w:jc w:val="center"/>
              <w:rPr>
                <w:sz w:val="22"/>
              </w:rPr>
            </w:pPr>
            <w:r>
              <w:rPr>
                <w:sz w:val="22"/>
              </w:rPr>
              <w:t>0,03</w:t>
            </w:r>
          </w:p>
        </w:tc>
        <w:tc>
          <w:tcPr>
            <w:tcW w:w="989" w:type="dxa"/>
          </w:tcPr>
          <w:p>
            <w:pPr>
              <w:pStyle w:val="TableParagraph"/>
              <w:spacing w:before="34"/>
              <w:ind w:left="9"/>
              <w:jc w:val="center"/>
              <w:rPr>
                <w:sz w:val="22"/>
              </w:rPr>
            </w:pPr>
            <w:r>
              <w:rPr>
                <w:w w:val="100"/>
                <w:sz w:val="22"/>
              </w:rPr>
              <w:t>-</w:t>
            </w:r>
          </w:p>
        </w:tc>
        <w:tc>
          <w:tcPr>
            <w:tcW w:w="854" w:type="dxa"/>
          </w:tcPr>
          <w:p>
            <w:pPr>
              <w:pStyle w:val="TableParagraph"/>
              <w:spacing w:before="34"/>
              <w:ind w:left="9"/>
              <w:jc w:val="center"/>
              <w:rPr>
                <w:sz w:val="22"/>
              </w:rPr>
            </w:pPr>
            <w:r>
              <w:rPr>
                <w:w w:val="100"/>
                <w:sz w:val="22"/>
              </w:rPr>
              <w:t>-</w:t>
            </w:r>
          </w:p>
        </w:tc>
        <w:tc>
          <w:tcPr>
            <w:tcW w:w="849" w:type="dxa"/>
          </w:tcPr>
          <w:p>
            <w:pPr>
              <w:pStyle w:val="TableParagraph"/>
              <w:spacing w:before="34"/>
              <w:ind w:left="6"/>
              <w:jc w:val="center"/>
              <w:rPr>
                <w:sz w:val="22"/>
              </w:rPr>
            </w:pPr>
            <w:r>
              <w:rPr>
                <w:w w:val="100"/>
                <w:sz w:val="22"/>
              </w:rPr>
              <w:t>-</w:t>
            </w:r>
          </w:p>
        </w:tc>
      </w:tr>
      <w:tr>
        <w:trPr>
          <w:trHeight w:val="330" w:hRule="atLeast"/>
        </w:trPr>
        <w:tc>
          <w:tcPr>
            <w:tcW w:w="2564" w:type="dxa"/>
          </w:tcPr>
          <w:p>
            <w:pPr>
              <w:pStyle w:val="TableParagraph"/>
              <w:spacing w:before="34"/>
              <w:ind w:left="110"/>
              <w:rPr>
                <w:sz w:val="22"/>
              </w:rPr>
            </w:pPr>
            <w:r>
              <w:rPr>
                <w:sz w:val="22"/>
              </w:rPr>
              <w:t>Болгарія</w:t>
            </w:r>
          </w:p>
        </w:tc>
        <w:tc>
          <w:tcPr>
            <w:tcW w:w="1133" w:type="dxa"/>
          </w:tcPr>
          <w:p>
            <w:pPr>
              <w:pStyle w:val="TableParagraph"/>
              <w:spacing w:before="34"/>
              <w:ind w:left="135" w:right="121"/>
              <w:jc w:val="center"/>
              <w:rPr>
                <w:sz w:val="22"/>
              </w:rPr>
            </w:pPr>
            <w:r>
              <w:rPr>
                <w:sz w:val="22"/>
              </w:rPr>
              <w:t>0,04</w:t>
            </w:r>
          </w:p>
        </w:tc>
        <w:tc>
          <w:tcPr>
            <w:tcW w:w="850" w:type="dxa"/>
          </w:tcPr>
          <w:p>
            <w:pPr>
              <w:pStyle w:val="TableParagraph"/>
              <w:spacing w:before="34"/>
              <w:ind w:left="159" w:right="140"/>
              <w:jc w:val="center"/>
              <w:rPr>
                <w:sz w:val="22"/>
              </w:rPr>
            </w:pPr>
            <w:r>
              <w:rPr>
                <w:sz w:val="22"/>
              </w:rPr>
              <w:t>0,00</w:t>
            </w:r>
          </w:p>
        </w:tc>
        <w:tc>
          <w:tcPr>
            <w:tcW w:w="1133" w:type="dxa"/>
          </w:tcPr>
          <w:p>
            <w:pPr>
              <w:pStyle w:val="TableParagraph"/>
              <w:spacing w:before="34"/>
              <w:ind w:left="16"/>
              <w:jc w:val="center"/>
              <w:rPr>
                <w:sz w:val="22"/>
              </w:rPr>
            </w:pPr>
            <w:r>
              <w:rPr>
                <w:w w:val="100"/>
                <w:sz w:val="22"/>
              </w:rPr>
              <w:t>-</w:t>
            </w:r>
          </w:p>
        </w:tc>
        <w:tc>
          <w:tcPr>
            <w:tcW w:w="854" w:type="dxa"/>
          </w:tcPr>
          <w:p>
            <w:pPr>
              <w:pStyle w:val="TableParagraph"/>
              <w:spacing w:before="34"/>
              <w:ind w:left="8"/>
              <w:jc w:val="center"/>
              <w:rPr>
                <w:sz w:val="22"/>
              </w:rPr>
            </w:pPr>
            <w:r>
              <w:rPr>
                <w:w w:val="100"/>
                <w:sz w:val="22"/>
              </w:rPr>
              <w:t>-</w:t>
            </w:r>
          </w:p>
        </w:tc>
        <w:tc>
          <w:tcPr>
            <w:tcW w:w="989" w:type="dxa"/>
          </w:tcPr>
          <w:p>
            <w:pPr>
              <w:pStyle w:val="TableParagraph"/>
              <w:spacing w:before="34"/>
              <w:ind w:left="9"/>
              <w:jc w:val="center"/>
              <w:rPr>
                <w:sz w:val="22"/>
              </w:rPr>
            </w:pPr>
            <w:r>
              <w:rPr>
                <w:w w:val="100"/>
                <w:sz w:val="22"/>
              </w:rPr>
              <w:t>-</w:t>
            </w:r>
          </w:p>
        </w:tc>
        <w:tc>
          <w:tcPr>
            <w:tcW w:w="854" w:type="dxa"/>
          </w:tcPr>
          <w:p>
            <w:pPr>
              <w:pStyle w:val="TableParagraph"/>
              <w:spacing w:before="34"/>
              <w:ind w:left="9"/>
              <w:jc w:val="center"/>
              <w:rPr>
                <w:sz w:val="22"/>
              </w:rPr>
            </w:pPr>
            <w:r>
              <w:rPr>
                <w:w w:val="100"/>
                <w:sz w:val="22"/>
              </w:rPr>
              <w:t>-</w:t>
            </w:r>
          </w:p>
        </w:tc>
        <w:tc>
          <w:tcPr>
            <w:tcW w:w="849" w:type="dxa"/>
          </w:tcPr>
          <w:p>
            <w:pPr>
              <w:pStyle w:val="TableParagraph"/>
              <w:spacing w:before="34"/>
              <w:ind w:left="156" w:right="142"/>
              <w:jc w:val="center"/>
              <w:rPr>
                <w:sz w:val="22"/>
              </w:rPr>
            </w:pPr>
            <w:r>
              <w:rPr>
                <w:sz w:val="22"/>
              </w:rPr>
              <w:t>0,04</w:t>
            </w:r>
          </w:p>
        </w:tc>
      </w:tr>
      <w:tr>
        <w:trPr>
          <w:trHeight w:val="331" w:hRule="atLeast"/>
        </w:trPr>
        <w:tc>
          <w:tcPr>
            <w:tcW w:w="2564" w:type="dxa"/>
          </w:tcPr>
          <w:p>
            <w:pPr>
              <w:pStyle w:val="TableParagraph"/>
              <w:spacing w:before="34"/>
              <w:ind w:left="110"/>
              <w:rPr>
                <w:sz w:val="22"/>
              </w:rPr>
            </w:pPr>
            <w:r>
              <w:rPr>
                <w:sz w:val="22"/>
              </w:rPr>
              <w:t>Вересень</w:t>
            </w:r>
          </w:p>
        </w:tc>
        <w:tc>
          <w:tcPr>
            <w:tcW w:w="1133" w:type="dxa"/>
          </w:tcPr>
          <w:p>
            <w:pPr>
              <w:pStyle w:val="TableParagraph"/>
              <w:spacing w:before="34"/>
              <w:ind w:left="135" w:right="121"/>
              <w:jc w:val="center"/>
              <w:rPr>
                <w:sz w:val="22"/>
              </w:rPr>
            </w:pPr>
            <w:r>
              <w:rPr>
                <w:sz w:val="22"/>
              </w:rPr>
              <w:t>0,03</w:t>
            </w:r>
          </w:p>
        </w:tc>
        <w:tc>
          <w:tcPr>
            <w:tcW w:w="850" w:type="dxa"/>
          </w:tcPr>
          <w:p>
            <w:pPr>
              <w:pStyle w:val="TableParagraph"/>
              <w:spacing w:before="34"/>
              <w:ind w:left="159" w:right="140"/>
              <w:jc w:val="center"/>
              <w:rPr>
                <w:sz w:val="22"/>
              </w:rPr>
            </w:pPr>
            <w:r>
              <w:rPr>
                <w:sz w:val="22"/>
              </w:rPr>
              <w:t>0,00</w:t>
            </w:r>
          </w:p>
        </w:tc>
        <w:tc>
          <w:tcPr>
            <w:tcW w:w="1133" w:type="dxa"/>
          </w:tcPr>
          <w:p>
            <w:pPr>
              <w:pStyle w:val="TableParagraph"/>
              <w:spacing w:before="34"/>
              <w:ind w:left="16"/>
              <w:jc w:val="center"/>
              <w:rPr>
                <w:sz w:val="22"/>
              </w:rPr>
            </w:pPr>
            <w:r>
              <w:rPr>
                <w:w w:val="100"/>
                <w:sz w:val="22"/>
              </w:rPr>
              <w:t>-</w:t>
            </w:r>
          </w:p>
        </w:tc>
        <w:tc>
          <w:tcPr>
            <w:tcW w:w="854" w:type="dxa"/>
          </w:tcPr>
          <w:p>
            <w:pPr>
              <w:pStyle w:val="TableParagraph"/>
              <w:spacing w:before="34"/>
              <w:ind w:left="160" w:right="144"/>
              <w:jc w:val="center"/>
              <w:rPr>
                <w:sz w:val="22"/>
              </w:rPr>
            </w:pPr>
            <w:r>
              <w:rPr>
                <w:sz w:val="22"/>
              </w:rPr>
              <w:t>0,03</w:t>
            </w:r>
          </w:p>
        </w:tc>
        <w:tc>
          <w:tcPr>
            <w:tcW w:w="989" w:type="dxa"/>
          </w:tcPr>
          <w:p>
            <w:pPr>
              <w:pStyle w:val="TableParagraph"/>
              <w:spacing w:before="34"/>
              <w:ind w:left="9"/>
              <w:jc w:val="center"/>
              <w:rPr>
                <w:sz w:val="22"/>
              </w:rPr>
            </w:pPr>
            <w:r>
              <w:rPr>
                <w:w w:val="100"/>
                <w:sz w:val="22"/>
              </w:rPr>
              <w:t>-</w:t>
            </w:r>
          </w:p>
        </w:tc>
        <w:tc>
          <w:tcPr>
            <w:tcW w:w="854" w:type="dxa"/>
          </w:tcPr>
          <w:p>
            <w:pPr>
              <w:pStyle w:val="TableParagraph"/>
              <w:spacing w:before="34"/>
              <w:ind w:left="9"/>
              <w:jc w:val="center"/>
              <w:rPr>
                <w:sz w:val="22"/>
              </w:rPr>
            </w:pPr>
            <w:r>
              <w:rPr>
                <w:w w:val="100"/>
                <w:sz w:val="22"/>
              </w:rPr>
              <w:t>-</w:t>
            </w:r>
          </w:p>
        </w:tc>
        <w:tc>
          <w:tcPr>
            <w:tcW w:w="849" w:type="dxa"/>
          </w:tcPr>
          <w:p>
            <w:pPr>
              <w:pStyle w:val="TableParagraph"/>
              <w:rPr>
                <w:sz w:val="24"/>
              </w:rPr>
            </w:pPr>
          </w:p>
        </w:tc>
      </w:tr>
    </w:tbl>
    <w:p>
      <w:pPr>
        <w:pStyle w:val="BodyText"/>
        <w:ind w:left="0"/>
        <w:jc w:val="left"/>
        <w:rPr>
          <w:sz w:val="20"/>
        </w:rPr>
      </w:pPr>
    </w:p>
    <w:p>
      <w:pPr>
        <w:pStyle w:val="BodyText"/>
        <w:spacing w:before="4"/>
        <w:ind w:left="0"/>
        <w:jc w:val="left"/>
        <w:rPr>
          <w:sz w:val="20"/>
        </w:rPr>
      </w:pPr>
      <w:r>
        <w:rPr/>
        <w:pict>
          <v:line style="position:absolute;mso-position-horizontal-relative:page;mso-position-vertical-relative:paragraph;z-index:-251618304;mso-wrap-distance-left:0;mso-wrap-distance-right:0" from="66.264pt,13.940987pt" to="528.434pt,13.940987pt" stroked="true" strokeweight=".47998pt" strokecolor="#000000">
            <v:stroke dashstyle="solid"/>
            <w10:wrap type="topAndBottom"/>
          </v:line>
        </w:pict>
      </w:r>
    </w:p>
    <w:p>
      <w:pPr>
        <w:spacing w:after="0"/>
        <w:jc w:val="left"/>
        <w:rPr>
          <w:sz w:val="20"/>
        </w:rPr>
        <w:sectPr>
          <w:pgSz w:w="11910" w:h="16840"/>
          <w:pgMar w:header="713" w:footer="778" w:top="1140" w:bottom="960" w:left="940" w:right="520"/>
        </w:sectPr>
      </w:pPr>
    </w:p>
    <w:p>
      <w:pPr>
        <w:spacing w:before="95"/>
        <w:ind w:left="193" w:right="917" w:firstLine="0"/>
        <w:jc w:val="right"/>
        <w:rPr>
          <w:sz w:val="22"/>
        </w:rPr>
      </w:pPr>
      <w:r>
        <w:rPr>
          <w:sz w:val="22"/>
        </w:rPr>
        <w:t>Продовження таблиці 1</w:t>
      </w:r>
    </w:p>
    <w:p>
      <w:pPr>
        <w:pStyle w:val="BodyText"/>
        <w:spacing w:before="1"/>
        <w:ind w:left="0"/>
        <w:jc w:val="left"/>
        <w:rPr>
          <w:sz w:val="7"/>
        </w:rPr>
      </w:pPr>
    </w:p>
    <w:tbl>
      <w:tblPr>
        <w:tblW w:w="0" w:type="auto"/>
        <w:jc w:val="left"/>
        <w:tblInd w:w="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4"/>
        <w:gridCol w:w="1133"/>
        <w:gridCol w:w="850"/>
        <w:gridCol w:w="1133"/>
        <w:gridCol w:w="854"/>
        <w:gridCol w:w="989"/>
        <w:gridCol w:w="854"/>
        <w:gridCol w:w="849"/>
      </w:tblGrid>
      <w:tr>
        <w:trPr>
          <w:trHeight w:val="254" w:hRule="atLeast"/>
        </w:trPr>
        <w:tc>
          <w:tcPr>
            <w:tcW w:w="2564" w:type="dxa"/>
          </w:tcPr>
          <w:p>
            <w:pPr>
              <w:pStyle w:val="TableParagraph"/>
              <w:spacing w:line="234" w:lineRule="exact"/>
              <w:ind w:left="110"/>
              <w:rPr>
                <w:sz w:val="22"/>
              </w:rPr>
            </w:pPr>
            <w:r>
              <w:rPr>
                <w:sz w:val="22"/>
              </w:rPr>
              <w:t>Віоріка</w:t>
            </w:r>
          </w:p>
        </w:tc>
        <w:tc>
          <w:tcPr>
            <w:tcW w:w="1133" w:type="dxa"/>
          </w:tcPr>
          <w:p>
            <w:pPr>
              <w:pStyle w:val="TableParagraph"/>
              <w:spacing w:line="234" w:lineRule="exact"/>
              <w:ind w:left="374"/>
              <w:rPr>
                <w:sz w:val="22"/>
              </w:rPr>
            </w:pPr>
            <w:r>
              <w:rPr>
                <w:sz w:val="22"/>
              </w:rPr>
              <w:t>7,15</w:t>
            </w:r>
          </w:p>
        </w:tc>
        <w:tc>
          <w:tcPr>
            <w:tcW w:w="850" w:type="dxa"/>
          </w:tcPr>
          <w:p>
            <w:pPr>
              <w:pStyle w:val="TableParagraph"/>
              <w:spacing w:line="234" w:lineRule="exact"/>
              <w:ind w:right="213"/>
              <w:jc w:val="right"/>
              <w:rPr>
                <w:sz w:val="22"/>
              </w:rPr>
            </w:pPr>
            <w:r>
              <w:rPr>
                <w:sz w:val="22"/>
              </w:rPr>
              <w:t>0,33</w:t>
            </w:r>
          </w:p>
        </w:tc>
        <w:tc>
          <w:tcPr>
            <w:tcW w:w="1133" w:type="dxa"/>
          </w:tcPr>
          <w:p>
            <w:pPr>
              <w:pStyle w:val="TableParagraph"/>
              <w:spacing w:line="234" w:lineRule="exact"/>
              <w:ind w:left="136" w:right="121"/>
              <w:jc w:val="center"/>
              <w:rPr>
                <w:sz w:val="22"/>
              </w:rPr>
            </w:pPr>
            <w:r>
              <w:rPr>
                <w:sz w:val="22"/>
              </w:rPr>
              <w:t>7,15</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49" w:hRule="atLeast"/>
        </w:trPr>
        <w:tc>
          <w:tcPr>
            <w:tcW w:w="2564" w:type="dxa"/>
          </w:tcPr>
          <w:p>
            <w:pPr>
              <w:pStyle w:val="TableParagraph"/>
              <w:spacing w:line="229" w:lineRule="exact"/>
              <w:ind w:left="110"/>
              <w:rPr>
                <w:sz w:val="22"/>
              </w:rPr>
            </w:pPr>
            <w:r>
              <w:rPr>
                <w:sz w:val="22"/>
              </w:rPr>
              <w:t>Восторг</w:t>
            </w:r>
          </w:p>
        </w:tc>
        <w:tc>
          <w:tcPr>
            <w:tcW w:w="1133" w:type="dxa"/>
          </w:tcPr>
          <w:p>
            <w:pPr>
              <w:pStyle w:val="TableParagraph"/>
              <w:spacing w:line="229" w:lineRule="exact"/>
              <w:ind w:right="300"/>
              <w:jc w:val="right"/>
              <w:rPr>
                <w:sz w:val="22"/>
              </w:rPr>
            </w:pPr>
            <w:r>
              <w:rPr>
                <w:sz w:val="22"/>
              </w:rPr>
              <w:t>78,56</w:t>
            </w:r>
          </w:p>
        </w:tc>
        <w:tc>
          <w:tcPr>
            <w:tcW w:w="850" w:type="dxa"/>
          </w:tcPr>
          <w:p>
            <w:pPr>
              <w:pStyle w:val="TableParagraph"/>
              <w:spacing w:line="229" w:lineRule="exact"/>
              <w:ind w:right="213"/>
              <w:jc w:val="right"/>
              <w:rPr>
                <w:sz w:val="22"/>
              </w:rPr>
            </w:pPr>
            <w:r>
              <w:rPr>
                <w:sz w:val="22"/>
              </w:rPr>
              <w:t>3,67</w:t>
            </w:r>
          </w:p>
        </w:tc>
        <w:tc>
          <w:tcPr>
            <w:tcW w:w="1133" w:type="dxa"/>
          </w:tcPr>
          <w:p>
            <w:pPr>
              <w:pStyle w:val="TableParagraph"/>
              <w:spacing w:line="229" w:lineRule="exact"/>
              <w:ind w:left="136" w:right="117"/>
              <w:jc w:val="center"/>
              <w:rPr>
                <w:sz w:val="22"/>
              </w:rPr>
            </w:pPr>
            <w:r>
              <w:rPr>
                <w:sz w:val="22"/>
              </w:rPr>
              <w:t>58,61</w:t>
            </w:r>
          </w:p>
        </w:tc>
        <w:tc>
          <w:tcPr>
            <w:tcW w:w="854" w:type="dxa"/>
          </w:tcPr>
          <w:p>
            <w:pPr>
              <w:pStyle w:val="TableParagraph"/>
              <w:spacing w:line="229" w:lineRule="exact"/>
              <w:ind w:left="160" w:right="149"/>
              <w:jc w:val="center"/>
              <w:rPr>
                <w:sz w:val="22"/>
              </w:rPr>
            </w:pPr>
            <w:r>
              <w:rPr>
                <w:sz w:val="22"/>
              </w:rPr>
              <w:t>0,5</w:t>
            </w:r>
          </w:p>
        </w:tc>
        <w:tc>
          <w:tcPr>
            <w:tcW w:w="989" w:type="dxa"/>
          </w:tcPr>
          <w:p>
            <w:pPr>
              <w:pStyle w:val="TableParagraph"/>
              <w:spacing w:line="229" w:lineRule="exact"/>
              <w:ind w:left="117" w:right="101"/>
              <w:jc w:val="center"/>
              <w:rPr>
                <w:sz w:val="22"/>
              </w:rPr>
            </w:pPr>
            <w:r>
              <w:rPr>
                <w:sz w:val="22"/>
              </w:rPr>
              <w:t>18,0</w:t>
            </w:r>
          </w:p>
        </w:tc>
        <w:tc>
          <w:tcPr>
            <w:tcW w:w="854" w:type="dxa"/>
          </w:tcPr>
          <w:p>
            <w:pPr>
              <w:pStyle w:val="TableParagraph"/>
              <w:spacing w:line="229" w:lineRule="exact"/>
              <w:ind w:left="236"/>
              <w:rPr>
                <w:sz w:val="22"/>
              </w:rPr>
            </w:pPr>
            <w:r>
              <w:rPr>
                <w:sz w:val="22"/>
              </w:rPr>
              <w:t>0,25</w:t>
            </w:r>
          </w:p>
        </w:tc>
        <w:tc>
          <w:tcPr>
            <w:tcW w:w="849" w:type="dxa"/>
          </w:tcPr>
          <w:p>
            <w:pPr>
              <w:pStyle w:val="TableParagraph"/>
              <w:spacing w:line="229" w:lineRule="exact"/>
              <w:ind w:left="156" w:right="147"/>
              <w:jc w:val="center"/>
              <w:rPr>
                <w:sz w:val="22"/>
              </w:rPr>
            </w:pPr>
            <w:r>
              <w:rPr>
                <w:sz w:val="22"/>
              </w:rPr>
              <w:t>1,2</w:t>
            </w:r>
          </w:p>
        </w:tc>
      </w:tr>
      <w:tr>
        <w:trPr>
          <w:trHeight w:val="253" w:hRule="atLeast"/>
        </w:trPr>
        <w:tc>
          <w:tcPr>
            <w:tcW w:w="2564" w:type="dxa"/>
          </w:tcPr>
          <w:p>
            <w:pPr>
              <w:pStyle w:val="TableParagraph"/>
              <w:spacing w:line="234" w:lineRule="exact"/>
              <w:ind w:left="110"/>
              <w:rPr>
                <w:sz w:val="22"/>
              </w:rPr>
            </w:pPr>
            <w:r>
              <w:rPr>
                <w:sz w:val="22"/>
              </w:rPr>
              <w:t>Гурзуфський рожевий</w:t>
            </w:r>
          </w:p>
        </w:tc>
        <w:tc>
          <w:tcPr>
            <w:tcW w:w="1133" w:type="dxa"/>
          </w:tcPr>
          <w:p>
            <w:pPr>
              <w:pStyle w:val="TableParagraph"/>
              <w:spacing w:line="234" w:lineRule="exact"/>
              <w:ind w:left="374"/>
              <w:rPr>
                <w:sz w:val="22"/>
              </w:rPr>
            </w:pPr>
            <w:r>
              <w:rPr>
                <w:sz w:val="22"/>
              </w:rPr>
              <w:t>4,17</w:t>
            </w:r>
          </w:p>
        </w:tc>
        <w:tc>
          <w:tcPr>
            <w:tcW w:w="850" w:type="dxa"/>
          </w:tcPr>
          <w:p>
            <w:pPr>
              <w:pStyle w:val="TableParagraph"/>
              <w:spacing w:line="234" w:lineRule="exact"/>
              <w:ind w:right="213"/>
              <w:jc w:val="right"/>
              <w:rPr>
                <w:sz w:val="22"/>
              </w:rPr>
            </w:pPr>
            <w:r>
              <w:rPr>
                <w:sz w:val="22"/>
              </w:rPr>
              <w:t>0,20</w:t>
            </w:r>
          </w:p>
        </w:tc>
        <w:tc>
          <w:tcPr>
            <w:tcW w:w="1133" w:type="dxa"/>
          </w:tcPr>
          <w:p>
            <w:pPr>
              <w:pStyle w:val="TableParagraph"/>
              <w:spacing w:line="234" w:lineRule="exact"/>
              <w:ind w:left="136" w:right="121"/>
              <w:jc w:val="center"/>
              <w:rPr>
                <w:sz w:val="22"/>
              </w:rPr>
            </w:pPr>
            <w:r>
              <w:rPr>
                <w:sz w:val="22"/>
              </w:rPr>
              <w:t>4,15</w:t>
            </w:r>
          </w:p>
        </w:tc>
        <w:tc>
          <w:tcPr>
            <w:tcW w:w="854" w:type="dxa"/>
          </w:tcPr>
          <w:p>
            <w:pPr>
              <w:pStyle w:val="TableParagraph"/>
              <w:spacing w:line="234" w:lineRule="exact"/>
              <w:ind w:left="160" w:right="144"/>
              <w:jc w:val="center"/>
              <w:rPr>
                <w:sz w:val="22"/>
              </w:rPr>
            </w:pPr>
            <w:r>
              <w:rPr>
                <w:sz w:val="22"/>
              </w:rPr>
              <w:t>0,02</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3" w:hRule="atLeast"/>
        </w:trPr>
        <w:tc>
          <w:tcPr>
            <w:tcW w:w="2564" w:type="dxa"/>
          </w:tcPr>
          <w:p>
            <w:pPr>
              <w:pStyle w:val="TableParagraph"/>
              <w:spacing w:line="234" w:lineRule="exact"/>
              <w:ind w:left="110"/>
              <w:rPr>
                <w:sz w:val="22"/>
              </w:rPr>
            </w:pPr>
            <w:r>
              <w:rPr>
                <w:sz w:val="22"/>
              </w:rPr>
              <w:t>Декабрський</w:t>
            </w:r>
          </w:p>
        </w:tc>
        <w:tc>
          <w:tcPr>
            <w:tcW w:w="1133" w:type="dxa"/>
          </w:tcPr>
          <w:p>
            <w:pPr>
              <w:pStyle w:val="TableParagraph"/>
              <w:spacing w:line="234" w:lineRule="exact"/>
              <w:ind w:left="130" w:right="121"/>
              <w:jc w:val="center"/>
              <w:rPr>
                <w:sz w:val="22"/>
              </w:rPr>
            </w:pPr>
            <w:r>
              <w:rPr>
                <w:sz w:val="22"/>
              </w:rPr>
              <w:t>26</w:t>
            </w:r>
          </w:p>
        </w:tc>
        <w:tc>
          <w:tcPr>
            <w:tcW w:w="850" w:type="dxa"/>
          </w:tcPr>
          <w:p>
            <w:pPr>
              <w:pStyle w:val="TableParagraph"/>
              <w:spacing w:line="234" w:lineRule="exact"/>
              <w:ind w:right="213"/>
              <w:jc w:val="right"/>
              <w:rPr>
                <w:sz w:val="22"/>
              </w:rPr>
            </w:pPr>
            <w:r>
              <w:rPr>
                <w:sz w:val="22"/>
              </w:rPr>
              <w:t>1,22</w:t>
            </w:r>
          </w:p>
        </w:tc>
        <w:tc>
          <w:tcPr>
            <w:tcW w:w="1133" w:type="dxa"/>
          </w:tcPr>
          <w:p>
            <w:pPr>
              <w:pStyle w:val="TableParagraph"/>
              <w:spacing w:line="234" w:lineRule="exact"/>
              <w:ind w:left="16"/>
              <w:jc w:val="center"/>
              <w:rPr>
                <w:sz w:val="22"/>
              </w:rPr>
            </w:pPr>
            <w:r>
              <w:rPr>
                <w:w w:val="100"/>
                <w:sz w:val="22"/>
              </w:rPr>
              <w:t>-</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117" w:right="101"/>
              <w:jc w:val="center"/>
              <w:rPr>
                <w:sz w:val="22"/>
              </w:rPr>
            </w:pPr>
            <w:r>
              <w:rPr>
                <w:sz w:val="22"/>
              </w:rPr>
              <w:t>26,0</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5" w:lineRule="exact"/>
              <w:ind w:left="110"/>
              <w:rPr>
                <w:sz w:val="22"/>
              </w:rPr>
            </w:pPr>
            <w:r>
              <w:rPr>
                <w:sz w:val="22"/>
              </w:rPr>
              <w:t>Дунав</w:t>
            </w:r>
          </w:p>
        </w:tc>
        <w:tc>
          <w:tcPr>
            <w:tcW w:w="1133" w:type="dxa"/>
          </w:tcPr>
          <w:p>
            <w:pPr>
              <w:pStyle w:val="TableParagraph"/>
              <w:spacing w:line="235" w:lineRule="exact"/>
              <w:ind w:left="374"/>
              <w:rPr>
                <w:sz w:val="22"/>
              </w:rPr>
            </w:pPr>
            <w:r>
              <w:rPr>
                <w:sz w:val="22"/>
              </w:rPr>
              <w:t>4,83</w:t>
            </w:r>
          </w:p>
        </w:tc>
        <w:tc>
          <w:tcPr>
            <w:tcW w:w="850" w:type="dxa"/>
          </w:tcPr>
          <w:p>
            <w:pPr>
              <w:pStyle w:val="TableParagraph"/>
              <w:spacing w:line="235" w:lineRule="exact"/>
              <w:ind w:right="213"/>
              <w:jc w:val="right"/>
              <w:rPr>
                <w:sz w:val="22"/>
              </w:rPr>
            </w:pPr>
            <w:r>
              <w:rPr>
                <w:sz w:val="22"/>
              </w:rPr>
              <w:t>0,23</w:t>
            </w:r>
          </w:p>
        </w:tc>
        <w:tc>
          <w:tcPr>
            <w:tcW w:w="1133" w:type="dxa"/>
          </w:tcPr>
          <w:p>
            <w:pPr>
              <w:pStyle w:val="TableParagraph"/>
              <w:spacing w:line="235" w:lineRule="exact"/>
              <w:ind w:left="136" w:right="117"/>
              <w:jc w:val="center"/>
              <w:rPr>
                <w:sz w:val="22"/>
              </w:rPr>
            </w:pPr>
            <w:r>
              <w:rPr>
                <w:sz w:val="22"/>
              </w:rPr>
              <w:t>4,8</w:t>
            </w:r>
          </w:p>
        </w:tc>
        <w:tc>
          <w:tcPr>
            <w:tcW w:w="854" w:type="dxa"/>
          </w:tcPr>
          <w:p>
            <w:pPr>
              <w:pStyle w:val="TableParagraph"/>
              <w:spacing w:line="235" w:lineRule="exact"/>
              <w:ind w:left="8"/>
              <w:jc w:val="center"/>
              <w:rPr>
                <w:sz w:val="22"/>
              </w:rPr>
            </w:pPr>
            <w:r>
              <w:rPr>
                <w:w w:val="100"/>
                <w:sz w:val="22"/>
              </w:rPr>
              <w:t>-</w:t>
            </w:r>
          </w:p>
        </w:tc>
        <w:tc>
          <w:tcPr>
            <w:tcW w:w="989" w:type="dxa"/>
          </w:tcPr>
          <w:p>
            <w:pPr>
              <w:pStyle w:val="TableParagraph"/>
              <w:spacing w:line="235" w:lineRule="exact"/>
              <w:ind w:left="9"/>
              <w:jc w:val="center"/>
              <w:rPr>
                <w:sz w:val="22"/>
              </w:rPr>
            </w:pPr>
            <w:r>
              <w:rPr>
                <w:w w:val="100"/>
                <w:sz w:val="22"/>
              </w:rPr>
              <w:t>-</w:t>
            </w:r>
          </w:p>
        </w:tc>
        <w:tc>
          <w:tcPr>
            <w:tcW w:w="854" w:type="dxa"/>
          </w:tcPr>
          <w:p>
            <w:pPr>
              <w:pStyle w:val="TableParagraph"/>
              <w:spacing w:line="235" w:lineRule="exact"/>
              <w:ind w:left="236"/>
              <w:rPr>
                <w:sz w:val="22"/>
              </w:rPr>
            </w:pPr>
            <w:r>
              <w:rPr>
                <w:sz w:val="22"/>
              </w:rPr>
              <w:t>0,03</w:t>
            </w:r>
          </w:p>
        </w:tc>
        <w:tc>
          <w:tcPr>
            <w:tcW w:w="849" w:type="dxa"/>
          </w:tcPr>
          <w:p>
            <w:pPr>
              <w:pStyle w:val="TableParagraph"/>
              <w:spacing w:line="235"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Загадка</w:t>
            </w:r>
          </w:p>
        </w:tc>
        <w:tc>
          <w:tcPr>
            <w:tcW w:w="1133" w:type="dxa"/>
          </w:tcPr>
          <w:p>
            <w:pPr>
              <w:pStyle w:val="TableParagraph"/>
              <w:spacing w:line="234" w:lineRule="exact"/>
              <w:ind w:left="374"/>
              <w:rPr>
                <w:sz w:val="22"/>
              </w:rPr>
            </w:pPr>
            <w:r>
              <w:rPr>
                <w:sz w:val="22"/>
              </w:rPr>
              <w:t>1,45</w:t>
            </w:r>
          </w:p>
        </w:tc>
        <w:tc>
          <w:tcPr>
            <w:tcW w:w="850" w:type="dxa"/>
          </w:tcPr>
          <w:p>
            <w:pPr>
              <w:pStyle w:val="TableParagraph"/>
              <w:spacing w:line="234" w:lineRule="exact"/>
              <w:ind w:right="213"/>
              <w:jc w:val="right"/>
              <w:rPr>
                <w:sz w:val="22"/>
              </w:rPr>
            </w:pPr>
            <w:r>
              <w:rPr>
                <w:sz w:val="22"/>
              </w:rPr>
              <w:t>0,07</w:t>
            </w:r>
          </w:p>
        </w:tc>
        <w:tc>
          <w:tcPr>
            <w:tcW w:w="1133" w:type="dxa"/>
          </w:tcPr>
          <w:p>
            <w:pPr>
              <w:pStyle w:val="TableParagraph"/>
              <w:spacing w:line="234" w:lineRule="exact"/>
              <w:ind w:left="136" w:right="121"/>
              <w:jc w:val="center"/>
              <w:rPr>
                <w:sz w:val="22"/>
              </w:rPr>
            </w:pPr>
            <w:r>
              <w:rPr>
                <w:sz w:val="22"/>
              </w:rPr>
              <w:t>1,42</w:t>
            </w:r>
          </w:p>
        </w:tc>
        <w:tc>
          <w:tcPr>
            <w:tcW w:w="854" w:type="dxa"/>
          </w:tcPr>
          <w:p>
            <w:pPr>
              <w:pStyle w:val="TableParagraph"/>
              <w:spacing w:line="234" w:lineRule="exact"/>
              <w:ind w:left="160" w:right="144"/>
              <w:jc w:val="center"/>
              <w:rPr>
                <w:sz w:val="22"/>
              </w:rPr>
            </w:pPr>
            <w:r>
              <w:rPr>
                <w:sz w:val="22"/>
              </w:rPr>
              <w:t>0,03</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49" w:hRule="atLeast"/>
        </w:trPr>
        <w:tc>
          <w:tcPr>
            <w:tcW w:w="2564" w:type="dxa"/>
          </w:tcPr>
          <w:p>
            <w:pPr>
              <w:pStyle w:val="TableParagraph"/>
              <w:spacing w:line="229" w:lineRule="exact"/>
              <w:ind w:left="110"/>
              <w:rPr>
                <w:sz w:val="22"/>
              </w:rPr>
            </w:pPr>
            <w:r>
              <w:rPr>
                <w:sz w:val="22"/>
              </w:rPr>
              <w:t>Кардинал</w:t>
            </w:r>
          </w:p>
        </w:tc>
        <w:tc>
          <w:tcPr>
            <w:tcW w:w="1133" w:type="dxa"/>
          </w:tcPr>
          <w:p>
            <w:pPr>
              <w:pStyle w:val="TableParagraph"/>
              <w:spacing w:line="229" w:lineRule="exact"/>
              <w:ind w:right="300"/>
              <w:jc w:val="right"/>
              <w:rPr>
                <w:sz w:val="22"/>
              </w:rPr>
            </w:pPr>
            <w:r>
              <w:rPr>
                <w:sz w:val="22"/>
              </w:rPr>
              <w:t>11,25</w:t>
            </w:r>
          </w:p>
        </w:tc>
        <w:tc>
          <w:tcPr>
            <w:tcW w:w="850" w:type="dxa"/>
          </w:tcPr>
          <w:p>
            <w:pPr>
              <w:pStyle w:val="TableParagraph"/>
              <w:spacing w:line="229" w:lineRule="exact"/>
              <w:ind w:right="213"/>
              <w:jc w:val="right"/>
              <w:rPr>
                <w:sz w:val="22"/>
              </w:rPr>
            </w:pPr>
            <w:r>
              <w:rPr>
                <w:sz w:val="22"/>
              </w:rPr>
              <w:t>0,53</w:t>
            </w:r>
          </w:p>
        </w:tc>
        <w:tc>
          <w:tcPr>
            <w:tcW w:w="1133" w:type="dxa"/>
          </w:tcPr>
          <w:p>
            <w:pPr>
              <w:pStyle w:val="TableParagraph"/>
              <w:spacing w:line="229" w:lineRule="exact"/>
              <w:ind w:left="136" w:right="117"/>
              <w:jc w:val="center"/>
              <w:rPr>
                <w:sz w:val="22"/>
              </w:rPr>
            </w:pPr>
            <w:r>
              <w:rPr>
                <w:sz w:val="22"/>
              </w:rPr>
              <w:t>11,25</w:t>
            </w:r>
          </w:p>
        </w:tc>
        <w:tc>
          <w:tcPr>
            <w:tcW w:w="854" w:type="dxa"/>
          </w:tcPr>
          <w:p>
            <w:pPr>
              <w:pStyle w:val="TableParagraph"/>
              <w:spacing w:line="229" w:lineRule="exact"/>
              <w:ind w:left="8"/>
              <w:jc w:val="center"/>
              <w:rPr>
                <w:sz w:val="22"/>
              </w:rPr>
            </w:pPr>
            <w:r>
              <w:rPr>
                <w:w w:val="100"/>
                <w:sz w:val="22"/>
              </w:rPr>
              <w:t>-</w:t>
            </w:r>
          </w:p>
        </w:tc>
        <w:tc>
          <w:tcPr>
            <w:tcW w:w="989" w:type="dxa"/>
          </w:tcPr>
          <w:p>
            <w:pPr>
              <w:pStyle w:val="TableParagraph"/>
              <w:spacing w:line="229" w:lineRule="exact"/>
              <w:ind w:left="9"/>
              <w:jc w:val="center"/>
              <w:rPr>
                <w:sz w:val="22"/>
              </w:rPr>
            </w:pPr>
            <w:r>
              <w:rPr>
                <w:w w:val="100"/>
                <w:sz w:val="22"/>
              </w:rPr>
              <w:t>-</w:t>
            </w:r>
          </w:p>
        </w:tc>
        <w:tc>
          <w:tcPr>
            <w:tcW w:w="854" w:type="dxa"/>
          </w:tcPr>
          <w:p>
            <w:pPr>
              <w:pStyle w:val="TableParagraph"/>
              <w:spacing w:line="229" w:lineRule="exact"/>
              <w:ind w:left="9"/>
              <w:jc w:val="center"/>
              <w:rPr>
                <w:sz w:val="22"/>
              </w:rPr>
            </w:pPr>
            <w:r>
              <w:rPr>
                <w:w w:val="100"/>
                <w:sz w:val="22"/>
              </w:rPr>
              <w:t>-</w:t>
            </w:r>
          </w:p>
        </w:tc>
        <w:tc>
          <w:tcPr>
            <w:tcW w:w="849" w:type="dxa"/>
          </w:tcPr>
          <w:p>
            <w:pPr>
              <w:pStyle w:val="TableParagraph"/>
              <w:spacing w:line="229" w:lineRule="exact"/>
              <w:ind w:left="6"/>
              <w:jc w:val="center"/>
              <w:rPr>
                <w:sz w:val="22"/>
              </w:rPr>
            </w:pPr>
            <w:r>
              <w:rPr>
                <w:w w:val="100"/>
                <w:sz w:val="22"/>
              </w:rPr>
              <w:t>-</w:t>
            </w:r>
          </w:p>
        </w:tc>
      </w:tr>
      <w:tr>
        <w:trPr>
          <w:trHeight w:val="253" w:hRule="atLeast"/>
        </w:trPr>
        <w:tc>
          <w:tcPr>
            <w:tcW w:w="2564" w:type="dxa"/>
          </w:tcPr>
          <w:p>
            <w:pPr>
              <w:pStyle w:val="TableParagraph"/>
              <w:spacing w:line="234" w:lineRule="exact"/>
              <w:ind w:left="110"/>
              <w:rPr>
                <w:sz w:val="22"/>
              </w:rPr>
            </w:pPr>
            <w:r>
              <w:rPr>
                <w:sz w:val="22"/>
              </w:rPr>
              <w:t>Кардишах</w:t>
            </w:r>
          </w:p>
        </w:tc>
        <w:tc>
          <w:tcPr>
            <w:tcW w:w="1133" w:type="dxa"/>
          </w:tcPr>
          <w:p>
            <w:pPr>
              <w:pStyle w:val="TableParagraph"/>
              <w:spacing w:line="234" w:lineRule="exact"/>
              <w:ind w:left="136" w:right="117"/>
              <w:jc w:val="center"/>
              <w:rPr>
                <w:sz w:val="22"/>
              </w:rPr>
            </w:pPr>
            <w:r>
              <w:rPr>
                <w:sz w:val="22"/>
              </w:rPr>
              <w:t>0,7</w:t>
            </w:r>
          </w:p>
        </w:tc>
        <w:tc>
          <w:tcPr>
            <w:tcW w:w="850" w:type="dxa"/>
          </w:tcPr>
          <w:p>
            <w:pPr>
              <w:pStyle w:val="TableParagraph"/>
              <w:spacing w:line="234" w:lineRule="exact"/>
              <w:ind w:right="213"/>
              <w:jc w:val="right"/>
              <w:rPr>
                <w:sz w:val="22"/>
              </w:rPr>
            </w:pPr>
            <w:r>
              <w:rPr>
                <w:sz w:val="22"/>
              </w:rPr>
              <w:t>0,03</w:t>
            </w:r>
          </w:p>
        </w:tc>
        <w:tc>
          <w:tcPr>
            <w:tcW w:w="1133" w:type="dxa"/>
          </w:tcPr>
          <w:p>
            <w:pPr>
              <w:pStyle w:val="TableParagraph"/>
              <w:spacing w:line="234" w:lineRule="exact"/>
              <w:ind w:left="136" w:right="117"/>
              <w:jc w:val="center"/>
              <w:rPr>
                <w:sz w:val="22"/>
              </w:rPr>
            </w:pPr>
            <w:r>
              <w:rPr>
                <w:sz w:val="22"/>
              </w:rPr>
              <w:t>0,7</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Кеша</w:t>
            </w:r>
          </w:p>
        </w:tc>
        <w:tc>
          <w:tcPr>
            <w:tcW w:w="1133" w:type="dxa"/>
          </w:tcPr>
          <w:p>
            <w:pPr>
              <w:pStyle w:val="TableParagraph"/>
              <w:spacing w:line="234" w:lineRule="exact"/>
              <w:ind w:right="300"/>
              <w:jc w:val="right"/>
              <w:rPr>
                <w:sz w:val="22"/>
              </w:rPr>
            </w:pPr>
            <w:r>
              <w:rPr>
                <w:sz w:val="22"/>
              </w:rPr>
              <w:t>89,05</w:t>
            </w:r>
          </w:p>
        </w:tc>
        <w:tc>
          <w:tcPr>
            <w:tcW w:w="850" w:type="dxa"/>
          </w:tcPr>
          <w:p>
            <w:pPr>
              <w:pStyle w:val="TableParagraph"/>
              <w:spacing w:line="234" w:lineRule="exact"/>
              <w:ind w:right="213"/>
              <w:jc w:val="right"/>
              <w:rPr>
                <w:sz w:val="22"/>
              </w:rPr>
            </w:pPr>
            <w:r>
              <w:rPr>
                <w:sz w:val="22"/>
              </w:rPr>
              <w:t>4,16</w:t>
            </w:r>
          </w:p>
        </w:tc>
        <w:tc>
          <w:tcPr>
            <w:tcW w:w="1133" w:type="dxa"/>
          </w:tcPr>
          <w:p>
            <w:pPr>
              <w:pStyle w:val="TableParagraph"/>
              <w:spacing w:line="234" w:lineRule="exact"/>
              <w:ind w:left="136" w:right="117"/>
              <w:jc w:val="center"/>
              <w:rPr>
                <w:sz w:val="22"/>
              </w:rPr>
            </w:pPr>
            <w:r>
              <w:rPr>
                <w:sz w:val="22"/>
              </w:rPr>
              <w:t>74,78</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112" w:right="101"/>
              <w:jc w:val="center"/>
              <w:rPr>
                <w:sz w:val="22"/>
              </w:rPr>
            </w:pPr>
            <w:r>
              <w:rPr>
                <w:sz w:val="22"/>
              </w:rPr>
              <w:t>13,27</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156" w:right="147"/>
              <w:jc w:val="center"/>
              <w:rPr>
                <w:sz w:val="22"/>
              </w:rPr>
            </w:pPr>
            <w:r>
              <w:rPr>
                <w:sz w:val="22"/>
              </w:rPr>
              <w:t>1,0</w:t>
            </w:r>
          </w:p>
        </w:tc>
      </w:tr>
      <w:tr>
        <w:trPr>
          <w:trHeight w:val="254" w:hRule="atLeast"/>
        </w:trPr>
        <w:tc>
          <w:tcPr>
            <w:tcW w:w="2564" w:type="dxa"/>
          </w:tcPr>
          <w:p>
            <w:pPr>
              <w:pStyle w:val="TableParagraph"/>
              <w:spacing w:line="234" w:lineRule="exact"/>
              <w:ind w:left="110"/>
              <w:rPr>
                <w:sz w:val="22"/>
              </w:rPr>
            </w:pPr>
            <w:r>
              <w:rPr>
                <w:sz w:val="22"/>
              </w:rPr>
              <w:t>Кишмиш лучистий</w:t>
            </w:r>
          </w:p>
        </w:tc>
        <w:tc>
          <w:tcPr>
            <w:tcW w:w="1133" w:type="dxa"/>
          </w:tcPr>
          <w:p>
            <w:pPr>
              <w:pStyle w:val="TableParagraph"/>
              <w:spacing w:line="234" w:lineRule="exact"/>
              <w:ind w:left="374"/>
              <w:rPr>
                <w:sz w:val="22"/>
              </w:rPr>
            </w:pPr>
            <w:r>
              <w:rPr>
                <w:sz w:val="22"/>
              </w:rPr>
              <w:t>2,24</w:t>
            </w:r>
          </w:p>
        </w:tc>
        <w:tc>
          <w:tcPr>
            <w:tcW w:w="850" w:type="dxa"/>
          </w:tcPr>
          <w:p>
            <w:pPr>
              <w:pStyle w:val="TableParagraph"/>
              <w:spacing w:line="234" w:lineRule="exact"/>
              <w:ind w:right="213"/>
              <w:jc w:val="right"/>
              <w:rPr>
                <w:sz w:val="22"/>
              </w:rPr>
            </w:pPr>
            <w:r>
              <w:rPr>
                <w:sz w:val="22"/>
              </w:rPr>
              <w:t>0,10</w:t>
            </w:r>
          </w:p>
        </w:tc>
        <w:tc>
          <w:tcPr>
            <w:tcW w:w="1133" w:type="dxa"/>
          </w:tcPr>
          <w:p>
            <w:pPr>
              <w:pStyle w:val="TableParagraph"/>
              <w:spacing w:line="234" w:lineRule="exact"/>
              <w:ind w:left="136" w:right="121"/>
              <w:jc w:val="center"/>
              <w:rPr>
                <w:sz w:val="22"/>
              </w:rPr>
            </w:pPr>
            <w:r>
              <w:rPr>
                <w:sz w:val="22"/>
              </w:rPr>
              <w:t>2,24</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Кишмиш таїровський</w:t>
            </w:r>
          </w:p>
        </w:tc>
        <w:tc>
          <w:tcPr>
            <w:tcW w:w="1133" w:type="dxa"/>
          </w:tcPr>
          <w:p>
            <w:pPr>
              <w:pStyle w:val="TableParagraph"/>
              <w:spacing w:line="234" w:lineRule="exact"/>
              <w:ind w:left="374"/>
              <w:rPr>
                <w:sz w:val="22"/>
              </w:rPr>
            </w:pPr>
            <w:r>
              <w:rPr>
                <w:sz w:val="22"/>
              </w:rPr>
              <w:t>2,04</w:t>
            </w:r>
          </w:p>
        </w:tc>
        <w:tc>
          <w:tcPr>
            <w:tcW w:w="850" w:type="dxa"/>
          </w:tcPr>
          <w:p>
            <w:pPr>
              <w:pStyle w:val="TableParagraph"/>
              <w:spacing w:line="234" w:lineRule="exact"/>
              <w:ind w:right="213"/>
              <w:jc w:val="right"/>
              <w:rPr>
                <w:sz w:val="22"/>
              </w:rPr>
            </w:pPr>
            <w:r>
              <w:rPr>
                <w:sz w:val="22"/>
              </w:rPr>
              <w:t>0,10</w:t>
            </w:r>
          </w:p>
        </w:tc>
        <w:tc>
          <w:tcPr>
            <w:tcW w:w="1133" w:type="dxa"/>
          </w:tcPr>
          <w:p>
            <w:pPr>
              <w:pStyle w:val="TableParagraph"/>
              <w:spacing w:line="234" w:lineRule="exact"/>
              <w:ind w:left="16"/>
              <w:jc w:val="center"/>
              <w:rPr>
                <w:sz w:val="22"/>
              </w:rPr>
            </w:pPr>
            <w:r>
              <w:rPr>
                <w:w w:val="100"/>
                <w:sz w:val="22"/>
              </w:rPr>
              <w:t>-</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156" w:right="142"/>
              <w:jc w:val="center"/>
              <w:rPr>
                <w:sz w:val="22"/>
              </w:rPr>
            </w:pPr>
            <w:r>
              <w:rPr>
                <w:sz w:val="22"/>
              </w:rPr>
              <w:t>2,04</w:t>
            </w:r>
          </w:p>
        </w:tc>
      </w:tr>
      <w:tr>
        <w:trPr>
          <w:trHeight w:val="249" w:hRule="atLeast"/>
        </w:trPr>
        <w:tc>
          <w:tcPr>
            <w:tcW w:w="2564" w:type="dxa"/>
          </w:tcPr>
          <w:p>
            <w:pPr>
              <w:pStyle w:val="TableParagraph"/>
              <w:spacing w:line="229" w:lineRule="exact"/>
              <w:ind w:left="110"/>
              <w:rPr>
                <w:sz w:val="22"/>
              </w:rPr>
            </w:pPr>
            <w:r>
              <w:rPr>
                <w:sz w:val="22"/>
              </w:rPr>
              <w:t>Кодрянка</w:t>
            </w:r>
          </w:p>
        </w:tc>
        <w:tc>
          <w:tcPr>
            <w:tcW w:w="1133" w:type="dxa"/>
          </w:tcPr>
          <w:p>
            <w:pPr>
              <w:pStyle w:val="TableParagraph"/>
              <w:spacing w:line="229" w:lineRule="exact"/>
              <w:ind w:right="300"/>
              <w:jc w:val="right"/>
              <w:rPr>
                <w:sz w:val="22"/>
              </w:rPr>
            </w:pPr>
            <w:r>
              <w:rPr>
                <w:sz w:val="22"/>
              </w:rPr>
              <w:t>10,39</w:t>
            </w:r>
          </w:p>
        </w:tc>
        <w:tc>
          <w:tcPr>
            <w:tcW w:w="850" w:type="dxa"/>
          </w:tcPr>
          <w:p>
            <w:pPr>
              <w:pStyle w:val="TableParagraph"/>
              <w:spacing w:line="229" w:lineRule="exact"/>
              <w:ind w:right="213"/>
              <w:jc w:val="right"/>
              <w:rPr>
                <w:sz w:val="22"/>
              </w:rPr>
            </w:pPr>
            <w:r>
              <w:rPr>
                <w:sz w:val="22"/>
              </w:rPr>
              <w:t>0,49</w:t>
            </w:r>
          </w:p>
        </w:tc>
        <w:tc>
          <w:tcPr>
            <w:tcW w:w="1133" w:type="dxa"/>
          </w:tcPr>
          <w:p>
            <w:pPr>
              <w:pStyle w:val="TableParagraph"/>
              <w:spacing w:line="229" w:lineRule="exact"/>
              <w:ind w:left="136" w:right="121"/>
              <w:jc w:val="center"/>
              <w:rPr>
                <w:sz w:val="22"/>
              </w:rPr>
            </w:pPr>
            <w:r>
              <w:rPr>
                <w:sz w:val="22"/>
              </w:rPr>
              <w:t>6,69</w:t>
            </w:r>
          </w:p>
        </w:tc>
        <w:tc>
          <w:tcPr>
            <w:tcW w:w="854" w:type="dxa"/>
          </w:tcPr>
          <w:p>
            <w:pPr>
              <w:pStyle w:val="TableParagraph"/>
              <w:spacing w:line="229" w:lineRule="exact"/>
              <w:ind w:left="8"/>
              <w:jc w:val="center"/>
              <w:rPr>
                <w:sz w:val="22"/>
              </w:rPr>
            </w:pPr>
            <w:r>
              <w:rPr>
                <w:w w:val="100"/>
                <w:sz w:val="22"/>
              </w:rPr>
              <w:t>-</w:t>
            </w:r>
          </w:p>
        </w:tc>
        <w:tc>
          <w:tcPr>
            <w:tcW w:w="989" w:type="dxa"/>
          </w:tcPr>
          <w:p>
            <w:pPr>
              <w:pStyle w:val="TableParagraph"/>
              <w:spacing w:line="229" w:lineRule="exact"/>
              <w:ind w:left="113" w:right="101"/>
              <w:jc w:val="center"/>
              <w:rPr>
                <w:sz w:val="22"/>
              </w:rPr>
            </w:pPr>
            <w:r>
              <w:rPr>
                <w:sz w:val="22"/>
              </w:rPr>
              <w:t>1,0</w:t>
            </w:r>
          </w:p>
        </w:tc>
        <w:tc>
          <w:tcPr>
            <w:tcW w:w="854" w:type="dxa"/>
          </w:tcPr>
          <w:p>
            <w:pPr>
              <w:pStyle w:val="TableParagraph"/>
              <w:spacing w:line="229" w:lineRule="exact"/>
              <w:ind w:left="9"/>
              <w:jc w:val="center"/>
              <w:rPr>
                <w:sz w:val="22"/>
              </w:rPr>
            </w:pPr>
            <w:r>
              <w:rPr>
                <w:w w:val="100"/>
                <w:sz w:val="22"/>
              </w:rPr>
              <w:t>-</w:t>
            </w:r>
          </w:p>
        </w:tc>
        <w:tc>
          <w:tcPr>
            <w:tcW w:w="849" w:type="dxa"/>
          </w:tcPr>
          <w:p>
            <w:pPr>
              <w:pStyle w:val="TableParagraph"/>
              <w:spacing w:line="229" w:lineRule="exact"/>
              <w:ind w:left="156" w:right="147"/>
              <w:jc w:val="center"/>
              <w:rPr>
                <w:sz w:val="22"/>
              </w:rPr>
            </w:pPr>
            <w:r>
              <w:rPr>
                <w:sz w:val="22"/>
              </w:rPr>
              <w:t>2,7</w:t>
            </w:r>
          </w:p>
        </w:tc>
      </w:tr>
      <w:tr>
        <w:trPr>
          <w:trHeight w:val="254" w:hRule="atLeast"/>
        </w:trPr>
        <w:tc>
          <w:tcPr>
            <w:tcW w:w="2564" w:type="dxa"/>
          </w:tcPr>
          <w:p>
            <w:pPr>
              <w:pStyle w:val="TableParagraph"/>
              <w:spacing w:line="234" w:lineRule="exact"/>
              <w:ind w:left="110"/>
              <w:rPr>
                <w:sz w:val="22"/>
              </w:rPr>
            </w:pPr>
            <w:r>
              <w:rPr>
                <w:sz w:val="22"/>
              </w:rPr>
              <w:t>Королева виноградників</w:t>
            </w:r>
          </w:p>
        </w:tc>
        <w:tc>
          <w:tcPr>
            <w:tcW w:w="1133" w:type="dxa"/>
          </w:tcPr>
          <w:p>
            <w:pPr>
              <w:pStyle w:val="TableParagraph"/>
              <w:spacing w:line="234" w:lineRule="exact"/>
              <w:ind w:right="300"/>
              <w:jc w:val="right"/>
              <w:rPr>
                <w:sz w:val="22"/>
              </w:rPr>
            </w:pPr>
            <w:r>
              <w:rPr>
                <w:sz w:val="22"/>
              </w:rPr>
              <w:t>81,83</w:t>
            </w:r>
          </w:p>
        </w:tc>
        <w:tc>
          <w:tcPr>
            <w:tcW w:w="850" w:type="dxa"/>
          </w:tcPr>
          <w:p>
            <w:pPr>
              <w:pStyle w:val="TableParagraph"/>
              <w:spacing w:line="234" w:lineRule="exact"/>
              <w:ind w:right="213"/>
              <w:jc w:val="right"/>
              <w:rPr>
                <w:sz w:val="22"/>
              </w:rPr>
            </w:pPr>
            <w:r>
              <w:rPr>
                <w:sz w:val="22"/>
              </w:rPr>
              <w:t>3,83</w:t>
            </w:r>
          </w:p>
        </w:tc>
        <w:tc>
          <w:tcPr>
            <w:tcW w:w="1133" w:type="dxa"/>
          </w:tcPr>
          <w:p>
            <w:pPr>
              <w:pStyle w:val="TableParagraph"/>
              <w:spacing w:line="234" w:lineRule="exact"/>
              <w:ind w:left="136" w:right="117"/>
              <w:jc w:val="center"/>
              <w:rPr>
                <w:sz w:val="22"/>
              </w:rPr>
            </w:pPr>
            <w:r>
              <w:rPr>
                <w:sz w:val="22"/>
              </w:rPr>
              <w:t>65,76</w:t>
            </w:r>
          </w:p>
        </w:tc>
        <w:tc>
          <w:tcPr>
            <w:tcW w:w="854" w:type="dxa"/>
          </w:tcPr>
          <w:p>
            <w:pPr>
              <w:pStyle w:val="TableParagraph"/>
              <w:spacing w:line="234" w:lineRule="exact"/>
              <w:ind w:left="160" w:right="144"/>
              <w:jc w:val="center"/>
              <w:rPr>
                <w:sz w:val="22"/>
              </w:rPr>
            </w:pPr>
            <w:r>
              <w:rPr>
                <w:sz w:val="22"/>
              </w:rPr>
              <w:t>0,02</w:t>
            </w:r>
          </w:p>
        </w:tc>
        <w:tc>
          <w:tcPr>
            <w:tcW w:w="989" w:type="dxa"/>
          </w:tcPr>
          <w:p>
            <w:pPr>
              <w:pStyle w:val="TableParagraph"/>
              <w:spacing w:line="234" w:lineRule="exact"/>
              <w:ind w:left="117" w:right="101"/>
              <w:jc w:val="center"/>
              <w:rPr>
                <w:sz w:val="22"/>
              </w:rPr>
            </w:pPr>
            <w:r>
              <w:rPr>
                <w:sz w:val="22"/>
              </w:rPr>
              <w:t>10,0</w:t>
            </w:r>
          </w:p>
        </w:tc>
        <w:tc>
          <w:tcPr>
            <w:tcW w:w="854" w:type="dxa"/>
          </w:tcPr>
          <w:p>
            <w:pPr>
              <w:pStyle w:val="TableParagraph"/>
              <w:spacing w:line="234" w:lineRule="exact"/>
              <w:ind w:left="236"/>
              <w:rPr>
                <w:sz w:val="22"/>
              </w:rPr>
            </w:pPr>
            <w:r>
              <w:rPr>
                <w:sz w:val="22"/>
              </w:rPr>
              <w:t>6,05</w:t>
            </w:r>
          </w:p>
        </w:tc>
        <w:tc>
          <w:tcPr>
            <w:tcW w:w="849" w:type="dxa"/>
          </w:tcPr>
          <w:p>
            <w:pPr>
              <w:pStyle w:val="TableParagraph"/>
              <w:spacing w:line="234" w:lineRule="exact"/>
              <w:ind w:left="6"/>
              <w:jc w:val="center"/>
              <w:rPr>
                <w:sz w:val="22"/>
              </w:rPr>
            </w:pPr>
            <w:r>
              <w:rPr>
                <w:w w:val="100"/>
                <w:sz w:val="22"/>
              </w:rPr>
              <w:t>-</w:t>
            </w:r>
          </w:p>
        </w:tc>
      </w:tr>
      <w:tr>
        <w:trPr>
          <w:trHeight w:val="253" w:hRule="atLeast"/>
        </w:trPr>
        <w:tc>
          <w:tcPr>
            <w:tcW w:w="2564" w:type="dxa"/>
          </w:tcPr>
          <w:p>
            <w:pPr>
              <w:pStyle w:val="TableParagraph"/>
              <w:spacing w:line="234" w:lineRule="exact"/>
              <w:ind w:left="110"/>
              <w:rPr>
                <w:sz w:val="22"/>
              </w:rPr>
            </w:pPr>
            <w:r>
              <w:rPr>
                <w:sz w:val="22"/>
              </w:rPr>
              <w:t>Лівія</w:t>
            </w:r>
          </w:p>
        </w:tc>
        <w:tc>
          <w:tcPr>
            <w:tcW w:w="1133" w:type="dxa"/>
          </w:tcPr>
          <w:p>
            <w:pPr>
              <w:pStyle w:val="TableParagraph"/>
              <w:spacing w:line="234" w:lineRule="exact"/>
              <w:ind w:left="374"/>
              <w:rPr>
                <w:sz w:val="22"/>
              </w:rPr>
            </w:pPr>
            <w:r>
              <w:rPr>
                <w:sz w:val="22"/>
              </w:rPr>
              <w:t>7,18</w:t>
            </w:r>
          </w:p>
        </w:tc>
        <w:tc>
          <w:tcPr>
            <w:tcW w:w="850" w:type="dxa"/>
          </w:tcPr>
          <w:p>
            <w:pPr>
              <w:pStyle w:val="TableParagraph"/>
              <w:spacing w:line="234" w:lineRule="exact"/>
              <w:ind w:right="213"/>
              <w:jc w:val="right"/>
              <w:rPr>
                <w:sz w:val="22"/>
              </w:rPr>
            </w:pPr>
            <w:r>
              <w:rPr>
                <w:sz w:val="22"/>
              </w:rPr>
              <w:t>0,34</w:t>
            </w:r>
          </w:p>
        </w:tc>
        <w:tc>
          <w:tcPr>
            <w:tcW w:w="1133" w:type="dxa"/>
          </w:tcPr>
          <w:p>
            <w:pPr>
              <w:pStyle w:val="TableParagraph"/>
              <w:spacing w:line="234" w:lineRule="exact"/>
              <w:ind w:left="136" w:right="117"/>
              <w:jc w:val="center"/>
              <w:rPr>
                <w:sz w:val="22"/>
              </w:rPr>
            </w:pPr>
            <w:r>
              <w:rPr>
                <w:sz w:val="22"/>
              </w:rPr>
              <w:t>5,2</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113" w:right="101"/>
              <w:jc w:val="center"/>
              <w:rPr>
                <w:sz w:val="22"/>
              </w:rPr>
            </w:pPr>
            <w:r>
              <w:rPr>
                <w:sz w:val="22"/>
              </w:rPr>
              <w:t>1.7</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156" w:right="142"/>
              <w:jc w:val="center"/>
              <w:rPr>
                <w:sz w:val="22"/>
              </w:rPr>
            </w:pPr>
            <w:r>
              <w:rPr>
                <w:sz w:val="22"/>
              </w:rPr>
              <w:t>0,29</w:t>
            </w:r>
          </w:p>
        </w:tc>
      </w:tr>
      <w:tr>
        <w:trPr>
          <w:trHeight w:val="254" w:hRule="atLeast"/>
        </w:trPr>
        <w:tc>
          <w:tcPr>
            <w:tcW w:w="2564" w:type="dxa"/>
          </w:tcPr>
          <w:p>
            <w:pPr>
              <w:pStyle w:val="TableParagraph"/>
              <w:spacing w:line="234" w:lineRule="exact"/>
              <w:ind w:left="110"/>
              <w:rPr>
                <w:sz w:val="22"/>
              </w:rPr>
            </w:pPr>
            <w:r>
              <w:rPr>
                <w:sz w:val="22"/>
              </w:rPr>
              <w:t>Любительський</w:t>
            </w:r>
          </w:p>
        </w:tc>
        <w:tc>
          <w:tcPr>
            <w:tcW w:w="1133" w:type="dxa"/>
          </w:tcPr>
          <w:p>
            <w:pPr>
              <w:pStyle w:val="TableParagraph"/>
              <w:spacing w:line="234" w:lineRule="exact"/>
              <w:ind w:right="300"/>
              <w:jc w:val="right"/>
              <w:rPr>
                <w:sz w:val="22"/>
              </w:rPr>
            </w:pPr>
            <w:r>
              <w:rPr>
                <w:sz w:val="22"/>
              </w:rPr>
              <w:t>10,39</w:t>
            </w:r>
          </w:p>
        </w:tc>
        <w:tc>
          <w:tcPr>
            <w:tcW w:w="850" w:type="dxa"/>
          </w:tcPr>
          <w:p>
            <w:pPr>
              <w:pStyle w:val="TableParagraph"/>
              <w:spacing w:line="234" w:lineRule="exact"/>
              <w:ind w:right="213"/>
              <w:jc w:val="right"/>
              <w:rPr>
                <w:sz w:val="22"/>
              </w:rPr>
            </w:pPr>
            <w:r>
              <w:rPr>
                <w:sz w:val="22"/>
              </w:rPr>
              <w:t>0,49</w:t>
            </w:r>
          </w:p>
        </w:tc>
        <w:tc>
          <w:tcPr>
            <w:tcW w:w="1133" w:type="dxa"/>
          </w:tcPr>
          <w:p>
            <w:pPr>
              <w:pStyle w:val="TableParagraph"/>
              <w:spacing w:line="234" w:lineRule="exact"/>
              <w:ind w:left="136" w:right="117"/>
              <w:jc w:val="center"/>
              <w:rPr>
                <w:sz w:val="22"/>
              </w:rPr>
            </w:pPr>
            <w:r>
              <w:rPr>
                <w:sz w:val="22"/>
              </w:rPr>
              <w:t>10,36</w:t>
            </w:r>
          </w:p>
        </w:tc>
        <w:tc>
          <w:tcPr>
            <w:tcW w:w="854" w:type="dxa"/>
          </w:tcPr>
          <w:p>
            <w:pPr>
              <w:pStyle w:val="TableParagraph"/>
              <w:spacing w:line="234" w:lineRule="exact"/>
              <w:ind w:left="160" w:right="144"/>
              <w:jc w:val="center"/>
              <w:rPr>
                <w:sz w:val="22"/>
              </w:rPr>
            </w:pPr>
            <w:r>
              <w:rPr>
                <w:sz w:val="22"/>
              </w:rPr>
              <w:t>0,03</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49" w:hRule="atLeast"/>
        </w:trPr>
        <w:tc>
          <w:tcPr>
            <w:tcW w:w="2564" w:type="dxa"/>
          </w:tcPr>
          <w:p>
            <w:pPr>
              <w:pStyle w:val="TableParagraph"/>
              <w:spacing w:line="229" w:lineRule="exact"/>
              <w:ind w:left="110"/>
              <w:rPr>
                <w:sz w:val="22"/>
              </w:rPr>
            </w:pPr>
            <w:r>
              <w:rPr>
                <w:sz w:val="22"/>
              </w:rPr>
              <w:t>Мечта</w:t>
            </w:r>
          </w:p>
        </w:tc>
        <w:tc>
          <w:tcPr>
            <w:tcW w:w="1133" w:type="dxa"/>
          </w:tcPr>
          <w:p>
            <w:pPr>
              <w:pStyle w:val="TableParagraph"/>
              <w:spacing w:line="229" w:lineRule="exact"/>
              <w:ind w:left="374"/>
              <w:rPr>
                <w:sz w:val="22"/>
              </w:rPr>
            </w:pPr>
            <w:r>
              <w:rPr>
                <w:sz w:val="22"/>
              </w:rPr>
              <w:t>8,16</w:t>
            </w:r>
          </w:p>
        </w:tc>
        <w:tc>
          <w:tcPr>
            <w:tcW w:w="850" w:type="dxa"/>
          </w:tcPr>
          <w:p>
            <w:pPr>
              <w:pStyle w:val="TableParagraph"/>
              <w:spacing w:line="229" w:lineRule="exact"/>
              <w:ind w:right="213"/>
              <w:jc w:val="right"/>
              <w:rPr>
                <w:sz w:val="22"/>
              </w:rPr>
            </w:pPr>
            <w:r>
              <w:rPr>
                <w:sz w:val="22"/>
              </w:rPr>
              <w:t>0,38</w:t>
            </w:r>
          </w:p>
        </w:tc>
        <w:tc>
          <w:tcPr>
            <w:tcW w:w="1133" w:type="dxa"/>
          </w:tcPr>
          <w:p>
            <w:pPr>
              <w:pStyle w:val="TableParagraph"/>
              <w:spacing w:line="229" w:lineRule="exact"/>
              <w:ind w:left="136" w:right="121"/>
              <w:jc w:val="center"/>
              <w:rPr>
                <w:sz w:val="22"/>
              </w:rPr>
            </w:pPr>
            <w:r>
              <w:rPr>
                <w:sz w:val="22"/>
              </w:rPr>
              <w:t>8,13</w:t>
            </w:r>
          </w:p>
        </w:tc>
        <w:tc>
          <w:tcPr>
            <w:tcW w:w="854" w:type="dxa"/>
          </w:tcPr>
          <w:p>
            <w:pPr>
              <w:pStyle w:val="TableParagraph"/>
              <w:spacing w:line="229" w:lineRule="exact"/>
              <w:ind w:left="160" w:right="144"/>
              <w:jc w:val="center"/>
              <w:rPr>
                <w:sz w:val="22"/>
              </w:rPr>
            </w:pPr>
            <w:r>
              <w:rPr>
                <w:sz w:val="22"/>
              </w:rPr>
              <w:t>0,03</w:t>
            </w:r>
          </w:p>
        </w:tc>
        <w:tc>
          <w:tcPr>
            <w:tcW w:w="989" w:type="dxa"/>
          </w:tcPr>
          <w:p>
            <w:pPr>
              <w:pStyle w:val="TableParagraph"/>
              <w:spacing w:line="229" w:lineRule="exact"/>
              <w:ind w:left="9"/>
              <w:jc w:val="center"/>
              <w:rPr>
                <w:sz w:val="22"/>
              </w:rPr>
            </w:pPr>
            <w:r>
              <w:rPr>
                <w:w w:val="100"/>
                <w:sz w:val="22"/>
              </w:rPr>
              <w:t>-</w:t>
            </w:r>
          </w:p>
        </w:tc>
        <w:tc>
          <w:tcPr>
            <w:tcW w:w="854" w:type="dxa"/>
          </w:tcPr>
          <w:p>
            <w:pPr>
              <w:pStyle w:val="TableParagraph"/>
              <w:spacing w:line="229" w:lineRule="exact"/>
              <w:ind w:left="9"/>
              <w:jc w:val="center"/>
              <w:rPr>
                <w:sz w:val="22"/>
              </w:rPr>
            </w:pPr>
            <w:r>
              <w:rPr>
                <w:w w:val="100"/>
                <w:sz w:val="22"/>
              </w:rPr>
              <w:t>-</w:t>
            </w:r>
          </w:p>
        </w:tc>
        <w:tc>
          <w:tcPr>
            <w:tcW w:w="849" w:type="dxa"/>
          </w:tcPr>
          <w:p>
            <w:pPr>
              <w:pStyle w:val="TableParagraph"/>
              <w:spacing w:line="229" w:lineRule="exact"/>
              <w:ind w:left="6"/>
              <w:jc w:val="center"/>
              <w:rPr>
                <w:sz w:val="22"/>
              </w:rPr>
            </w:pPr>
            <w:r>
              <w:rPr>
                <w:w w:val="100"/>
                <w:sz w:val="22"/>
              </w:rPr>
              <w:t>-</w:t>
            </w:r>
          </w:p>
        </w:tc>
      </w:tr>
      <w:tr>
        <w:trPr>
          <w:trHeight w:val="253" w:hRule="atLeast"/>
        </w:trPr>
        <w:tc>
          <w:tcPr>
            <w:tcW w:w="2564" w:type="dxa"/>
          </w:tcPr>
          <w:p>
            <w:pPr>
              <w:pStyle w:val="TableParagraph"/>
              <w:spacing w:line="234" w:lineRule="exact"/>
              <w:ind w:left="110"/>
              <w:rPr>
                <w:sz w:val="22"/>
              </w:rPr>
            </w:pPr>
            <w:r>
              <w:rPr>
                <w:sz w:val="22"/>
              </w:rPr>
              <w:t>Молдова</w:t>
            </w:r>
          </w:p>
        </w:tc>
        <w:tc>
          <w:tcPr>
            <w:tcW w:w="1133" w:type="dxa"/>
          </w:tcPr>
          <w:p>
            <w:pPr>
              <w:pStyle w:val="TableParagraph"/>
              <w:spacing w:line="234" w:lineRule="exact"/>
              <w:ind w:right="247"/>
              <w:jc w:val="right"/>
              <w:rPr>
                <w:sz w:val="22"/>
              </w:rPr>
            </w:pPr>
            <w:r>
              <w:rPr>
                <w:sz w:val="22"/>
              </w:rPr>
              <w:t>766,71</w:t>
            </w:r>
          </w:p>
        </w:tc>
        <w:tc>
          <w:tcPr>
            <w:tcW w:w="850" w:type="dxa"/>
          </w:tcPr>
          <w:p>
            <w:pPr>
              <w:pStyle w:val="TableParagraph"/>
              <w:spacing w:line="234" w:lineRule="exact"/>
              <w:ind w:right="161"/>
              <w:jc w:val="right"/>
              <w:rPr>
                <w:sz w:val="22"/>
              </w:rPr>
            </w:pPr>
            <w:r>
              <w:rPr>
                <w:sz w:val="22"/>
              </w:rPr>
              <w:t>35,86</w:t>
            </w:r>
          </w:p>
        </w:tc>
        <w:tc>
          <w:tcPr>
            <w:tcW w:w="1133" w:type="dxa"/>
          </w:tcPr>
          <w:p>
            <w:pPr>
              <w:pStyle w:val="TableParagraph"/>
              <w:spacing w:line="234" w:lineRule="exact"/>
              <w:ind w:left="136" w:right="121"/>
              <w:jc w:val="center"/>
              <w:rPr>
                <w:sz w:val="22"/>
              </w:rPr>
            </w:pPr>
            <w:r>
              <w:rPr>
                <w:sz w:val="22"/>
              </w:rPr>
              <w:t>577,81</w:t>
            </w:r>
          </w:p>
        </w:tc>
        <w:tc>
          <w:tcPr>
            <w:tcW w:w="854" w:type="dxa"/>
          </w:tcPr>
          <w:p>
            <w:pPr>
              <w:pStyle w:val="TableParagraph"/>
              <w:spacing w:line="234" w:lineRule="exact"/>
              <w:ind w:left="160" w:right="149"/>
              <w:jc w:val="center"/>
              <w:rPr>
                <w:sz w:val="22"/>
              </w:rPr>
            </w:pPr>
            <w:r>
              <w:rPr>
                <w:sz w:val="22"/>
              </w:rPr>
              <w:t>101,0</w:t>
            </w:r>
          </w:p>
        </w:tc>
        <w:tc>
          <w:tcPr>
            <w:tcW w:w="989" w:type="dxa"/>
          </w:tcPr>
          <w:p>
            <w:pPr>
              <w:pStyle w:val="TableParagraph"/>
              <w:spacing w:line="234" w:lineRule="exact"/>
              <w:ind w:left="117" w:right="101"/>
              <w:jc w:val="center"/>
              <w:rPr>
                <w:sz w:val="22"/>
              </w:rPr>
            </w:pPr>
            <w:r>
              <w:rPr>
                <w:sz w:val="22"/>
              </w:rPr>
              <w:t>87,6</w:t>
            </w:r>
          </w:p>
        </w:tc>
        <w:tc>
          <w:tcPr>
            <w:tcW w:w="854" w:type="dxa"/>
          </w:tcPr>
          <w:p>
            <w:pPr>
              <w:pStyle w:val="TableParagraph"/>
              <w:spacing w:line="234" w:lineRule="exact"/>
              <w:ind w:left="289"/>
              <w:rPr>
                <w:sz w:val="22"/>
              </w:rPr>
            </w:pPr>
            <w:r>
              <w:rPr>
                <w:sz w:val="22"/>
              </w:rPr>
              <w:t>0,1</w:t>
            </w:r>
          </w:p>
        </w:tc>
        <w:tc>
          <w:tcPr>
            <w:tcW w:w="849" w:type="dxa"/>
          </w:tcPr>
          <w:p>
            <w:pPr>
              <w:pStyle w:val="TableParagraph"/>
              <w:spacing w:line="234" w:lineRule="exact"/>
              <w:ind w:left="156" w:right="147"/>
              <w:jc w:val="center"/>
              <w:rPr>
                <w:sz w:val="22"/>
              </w:rPr>
            </w:pPr>
            <w:r>
              <w:rPr>
                <w:sz w:val="22"/>
              </w:rPr>
              <w:t>0,2</w:t>
            </w:r>
          </w:p>
        </w:tc>
      </w:tr>
      <w:tr>
        <w:trPr>
          <w:trHeight w:val="254" w:hRule="atLeast"/>
        </w:trPr>
        <w:tc>
          <w:tcPr>
            <w:tcW w:w="2564" w:type="dxa"/>
          </w:tcPr>
          <w:p>
            <w:pPr>
              <w:pStyle w:val="TableParagraph"/>
              <w:spacing w:line="235" w:lineRule="exact"/>
              <w:ind w:left="110"/>
              <w:rPr>
                <w:sz w:val="22"/>
              </w:rPr>
            </w:pPr>
            <w:r>
              <w:rPr>
                <w:sz w:val="22"/>
              </w:rPr>
              <w:t>Мускат Голодриги</w:t>
            </w:r>
          </w:p>
        </w:tc>
        <w:tc>
          <w:tcPr>
            <w:tcW w:w="1133" w:type="dxa"/>
          </w:tcPr>
          <w:p>
            <w:pPr>
              <w:pStyle w:val="TableParagraph"/>
              <w:spacing w:line="235" w:lineRule="exact"/>
              <w:ind w:left="374"/>
              <w:rPr>
                <w:sz w:val="22"/>
              </w:rPr>
            </w:pPr>
            <w:r>
              <w:rPr>
                <w:sz w:val="22"/>
              </w:rPr>
              <w:t>26,8</w:t>
            </w:r>
          </w:p>
        </w:tc>
        <w:tc>
          <w:tcPr>
            <w:tcW w:w="850" w:type="dxa"/>
          </w:tcPr>
          <w:p>
            <w:pPr>
              <w:pStyle w:val="TableParagraph"/>
              <w:spacing w:line="235" w:lineRule="exact"/>
              <w:ind w:right="213"/>
              <w:jc w:val="right"/>
              <w:rPr>
                <w:sz w:val="22"/>
              </w:rPr>
            </w:pPr>
            <w:r>
              <w:rPr>
                <w:sz w:val="22"/>
              </w:rPr>
              <w:t>1,25</w:t>
            </w:r>
          </w:p>
        </w:tc>
        <w:tc>
          <w:tcPr>
            <w:tcW w:w="1133" w:type="dxa"/>
          </w:tcPr>
          <w:p>
            <w:pPr>
              <w:pStyle w:val="TableParagraph"/>
              <w:spacing w:line="235" w:lineRule="exact"/>
              <w:ind w:left="136" w:right="117"/>
              <w:jc w:val="center"/>
              <w:rPr>
                <w:sz w:val="22"/>
              </w:rPr>
            </w:pPr>
            <w:r>
              <w:rPr>
                <w:sz w:val="22"/>
              </w:rPr>
              <w:t>26,25</w:t>
            </w:r>
          </w:p>
        </w:tc>
        <w:tc>
          <w:tcPr>
            <w:tcW w:w="854" w:type="dxa"/>
          </w:tcPr>
          <w:p>
            <w:pPr>
              <w:pStyle w:val="TableParagraph"/>
              <w:spacing w:line="235" w:lineRule="exact"/>
              <w:ind w:left="160" w:right="144"/>
              <w:jc w:val="center"/>
              <w:rPr>
                <w:sz w:val="22"/>
              </w:rPr>
            </w:pPr>
            <w:r>
              <w:rPr>
                <w:sz w:val="22"/>
              </w:rPr>
              <w:t>0,05</w:t>
            </w:r>
          </w:p>
        </w:tc>
        <w:tc>
          <w:tcPr>
            <w:tcW w:w="989" w:type="dxa"/>
          </w:tcPr>
          <w:p>
            <w:pPr>
              <w:pStyle w:val="TableParagraph"/>
              <w:spacing w:line="235" w:lineRule="exact"/>
              <w:ind w:left="9"/>
              <w:jc w:val="center"/>
              <w:rPr>
                <w:sz w:val="22"/>
              </w:rPr>
            </w:pPr>
            <w:r>
              <w:rPr>
                <w:w w:val="100"/>
                <w:sz w:val="22"/>
              </w:rPr>
              <w:t>-</w:t>
            </w:r>
          </w:p>
        </w:tc>
        <w:tc>
          <w:tcPr>
            <w:tcW w:w="854" w:type="dxa"/>
          </w:tcPr>
          <w:p>
            <w:pPr>
              <w:pStyle w:val="TableParagraph"/>
              <w:spacing w:line="235" w:lineRule="exact"/>
              <w:ind w:left="289"/>
              <w:rPr>
                <w:sz w:val="22"/>
              </w:rPr>
            </w:pPr>
            <w:r>
              <w:rPr>
                <w:sz w:val="22"/>
              </w:rPr>
              <w:t>0,5</w:t>
            </w:r>
          </w:p>
        </w:tc>
        <w:tc>
          <w:tcPr>
            <w:tcW w:w="849" w:type="dxa"/>
          </w:tcPr>
          <w:p>
            <w:pPr>
              <w:pStyle w:val="TableParagraph"/>
              <w:spacing w:line="235"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Мускат жемчужний</w:t>
            </w:r>
          </w:p>
        </w:tc>
        <w:tc>
          <w:tcPr>
            <w:tcW w:w="1133" w:type="dxa"/>
          </w:tcPr>
          <w:p>
            <w:pPr>
              <w:pStyle w:val="TableParagraph"/>
              <w:spacing w:line="234" w:lineRule="exact"/>
              <w:ind w:right="300"/>
              <w:jc w:val="right"/>
              <w:rPr>
                <w:sz w:val="22"/>
              </w:rPr>
            </w:pPr>
            <w:r>
              <w:rPr>
                <w:sz w:val="22"/>
              </w:rPr>
              <w:t>18,33</w:t>
            </w:r>
          </w:p>
        </w:tc>
        <w:tc>
          <w:tcPr>
            <w:tcW w:w="850" w:type="dxa"/>
          </w:tcPr>
          <w:p>
            <w:pPr>
              <w:pStyle w:val="TableParagraph"/>
              <w:spacing w:line="234" w:lineRule="exact"/>
              <w:ind w:right="213"/>
              <w:jc w:val="right"/>
              <w:rPr>
                <w:sz w:val="22"/>
              </w:rPr>
            </w:pPr>
            <w:r>
              <w:rPr>
                <w:sz w:val="22"/>
              </w:rPr>
              <w:t>0,86</w:t>
            </w:r>
          </w:p>
        </w:tc>
        <w:tc>
          <w:tcPr>
            <w:tcW w:w="1133" w:type="dxa"/>
          </w:tcPr>
          <w:p>
            <w:pPr>
              <w:pStyle w:val="TableParagraph"/>
              <w:spacing w:line="234" w:lineRule="exact"/>
              <w:ind w:left="136" w:right="121"/>
              <w:jc w:val="center"/>
              <w:rPr>
                <w:sz w:val="22"/>
              </w:rPr>
            </w:pPr>
            <w:r>
              <w:rPr>
                <w:sz w:val="22"/>
              </w:rPr>
              <w:t>17,3</w:t>
            </w:r>
          </w:p>
        </w:tc>
        <w:tc>
          <w:tcPr>
            <w:tcW w:w="854" w:type="dxa"/>
          </w:tcPr>
          <w:p>
            <w:pPr>
              <w:pStyle w:val="TableParagraph"/>
              <w:spacing w:line="234" w:lineRule="exact"/>
              <w:ind w:left="160" w:right="144"/>
              <w:jc w:val="center"/>
              <w:rPr>
                <w:sz w:val="22"/>
              </w:rPr>
            </w:pPr>
            <w:r>
              <w:rPr>
                <w:sz w:val="22"/>
              </w:rPr>
              <w:t>1,03</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3" w:hRule="atLeast"/>
        </w:trPr>
        <w:tc>
          <w:tcPr>
            <w:tcW w:w="2564" w:type="dxa"/>
          </w:tcPr>
          <w:p>
            <w:pPr>
              <w:pStyle w:val="TableParagraph"/>
              <w:spacing w:line="234" w:lineRule="exact"/>
              <w:ind w:left="110"/>
              <w:rPr>
                <w:sz w:val="22"/>
              </w:rPr>
            </w:pPr>
            <w:r>
              <w:rPr>
                <w:sz w:val="22"/>
              </w:rPr>
              <w:t>Мускат янтарний</w:t>
            </w:r>
          </w:p>
        </w:tc>
        <w:tc>
          <w:tcPr>
            <w:tcW w:w="1133" w:type="dxa"/>
          </w:tcPr>
          <w:p>
            <w:pPr>
              <w:pStyle w:val="TableParagraph"/>
              <w:spacing w:line="234" w:lineRule="exact"/>
              <w:ind w:right="300"/>
              <w:jc w:val="right"/>
              <w:rPr>
                <w:sz w:val="22"/>
              </w:rPr>
            </w:pPr>
            <w:r>
              <w:rPr>
                <w:sz w:val="22"/>
              </w:rPr>
              <w:t>89,83</w:t>
            </w:r>
          </w:p>
        </w:tc>
        <w:tc>
          <w:tcPr>
            <w:tcW w:w="850" w:type="dxa"/>
          </w:tcPr>
          <w:p>
            <w:pPr>
              <w:pStyle w:val="TableParagraph"/>
              <w:spacing w:line="234" w:lineRule="exact"/>
              <w:ind w:right="213"/>
              <w:jc w:val="right"/>
              <w:rPr>
                <w:sz w:val="22"/>
              </w:rPr>
            </w:pPr>
            <w:r>
              <w:rPr>
                <w:sz w:val="22"/>
              </w:rPr>
              <w:t>4,20</w:t>
            </w:r>
          </w:p>
        </w:tc>
        <w:tc>
          <w:tcPr>
            <w:tcW w:w="1133" w:type="dxa"/>
          </w:tcPr>
          <w:p>
            <w:pPr>
              <w:pStyle w:val="TableParagraph"/>
              <w:spacing w:line="234" w:lineRule="exact"/>
              <w:ind w:left="136" w:right="117"/>
              <w:jc w:val="center"/>
              <w:rPr>
                <w:sz w:val="22"/>
              </w:rPr>
            </w:pPr>
            <w:r>
              <w:rPr>
                <w:sz w:val="22"/>
              </w:rPr>
              <w:t>89,83</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503" w:hRule="atLeast"/>
        </w:trPr>
        <w:tc>
          <w:tcPr>
            <w:tcW w:w="2564" w:type="dxa"/>
          </w:tcPr>
          <w:p>
            <w:pPr>
              <w:pStyle w:val="TableParagraph"/>
              <w:tabs>
                <w:tab w:pos="1467" w:val="left" w:leader="none"/>
              </w:tabs>
              <w:spacing w:line="244" w:lineRule="exact"/>
              <w:ind w:left="110"/>
              <w:rPr>
                <w:sz w:val="22"/>
              </w:rPr>
            </w:pPr>
            <w:r>
              <w:rPr>
                <w:sz w:val="22"/>
              </w:rPr>
              <w:t>Новий</w:t>
              <w:tab/>
              <w:t>подарунок</w:t>
            </w:r>
          </w:p>
          <w:p>
            <w:pPr>
              <w:pStyle w:val="TableParagraph"/>
              <w:spacing w:line="238" w:lineRule="exact" w:before="1"/>
              <w:ind w:left="110"/>
              <w:rPr>
                <w:sz w:val="22"/>
              </w:rPr>
            </w:pPr>
            <w:r>
              <w:rPr>
                <w:sz w:val="22"/>
              </w:rPr>
              <w:t>Запоріжжю</w:t>
            </w:r>
          </w:p>
        </w:tc>
        <w:tc>
          <w:tcPr>
            <w:tcW w:w="1133" w:type="dxa"/>
          </w:tcPr>
          <w:p>
            <w:pPr>
              <w:pStyle w:val="TableParagraph"/>
              <w:spacing w:before="121"/>
              <w:ind w:right="300"/>
              <w:jc w:val="right"/>
              <w:rPr>
                <w:sz w:val="22"/>
              </w:rPr>
            </w:pPr>
            <w:r>
              <w:rPr>
                <w:sz w:val="22"/>
              </w:rPr>
              <w:t>10,75</w:t>
            </w:r>
          </w:p>
        </w:tc>
        <w:tc>
          <w:tcPr>
            <w:tcW w:w="850" w:type="dxa"/>
          </w:tcPr>
          <w:p>
            <w:pPr>
              <w:pStyle w:val="TableParagraph"/>
              <w:spacing w:before="121"/>
              <w:ind w:right="213"/>
              <w:jc w:val="right"/>
              <w:rPr>
                <w:sz w:val="22"/>
              </w:rPr>
            </w:pPr>
            <w:r>
              <w:rPr>
                <w:sz w:val="22"/>
              </w:rPr>
              <w:t>0,50</w:t>
            </w:r>
          </w:p>
        </w:tc>
        <w:tc>
          <w:tcPr>
            <w:tcW w:w="1133" w:type="dxa"/>
          </w:tcPr>
          <w:p>
            <w:pPr>
              <w:pStyle w:val="TableParagraph"/>
              <w:spacing w:before="121"/>
              <w:ind w:left="136" w:right="117"/>
              <w:jc w:val="center"/>
              <w:rPr>
                <w:sz w:val="22"/>
              </w:rPr>
            </w:pPr>
            <w:r>
              <w:rPr>
                <w:sz w:val="22"/>
              </w:rPr>
              <w:t>10,75</w:t>
            </w:r>
          </w:p>
        </w:tc>
        <w:tc>
          <w:tcPr>
            <w:tcW w:w="854" w:type="dxa"/>
          </w:tcPr>
          <w:p>
            <w:pPr>
              <w:pStyle w:val="TableParagraph"/>
              <w:spacing w:before="121"/>
              <w:ind w:left="8"/>
              <w:jc w:val="center"/>
              <w:rPr>
                <w:sz w:val="22"/>
              </w:rPr>
            </w:pPr>
            <w:r>
              <w:rPr>
                <w:w w:val="100"/>
                <w:sz w:val="22"/>
              </w:rPr>
              <w:t>-</w:t>
            </w:r>
          </w:p>
        </w:tc>
        <w:tc>
          <w:tcPr>
            <w:tcW w:w="989" w:type="dxa"/>
          </w:tcPr>
          <w:p>
            <w:pPr>
              <w:pStyle w:val="TableParagraph"/>
              <w:spacing w:before="121"/>
              <w:ind w:left="9"/>
              <w:jc w:val="center"/>
              <w:rPr>
                <w:sz w:val="22"/>
              </w:rPr>
            </w:pPr>
            <w:r>
              <w:rPr>
                <w:w w:val="100"/>
                <w:sz w:val="22"/>
              </w:rPr>
              <w:t>-</w:t>
            </w:r>
          </w:p>
        </w:tc>
        <w:tc>
          <w:tcPr>
            <w:tcW w:w="854" w:type="dxa"/>
          </w:tcPr>
          <w:p>
            <w:pPr>
              <w:pStyle w:val="TableParagraph"/>
              <w:spacing w:before="121"/>
              <w:ind w:left="9"/>
              <w:jc w:val="center"/>
              <w:rPr>
                <w:sz w:val="22"/>
              </w:rPr>
            </w:pPr>
            <w:r>
              <w:rPr>
                <w:w w:val="100"/>
                <w:sz w:val="22"/>
              </w:rPr>
              <w:t>-</w:t>
            </w:r>
          </w:p>
        </w:tc>
        <w:tc>
          <w:tcPr>
            <w:tcW w:w="849" w:type="dxa"/>
          </w:tcPr>
          <w:p>
            <w:pPr>
              <w:pStyle w:val="TableParagraph"/>
              <w:spacing w:before="121"/>
              <w:ind w:left="6"/>
              <w:jc w:val="center"/>
              <w:rPr>
                <w:sz w:val="22"/>
              </w:rPr>
            </w:pPr>
            <w:r>
              <w:rPr>
                <w:w w:val="100"/>
                <w:sz w:val="22"/>
              </w:rPr>
              <w:t>-</w:t>
            </w:r>
          </w:p>
        </w:tc>
      </w:tr>
      <w:tr>
        <w:trPr>
          <w:trHeight w:val="253" w:hRule="atLeast"/>
        </w:trPr>
        <w:tc>
          <w:tcPr>
            <w:tcW w:w="2564" w:type="dxa"/>
          </w:tcPr>
          <w:p>
            <w:pPr>
              <w:pStyle w:val="TableParagraph"/>
              <w:spacing w:line="234" w:lineRule="exact"/>
              <w:ind w:left="110"/>
              <w:rPr>
                <w:sz w:val="22"/>
              </w:rPr>
            </w:pPr>
            <w:r>
              <w:rPr>
                <w:sz w:val="22"/>
              </w:rPr>
              <w:t>Одеський сувенір</w:t>
            </w:r>
          </w:p>
        </w:tc>
        <w:tc>
          <w:tcPr>
            <w:tcW w:w="1133" w:type="dxa"/>
          </w:tcPr>
          <w:p>
            <w:pPr>
              <w:pStyle w:val="TableParagraph"/>
              <w:spacing w:line="234" w:lineRule="exact"/>
              <w:ind w:right="247"/>
              <w:jc w:val="right"/>
              <w:rPr>
                <w:sz w:val="22"/>
              </w:rPr>
            </w:pPr>
            <w:r>
              <w:rPr>
                <w:sz w:val="22"/>
              </w:rPr>
              <w:t>110,69</w:t>
            </w:r>
          </w:p>
        </w:tc>
        <w:tc>
          <w:tcPr>
            <w:tcW w:w="850" w:type="dxa"/>
          </w:tcPr>
          <w:p>
            <w:pPr>
              <w:pStyle w:val="TableParagraph"/>
              <w:spacing w:line="234" w:lineRule="exact"/>
              <w:ind w:right="213"/>
              <w:jc w:val="right"/>
              <w:rPr>
                <w:sz w:val="22"/>
              </w:rPr>
            </w:pPr>
            <w:r>
              <w:rPr>
                <w:sz w:val="22"/>
              </w:rPr>
              <w:t>5,18</w:t>
            </w:r>
          </w:p>
        </w:tc>
        <w:tc>
          <w:tcPr>
            <w:tcW w:w="1133" w:type="dxa"/>
          </w:tcPr>
          <w:p>
            <w:pPr>
              <w:pStyle w:val="TableParagraph"/>
              <w:spacing w:line="234" w:lineRule="exact"/>
              <w:ind w:left="136" w:right="121"/>
              <w:jc w:val="center"/>
              <w:rPr>
                <w:sz w:val="22"/>
              </w:rPr>
            </w:pPr>
            <w:r>
              <w:rPr>
                <w:sz w:val="22"/>
              </w:rPr>
              <w:t>107,65</w:t>
            </w:r>
          </w:p>
        </w:tc>
        <w:tc>
          <w:tcPr>
            <w:tcW w:w="854" w:type="dxa"/>
          </w:tcPr>
          <w:p>
            <w:pPr>
              <w:pStyle w:val="TableParagraph"/>
              <w:spacing w:line="234" w:lineRule="exact"/>
              <w:ind w:left="160" w:right="144"/>
              <w:jc w:val="center"/>
              <w:rPr>
                <w:sz w:val="22"/>
              </w:rPr>
            </w:pPr>
            <w:r>
              <w:rPr>
                <w:sz w:val="22"/>
              </w:rPr>
              <w:t>0,04</w:t>
            </w:r>
          </w:p>
        </w:tc>
        <w:tc>
          <w:tcPr>
            <w:tcW w:w="989" w:type="dxa"/>
          </w:tcPr>
          <w:p>
            <w:pPr>
              <w:pStyle w:val="TableParagraph"/>
              <w:spacing w:line="234" w:lineRule="exact"/>
              <w:ind w:left="113" w:right="101"/>
              <w:jc w:val="center"/>
              <w:rPr>
                <w:sz w:val="22"/>
              </w:rPr>
            </w:pPr>
            <w:r>
              <w:rPr>
                <w:sz w:val="22"/>
              </w:rPr>
              <w:t>3,0</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Оригінал</w:t>
            </w:r>
          </w:p>
        </w:tc>
        <w:tc>
          <w:tcPr>
            <w:tcW w:w="1133" w:type="dxa"/>
          </w:tcPr>
          <w:p>
            <w:pPr>
              <w:pStyle w:val="TableParagraph"/>
              <w:spacing w:line="234" w:lineRule="exact"/>
              <w:ind w:right="300"/>
              <w:jc w:val="right"/>
              <w:rPr>
                <w:sz w:val="22"/>
              </w:rPr>
            </w:pPr>
            <w:r>
              <w:rPr>
                <w:sz w:val="22"/>
              </w:rPr>
              <w:t>22,16</w:t>
            </w:r>
          </w:p>
        </w:tc>
        <w:tc>
          <w:tcPr>
            <w:tcW w:w="850" w:type="dxa"/>
          </w:tcPr>
          <w:p>
            <w:pPr>
              <w:pStyle w:val="TableParagraph"/>
              <w:spacing w:line="234" w:lineRule="exact"/>
              <w:ind w:right="213"/>
              <w:jc w:val="right"/>
              <w:rPr>
                <w:sz w:val="22"/>
              </w:rPr>
            </w:pPr>
            <w:r>
              <w:rPr>
                <w:sz w:val="22"/>
              </w:rPr>
              <w:t>1,04</w:t>
            </w:r>
          </w:p>
        </w:tc>
        <w:tc>
          <w:tcPr>
            <w:tcW w:w="1133" w:type="dxa"/>
          </w:tcPr>
          <w:p>
            <w:pPr>
              <w:pStyle w:val="TableParagraph"/>
              <w:spacing w:line="234" w:lineRule="exact"/>
              <w:ind w:left="136" w:right="117"/>
              <w:jc w:val="center"/>
              <w:rPr>
                <w:sz w:val="22"/>
              </w:rPr>
            </w:pPr>
            <w:r>
              <w:rPr>
                <w:sz w:val="22"/>
              </w:rPr>
              <w:t>22,11</w:t>
            </w:r>
          </w:p>
        </w:tc>
        <w:tc>
          <w:tcPr>
            <w:tcW w:w="854" w:type="dxa"/>
          </w:tcPr>
          <w:p>
            <w:pPr>
              <w:pStyle w:val="TableParagraph"/>
              <w:spacing w:line="234" w:lineRule="exact"/>
              <w:ind w:left="160" w:right="144"/>
              <w:jc w:val="center"/>
              <w:rPr>
                <w:sz w:val="22"/>
              </w:rPr>
            </w:pPr>
            <w:r>
              <w:rPr>
                <w:sz w:val="22"/>
              </w:rPr>
              <w:t>0,05</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49" w:hRule="atLeast"/>
        </w:trPr>
        <w:tc>
          <w:tcPr>
            <w:tcW w:w="2564" w:type="dxa"/>
          </w:tcPr>
          <w:p>
            <w:pPr>
              <w:pStyle w:val="TableParagraph"/>
              <w:spacing w:line="230" w:lineRule="exact"/>
              <w:ind w:left="110"/>
              <w:rPr>
                <w:sz w:val="22"/>
              </w:rPr>
            </w:pPr>
            <w:r>
              <w:rPr>
                <w:sz w:val="22"/>
              </w:rPr>
              <w:t>Плевен</w:t>
            </w:r>
          </w:p>
        </w:tc>
        <w:tc>
          <w:tcPr>
            <w:tcW w:w="1133" w:type="dxa"/>
          </w:tcPr>
          <w:p>
            <w:pPr>
              <w:pStyle w:val="TableParagraph"/>
              <w:spacing w:line="230" w:lineRule="exact"/>
              <w:ind w:left="374"/>
              <w:rPr>
                <w:sz w:val="22"/>
              </w:rPr>
            </w:pPr>
            <w:r>
              <w:rPr>
                <w:sz w:val="22"/>
              </w:rPr>
              <w:t>8,98</w:t>
            </w:r>
          </w:p>
        </w:tc>
        <w:tc>
          <w:tcPr>
            <w:tcW w:w="850" w:type="dxa"/>
          </w:tcPr>
          <w:p>
            <w:pPr>
              <w:pStyle w:val="TableParagraph"/>
              <w:spacing w:line="230" w:lineRule="exact"/>
              <w:ind w:right="213"/>
              <w:jc w:val="right"/>
              <w:rPr>
                <w:sz w:val="22"/>
              </w:rPr>
            </w:pPr>
            <w:r>
              <w:rPr>
                <w:sz w:val="22"/>
              </w:rPr>
              <w:t>0,42</w:t>
            </w:r>
          </w:p>
        </w:tc>
        <w:tc>
          <w:tcPr>
            <w:tcW w:w="1133" w:type="dxa"/>
          </w:tcPr>
          <w:p>
            <w:pPr>
              <w:pStyle w:val="TableParagraph"/>
              <w:spacing w:line="230" w:lineRule="exact"/>
              <w:ind w:left="136" w:right="121"/>
              <w:jc w:val="center"/>
              <w:rPr>
                <w:sz w:val="22"/>
              </w:rPr>
            </w:pPr>
            <w:r>
              <w:rPr>
                <w:sz w:val="22"/>
              </w:rPr>
              <w:t>5,48</w:t>
            </w:r>
          </w:p>
        </w:tc>
        <w:tc>
          <w:tcPr>
            <w:tcW w:w="854" w:type="dxa"/>
          </w:tcPr>
          <w:p>
            <w:pPr>
              <w:pStyle w:val="TableParagraph"/>
              <w:rPr>
                <w:sz w:val="18"/>
              </w:rPr>
            </w:pPr>
          </w:p>
        </w:tc>
        <w:tc>
          <w:tcPr>
            <w:tcW w:w="989" w:type="dxa"/>
          </w:tcPr>
          <w:p>
            <w:pPr>
              <w:pStyle w:val="TableParagraph"/>
              <w:spacing w:line="230" w:lineRule="exact"/>
              <w:ind w:left="113" w:right="101"/>
              <w:jc w:val="center"/>
              <w:rPr>
                <w:sz w:val="22"/>
              </w:rPr>
            </w:pPr>
            <w:r>
              <w:rPr>
                <w:sz w:val="22"/>
              </w:rPr>
              <w:t>0,5</w:t>
            </w:r>
          </w:p>
        </w:tc>
        <w:tc>
          <w:tcPr>
            <w:tcW w:w="854" w:type="dxa"/>
          </w:tcPr>
          <w:p>
            <w:pPr>
              <w:pStyle w:val="TableParagraph"/>
              <w:rPr>
                <w:sz w:val="18"/>
              </w:rPr>
            </w:pPr>
          </w:p>
        </w:tc>
        <w:tc>
          <w:tcPr>
            <w:tcW w:w="849" w:type="dxa"/>
          </w:tcPr>
          <w:p>
            <w:pPr>
              <w:pStyle w:val="TableParagraph"/>
              <w:spacing w:line="230" w:lineRule="exact"/>
              <w:ind w:left="156" w:right="147"/>
              <w:jc w:val="center"/>
              <w:rPr>
                <w:sz w:val="22"/>
              </w:rPr>
            </w:pPr>
            <w:r>
              <w:rPr>
                <w:sz w:val="22"/>
              </w:rPr>
              <w:t>3,0</w:t>
            </w:r>
          </w:p>
        </w:tc>
      </w:tr>
      <w:tr>
        <w:trPr>
          <w:trHeight w:val="254" w:hRule="atLeast"/>
        </w:trPr>
        <w:tc>
          <w:tcPr>
            <w:tcW w:w="2564" w:type="dxa"/>
          </w:tcPr>
          <w:p>
            <w:pPr>
              <w:pStyle w:val="TableParagraph"/>
              <w:spacing w:line="234" w:lineRule="exact"/>
              <w:ind w:left="110"/>
              <w:rPr>
                <w:sz w:val="22"/>
              </w:rPr>
            </w:pPr>
            <w:r>
              <w:rPr>
                <w:sz w:val="22"/>
              </w:rPr>
              <w:t>Подарок Запоріжжя</w:t>
            </w:r>
          </w:p>
        </w:tc>
        <w:tc>
          <w:tcPr>
            <w:tcW w:w="1133" w:type="dxa"/>
          </w:tcPr>
          <w:p>
            <w:pPr>
              <w:pStyle w:val="TableParagraph"/>
              <w:spacing w:line="234" w:lineRule="exact"/>
              <w:ind w:right="300"/>
              <w:jc w:val="right"/>
              <w:rPr>
                <w:sz w:val="22"/>
              </w:rPr>
            </w:pPr>
            <w:r>
              <w:rPr>
                <w:sz w:val="22"/>
              </w:rPr>
              <w:t>29,74</w:t>
            </w:r>
          </w:p>
        </w:tc>
        <w:tc>
          <w:tcPr>
            <w:tcW w:w="850" w:type="dxa"/>
          </w:tcPr>
          <w:p>
            <w:pPr>
              <w:pStyle w:val="TableParagraph"/>
              <w:spacing w:line="234" w:lineRule="exact"/>
              <w:ind w:right="213"/>
              <w:jc w:val="right"/>
              <w:rPr>
                <w:sz w:val="22"/>
              </w:rPr>
            </w:pPr>
            <w:r>
              <w:rPr>
                <w:sz w:val="22"/>
              </w:rPr>
              <w:t>1,39</w:t>
            </w:r>
          </w:p>
        </w:tc>
        <w:tc>
          <w:tcPr>
            <w:tcW w:w="1133" w:type="dxa"/>
          </w:tcPr>
          <w:p>
            <w:pPr>
              <w:pStyle w:val="TableParagraph"/>
              <w:spacing w:line="234" w:lineRule="exact"/>
              <w:ind w:left="136" w:right="117"/>
              <w:jc w:val="center"/>
              <w:rPr>
                <w:sz w:val="22"/>
              </w:rPr>
            </w:pPr>
            <w:r>
              <w:rPr>
                <w:sz w:val="22"/>
              </w:rPr>
              <w:t>11,68</w:t>
            </w:r>
          </w:p>
        </w:tc>
        <w:tc>
          <w:tcPr>
            <w:tcW w:w="854" w:type="dxa"/>
          </w:tcPr>
          <w:p>
            <w:pPr>
              <w:pStyle w:val="TableParagraph"/>
              <w:spacing w:line="234" w:lineRule="exact"/>
              <w:ind w:left="160" w:right="144"/>
              <w:jc w:val="center"/>
              <w:rPr>
                <w:sz w:val="22"/>
              </w:rPr>
            </w:pPr>
            <w:r>
              <w:rPr>
                <w:sz w:val="22"/>
              </w:rPr>
              <w:t>0,03</w:t>
            </w:r>
          </w:p>
        </w:tc>
        <w:tc>
          <w:tcPr>
            <w:tcW w:w="989" w:type="dxa"/>
          </w:tcPr>
          <w:p>
            <w:pPr>
              <w:pStyle w:val="TableParagraph"/>
              <w:spacing w:line="234" w:lineRule="exact"/>
              <w:ind w:left="113" w:right="101"/>
              <w:jc w:val="center"/>
              <w:rPr>
                <w:sz w:val="22"/>
              </w:rPr>
            </w:pPr>
            <w:r>
              <w:rPr>
                <w:sz w:val="22"/>
              </w:rPr>
              <w:t>8,3</w:t>
            </w:r>
          </w:p>
        </w:tc>
        <w:tc>
          <w:tcPr>
            <w:tcW w:w="854" w:type="dxa"/>
          </w:tcPr>
          <w:p>
            <w:pPr>
              <w:pStyle w:val="TableParagraph"/>
              <w:rPr>
                <w:sz w:val="18"/>
              </w:rPr>
            </w:pPr>
          </w:p>
        </w:tc>
        <w:tc>
          <w:tcPr>
            <w:tcW w:w="849" w:type="dxa"/>
          </w:tcPr>
          <w:p>
            <w:pPr>
              <w:pStyle w:val="TableParagraph"/>
              <w:spacing w:line="234" w:lineRule="exact"/>
              <w:ind w:left="156" w:right="142"/>
              <w:jc w:val="center"/>
              <w:rPr>
                <w:sz w:val="22"/>
              </w:rPr>
            </w:pPr>
            <w:r>
              <w:rPr>
                <w:sz w:val="22"/>
              </w:rPr>
              <w:t>9,73</w:t>
            </w:r>
          </w:p>
        </w:tc>
      </w:tr>
      <w:tr>
        <w:trPr>
          <w:trHeight w:val="254" w:hRule="atLeast"/>
        </w:trPr>
        <w:tc>
          <w:tcPr>
            <w:tcW w:w="2564" w:type="dxa"/>
          </w:tcPr>
          <w:p>
            <w:pPr>
              <w:pStyle w:val="TableParagraph"/>
              <w:spacing w:line="234" w:lineRule="exact"/>
              <w:ind w:left="110"/>
              <w:rPr>
                <w:sz w:val="22"/>
              </w:rPr>
            </w:pPr>
            <w:r>
              <w:rPr>
                <w:sz w:val="22"/>
              </w:rPr>
              <w:t>Преображение</w:t>
            </w:r>
          </w:p>
        </w:tc>
        <w:tc>
          <w:tcPr>
            <w:tcW w:w="1133" w:type="dxa"/>
          </w:tcPr>
          <w:p>
            <w:pPr>
              <w:pStyle w:val="TableParagraph"/>
              <w:spacing w:line="234" w:lineRule="exact"/>
              <w:ind w:left="374"/>
              <w:rPr>
                <w:sz w:val="22"/>
              </w:rPr>
            </w:pPr>
            <w:r>
              <w:rPr>
                <w:sz w:val="22"/>
              </w:rPr>
              <w:t>0,45</w:t>
            </w:r>
          </w:p>
        </w:tc>
        <w:tc>
          <w:tcPr>
            <w:tcW w:w="850" w:type="dxa"/>
          </w:tcPr>
          <w:p>
            <w:pPr>
              <w:pStyle w:val="TableParagraph"/>
              <w:spacing w:line="234" w:lineRule="exact"/>
              <w:ind w:right="213"/>
              <w:jc w:val="right"/>
              <w:rPr>
                <w:sz w:val="22"/>
              </w:rPr>
            </w:pPr>
            <w:r>
              <w:rPr>
                <w:sz w:val="22"/>
              </w:rPr>
              <w:t>0,02</w:t>
            </w:r>
          </w:p>
        </w:tc>
        <w:tc>
          <w:tcPr>
            <w:tcW w:w="1133" w:type="dxa"/>
          </w:tcPr>
          <w:p>
            <w:pPr>
              <w:pStyle w:val="TableParagraph"/>
              <w:spacing w:line="234" w:lineRule="exact"/>
              <w:ind w:left="16"/>
              <w:jc w:val="center"/>
              <w:rPr>
                <w:sz w:val="22"/>
              </w:rPr>
            </w:pPr>
            <w:r>
              <w:rPr>
                <w:w w:val="100"/>
                <w:sz w:val="22"/>
              </w:rPr>
              <w:t>-</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156" w:right="142"/>
              <w:jc w:val="center"/>
              <w:rPr>
                <w:sz w:val="22"/>
              </w:rPr>
            </w:pPr>
            <w:r>
              <w:rPr>
                <w:sz w:val="22"/>
              </w:rPr>
              <w:t>0,45</w:t>
            </w:r>
          </w:p>
        </w:tc>
      </w:tr>
      <w:tr>
        <w:trPr>
          <w:trHeight w:val="253" w:hRule="atLeast"/>
        </w:trPr>
        <w:tc>
          <w:tcPr>
            <w:tcW w:w="2564" w:type="dxa"/>
          </w:tcPr>
          <w:p>
            <w:pPr>
              <w:pStyle w:val="TableParagraph"/>
              <w:spacing w:line="234" w:lineRule="exact"/>
              <w:ind w:left="110"/>
              <w:rPr>
                <w:sz w:val="22"/>
              </w:rPr>
            </w:pPr>
            <w:r>
              <w:rPr>
                <w:sz w:val="22"/>
              </w:rPr>
              <w:t>Ранній Магарача</w:t>
            </w:r>
          </w:p>
        </w:tc>
        <w:tc>
          <w:tcPr>
            <w:tcW w:w="1133" w:type="dxa"/>
          </w:tcPr>
          <w:p>
            <w:pPr>
              <w:pStyle w:val="TableParagraph"/>
              <w:spacing w:line="234" w:lineRule="exact"/>
              <w:ind w:right="300"/>
              <w:jc w:val="right"/>
              <w:rPr>
                <w:sz w:val="22"/>
              </w:rPr>
            </w:pPr>
            <w:r>
              <w:rPr>
                <w:sz w:val="22"/>
              </w:rPr>
              <w:t>39,17</w:t>
            </w:r>
          </w:p>
        </w:tc>
        <w:tc>
          <w:tcPr>
            <w:tcW w:w="850" w:type="dxa"/>
          </w:tcPr>
          <w:p>
            <w:pPr>
              <w:pStyle w:val="TableParagraph"/>
              <w:spacing w:line="234" w:lineRule="exact"/>
              <w:ind w:right="213"/>
              <w:jc w:val="right"/>
              <w:rPr>
                <w:sz w:val="22"/>
              </w:rPr>
            </w:pPr>
            <w:r>
              <w:rPr>
                <w:sz w:val="22"/>
              </w:rPr>
              <w:t>1,83</w:t>
            </w:r>
          </w:p>
        </w:tc>
        <w:tc>
          <w:tcPr>
            <w:tcW w:w="1133" w:type="dxa"/>
          </w:tcPr>
          <w:p>
            <w:pPr>
              <w:pStyle w:val="TableParagraph"/>
              <w:spacing w:line="234" w:lineRule="exact"/>
              <w:ind w:left="136" w:right="117"/>
              <w:jc w:val="center"/>
              <w:rPr>
                <w:sz w:val="22"/>
              </w:rPr>
            </w:pPr>
            <w:r>
              <w:rPr>
                <w:sz w:val="22"/>
              </w:rPr>
              <w:t>39,17</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Спорт-2</w:t>
            </w:r>
          </w:p>
        </w:tc>
        <w:tc>
          <w:tcPr>
            <w:tcW w:w="1133" w:type="dxa"/>
          </w:tcPr>
          <w:p>
            <w:pPr>
              <w:pStyle w:val="TableParagraph"/>
              <w:spacing w:line="234" w:lineRule="exact"/>
              <w:ind w:left="130" w:right="121"/>
              <w:jc w:val="center"/>
              <w:rPr>
                <w:sz w:val="22"/>
              </w:rPr>
            </w:pPr>
            <w:r>
              <w:rPr>
                <w:sz w:val="22"/>
              </w:rPr>
              <w:t>11</w:t>
            </w:r>
          </w:p>
        </w:tc>
        <w:tc>
          <w:tcPr>
            <w:tcW w:w="850" w:type="dxa"/>
          </w:tcPr>
          <w:p>
            <w:pPr>
              <w:pStyle w:val="TableParagraph"/>
              <w:spacing w:line="234" w:lineRule="exact"/>
              <w:ind w:right="213"/>
              <w:jc w:val="right"/>
              <w:rPr>
                <w:sz w:val="22"/>
              </w:rPr>
            </w:pPr>
            <w:r>
              <w:rPr>
                <w:sz w:val="22"/>
              </w:rPr>
              <w:t>0,51</w:t>
            </w:r>
          </w:p>
        </w:tc>
        <w:tc>
          <w:tcPr>
            <w:tcW w:w="1133" w:type="dxa"/>
          </w:tcPr>
          <w:p>
            <w:pPr>
              <w:pStyle w:val="TableParagraph"/>
              <w:spacing w:line="234" w:lineRule="exact"/>
              <w:ind w:left="136" w:right="121"/>
              <w:jc w:val="center"/>
              <w:rPr>
                <w:sz w:val="22"/>
              </w:rPr>
            </w:pPr>
            <w:r>
              <w:rPr>
                <w:sz w:val="22"/>
              </w:rPr>
              <w:t>11,0</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49" w:hRule="atLeast"/>
        </w:trPr>
        <w:tc>
          <w:tcPr>
            <w:tcW w:w="2564" w:type="dxa"/>
          </w:tcPr>
          <w:p>
            <w:pPr>
              <w:pStyle w:val="TableParagraph"/>
              <w:spacing w:line="229" w:lineRule="exact"/>
              <w:ind w:left="110"/>
              <w:rPr>
                <w:sz w:val="22"/>
              </w:rPr>
            </w:pPr>
            <w:r>
              <w:rPr>
                <w:sz w:val="22"/>
              </w:rPr>
              <w:t>Страшенський</w:t>
            </w:r>
          </w:p>
        </w:tc>
        <w:tc>
          <w:tcPr>
            <w:tcW w:w="1133" w:type="dxa"/>
          </w:tcPr>
          <w:p>
            <w:pPr>
              <w:pStyle w:val="TableParagraph"/>
              <w:spacing w:line="229" w:lineRule="exact"/>
              <w:ind w:right="300"/>
              <w:jc w:val="right"/>
              <w:rPr>
                <w:sz w:val="22"/>
              </w:rPr>
            </w:pPr>
            <w:r>
              <w:rPr>
                <w:sz w:val="22"/>
              </w:rPr>
              <w:t>15,72</w:t>
            </w:r>
          </w:p>
        </w:tc>
        <w:tc>
          <w:tcPr>
            <w:tcW w:w="850" w:type="dxa"/>
          </w:tcPr>
          <w:p>
            <w:pPr>
              <w:pStyle w:val="TableParagraph"/>
              <w:spacing w:line="229" w:lineRule="exact"/>
              <w:ind w:right="213"/>
              <w:jc w:val="right"/>
              <w:rPr>
                <w:sz w:val="22"/>
              </w:rPr>
            </w:pPr>
            <w:r>
              <w:rPr>
                <w:sz w:val="22"/>
              </w:rPr>
              <w:t>0,74</w:t>
            </w:r>
          </w:p>
        </w:tc>
        <w:tc>
          <w:tcPr>
            <w:tcW w:w="1133" w:type="dxa"/>
          </w:tcPr>
          <w:p>
            <w:pPr>
              <w:pStyle w:val="TableParagraph"/>
              <w:spacing w:line="229" w:lineRule="exact"/>
              <w:ind w:left="136" w:right="121"/>
              <w:jc w:val="center"/>
              <w:rPr>
                <w:sz w:val="22"/>
              </w:rPr>
            </w:pPr>
            <w:r>
              <w:rPr>
                <w:sz w:val="22"/>
              </w:rPr>
              <w:t>3,39</w:t>
            </w:r>
          </w:p>
        </w:tc>
        <w:tc>
          <w:tcPr>
            <w:tcW w:w="854" w:type="dxa"/>
          </w:tcPr>
          <w:p>
            <w:pPr>
              <w:pStyle w:val="TableParagraph"/>
              <w:spacing w:line="229" w:lineRule="exact"/>
              <w:ind w:left="160" w:right="149"/>
              <w:jc w:val="center"/>
              <w:rPr>
                <w:sz w:val="22"/>
              </w:rPr>
            </w:pPr>
            <w:r>
              <w:rPr>
                <w:sz w:val="22"/>
              </w:rPr>
              <w:t>1,5</w:t>
            </w:r>
          </w:p>
        </w:tc>
        <w:tc>
          <w:tcPr>
            <w:tcW w:w="989" w:type="dxa"/>
          </w:tcPr>
          <w:p>
            <w:pPr>
              <w:pStyle w:val="TableParagraph"/>
              <w:spacing w:line="229" w:lineRule="exact"/>
              <w:ind w:left="117" w:right="101"/>
              <w:jc w:val="center"/>
              <w:rPr>
                <w:sz w:val="22"/>
              </w:rPr>
            </w:pPr>
            <w:r>
              <w:rPr>
                <w:sz w:val="22"/>
              </w:rPr>
              <w:t>10,8</w:t>
            </w:r>
          </w:p>
        </w:tc>
        <w:tc>
          <w:tcPr>
            <w:tcW w:w="854" w:type="dxa"/>
          </w:tcPr>
          <w:p>
            <w:pPr>
              <w:pStyle w:val="TableParagraph"/>
              <w:spacing w:line="229" w:lineRule="exact"/>
              <w:ind w:left="9"/>
              <w:jc w:val="center"/>
              <w:rPr>
                <w:sz w:val="22"/>
              </w:rPr>
            </w:pPr>
            <w:r>
              <w:rPr>
                <w:w w:val="100"/>
                <w:sz w:val="22"/>
              </w:rPr>
              <w:t>-</w:t>
            </w:r>
          </w:p>
        </w:tc>
        <w:tc>
          <w:tcPr>
            <w:tcW w:w="849" w:type="dxa"/>
          </w:tcPr>
          <w:p>
            <w:pPr>
              <w:pStyle w:val="TableParagraph"/>
              <w:spacing w:line="229" w:lineRule="exact"/>
              <w:ind w:left="156" w:right="142"/>
              <w:jc w:val="center"/>
              <w:rPr>
                <w:sz w:val="22"/>
              </w:rPr>
            </w:pPr>
            <w:r>
              <w:rPr>
                <w:sz w:val="22"/>
              </w:rPr>
              <w:t>0,03</w:t>
            </w:r>
          </w:p>
        </w:tc>
      </w:tr>
      <w:tr>
        <w:trPr>
          <w:trHeight w:val="254" w:hRule="atLeast"/>
        </w:trPr>
        <w:tc>
          <w:tcPr>
            <w:tcW w:w="2564" w:type="dxa"/>
          </w:tcPr>
          <w:p>
            <w:pPr>
              <w:pStyle w:val="TableParagraph"/>
              <w:spacing w:line="234" w:lineRule="exact"/>
              <w:ind w:left="110"/>
              <w:rPr>
                <w:sz w:val="22"/>
              </w:rPr>
            </w:pPr>
            <w:r>
              <w:rPr>
                <w:sz w:val="22"/>
              </w:rPr>
              <w:t>Сурученський білий</w:t>
            </w:r>
          </w:p>
        </w:tc>
        <w:tc>
          <w:tcPr>
            <w:tcW w:w="1133" w:type="dxa"/>
          </w:tcPr>
          <w:p>
            <w:pPr>
              <w:pStyle w:val="TableParagraph"/>
              <w:spacing w:line="234" w:lineRule="exact"/>
              <w:ind w:right="300"/>
              <w:jc w:val="right"/>
              <w:rPr>
                <w:sz w:val="22"/>
              </w:rPr>
            </w:pPr>
            <w:r>
              <w:rPr>
                <w:sz w:val="22"/>
              </w:rPr>
              <w:t>83,91</w:t>
            </w:r>
          </w:p>
        </w:tc>
        <w:tc>
          <w:tcPr>
            <w:tcW w:w="850" w:type="dxa"/>
          </w:tcPr>
          <w:p>
            <w:pPr>
              <w:pStyle w:val="TableParagraph"/>
              <w:spacing w:line="234" w:lineRule="exact"/>
              <w:ind w:right="213"/>
              <w:jc w:val="right"/>
              <w:rPr>
                <w:sz w:val="22"/>
              </w:rPr>
            </w:pPr>
            <w:r>
              <w:rPr>
                <w:sz w:val="22"/>
              </w:rPr>
              <w:t>3,92</w:t>
            </w:r>
          </w:p>
        </w:tc>
        <w:tc>
          <w:tcPr>
            <w:tcW w:w="1133" w:type="dxa"/>
          </w:tcPr>
          <w:p>
            <w:pPr>
              <w:pStyle w:val="TableParagraph"/>
              <w:spacing w:line="234" w:lineRule="exact"/>
              <w:ind w:left="136" w:right="117"/>
              <w:jc w:val="center"/>
              <w:rPr>
                <w:sz w:val="22"/>
              </w:rPr>
            </w:pPr>
            <w:r>
              <w:rPr>
                <w:sz w:val="22"/>
              </w:rPr>
              <w:t>77,31</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113" w:right="101"/>
              <w:jc w:val="center"/>
              <w:rPr>
                <w:sz w:val="22"/>
              </w:rPr>
            </w:pPr>
            <w:r>
              <w:rPr>
                <w:sz w:val="22"/>
              </w:rPr>
              <w:t>6,6</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Таврія</w:t>
            </w:r>
          </w:p>
        </w:tc>
        <w:tc>
          <w:tcPr>
            <w:tcW w:w="1133" w:type="dxa"/>
          </w:tcPr>
          <w:p>
            <w:pPr>
              <w:pStyle w:val="TableParagraph"/>
              <w:spacing w:line="234" w:lineRule="exact"/>
              <w:ind w:left="374"/>
              <w:rPr>
                <w:sz w:val="22"/>
              </w:rPr>
            </w:pPr>
            <w:r>
              <w:rPr>
                <w:sz w:val="22"/>
              </w:rPr>
              <w:t>8,21</w:t>
            </w:r>
          </w:p>
        </w:tc>
        <w:tc>
          <w:tcPr>
            <w:tcW w:w="850" w:type="dxa"/>
          </w:tcPr>
          <w:p>
            <w:pPr>
              <w:pStyle w:val="TableParagraph"/>
              <w:spacing w:line="234" w:lineRule="exact"/>
              <w:ind w:right="213"/>
              <w:jc w:val="right"/>
              <w:rPr>
                <w:sz w:val="22"/>
              </w:rPr>
            </w:pPr>
            <w:r>
              <w:rPr>
                <w:sz w:val="22"/>
              </w:rPr>
              <w:t>0,38</w:t>
            </w:r>
          </w:p>
        </w:tc>
        <w:tc>
          <w:tcPr>
            <w:tcW w:w="1133" w:type="dxa"/>
          </w:tcPr>
          <w:p>
            <w:pPr>
              <w:pStyle w:val="TableParagraph"/>
              <w:spacing w:line="234" w:lineRule="exact"/>
              <w:ind w:left="136" w:right="121"/>
              <w:jc w:val="center"/>
              <w:rPr>
                <w:sz w:val="22"/>
              </w:rPr>
            </w:pPr>
            <w:r>
              <w:rPr>
                <w:sz w:val="22"/>
              </w:rPr>
              <w:t>8,21</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Таїр</w:t>
            </w:r>
          </w:p>
        </w:tc>
        <w:tc>
          <w:tcPr>
            <w:tcW w:w="1133" w:type="dxa"/>
          </w:tcPr>
          <w:p>
            <w:pPr>
              <w:pStyle w:val="TableParagraph"/>
              <w:spacing w:line="234" w:lineRule="exact"/>
              <w:ind w:left="374"/>
              <w:rPr>
                <w:sz w:val="22"/>
              </w:rPr>
            </w:pPr>
            <w:r>
              <w:rPr>
                <w:sz w:val="22"/>
              </w:rPr>
              <w:t>6,25</w:t>
            </w:r>
          </w:p>
        </w:tc>
        <w:tc>
          <w:tcPr>
            <w:tcW w:w="850" w:type="dxa"/>
          </w:tcPr>
          <w:p>
            <w:pPr>
              <w:pStyle w:val="TableParagraph"/>
              <w:spacing w:line="234" w:lineRule="exact"/>
              <w:ind w:right="213"/>
              <w:jc w:val="right"/>
              <w:rPr>
                <w:sz w:val="22"/>
              </w:rPr>
            </w:pPr>
            <w:r>
              <w:rPr>
                <w:sz w:val="22"/>
              </w:rPr>
              <w:t>0,29</w:t>
            </w:r>
          </w:p>
        </w:tc>
        <w:tc>
          <w:tcPr>
            <w:tcW w:w="1133" w:type="dxa"/>
          </w:tcPr>
          <w:p>
            <w:pPr>
              <w:pStyle w:val="TableParagraph"/>
              <w:spacing w:line="234" w:lineRule="exact"/>
              <w:ind w:left="136" w:right="121"/>
              <w:jc w:val="center"/>
              <w:rPr>
                <w:sz w:val="22"/>
              </w:rPr>
            </w:pPr>
            <w:r>
              <w:rPr>
                <w:sz w:val="22"/>
              </w:rPr>
              <w:t>6,25</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Талісман</w:t>
            </w:r>
          </w:p>
        </w:tc>
        <w:tc>
          <w:tcPr>
            <w:tcW w:w="1133" w:type="dxa"/>
          </w:tcPr>
          <w:p>
            <w:pPr>
              <w:pStyle w:val="TableParagraph"/>
              <w:spacing w:line="234" w:lineRule="exact"/>
              <w:ind w:left="374"/>
              <w:rPr>
                <w:sz w:val="22"/>
              </w:rPr>
            </w:pPr>
            <w:r>
              <w:rPr>
                <w:sz w:val="22"/>
              </w:rPr>
              <w:t>0,45</w:t>
            </w:r>
          </w:p>
        </w:tc>
        <w:tc>
          <w:tcPr>
            <w:tcW w:w="850" w:type="dxa"/>
          </w:tcPr>
          <w:p>
            <w:pPr>
              <w:pStyle w:val="TableParagraph"/>
              <w:spacing w:line="234" w:lineRule="exact"/>
              <w:ind w:right="213"/>
              <w:jc w:val="right"/>
              <w:rPr>
                <w:sz w:val="22"/>
              </w:rPr>
            </w:pPr>
            <w:r>
              <w:rPr>
                <w:sz w:val="22"/>
              </w:rPr>
              <w:t>0,02</w:t>
            </w:r>
          </w:p>
        </w:tc>
        <w:tc>
          <w:tcPr>
            <w:tcW w:w="1133" w:type="dxa"/>
          </w:tcPr>
          <w:p>
            <w:pPr>
              <w:pStyle w:val="TableParagraph"/>
              <w:spacing w:line="234" w:lineRule="exact"/>
              <w:ind w:left="136" w:right="121"/>
              <w:jc w:val="center"/>
              <w:rPr>
                <w:sz w:val="22"/>
              </w:rPr>
            </w:pPr>
            <w:r>
              <w:rPr>
                <w:sz w:val="22"/>
              </w:rPr>
              <w:t>0,45</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49" w:hRule="atLeast"/>
        </w:trPr>
        <w:tc>
          <w:tcPr>
            <w:tcW w:w="2564" w:type="dxa"/>
          </w:tcPr>
          <w:p>
            <w:pPr>
              <w:pStyle w:val="TableParagraph"/>
              <w:spacing w:line="229" w:lineRule="exact"/>
              <w:ind w:left="110"/>
              <w:rPr>
                <w:sz w:val="22"/>
              </w:rPr>
            </w:pPr>
            <w:r>
              <w:rPr>
                <w:sz w:val="22"/>
              </w:rPr>
              <w:t>Флора</w:t>
            </w:r>
          </w:p>
        </w:tc>
        <w:tc>
          <w:tcPr>
            <w:tcW w:w="1133" w:type="dxa"/>
          </w:tcPr>
          <w:p>
            <w:pPr>
              <w:pStyle w:val="TableParagraph"/>
              <w:spacing w:line="229" w:lineRule="exact"/>
              <w:ind w:right="300"/>
              <w:jc w:val="right"/>
              <w:rPr>
                <w:sz w:val="22"/>
              </w:rPr>
            </w:pPr>
            <w:r>
              <w:rPr>
                <w:sz w:val="22"/>
              </w:rPr>
              <w:t>52,35</w:t>
            </w:r>
          </w:p>
        </w:tc>
        <w:tc>
          <w:tcPr>
            <w:tcW w:w="850" w:type="dxa"/>
          </w:tcPr>
          <w:p>
            <w:pPr>
              <w:pStyle w:val="TableParagraph"/>
              <w:spacing w:line="229" w:lineRule="exact"/>
              <w:ind w:right="213"/>
              <w:jc w:val="right"/>
              <w:rPr>
                <w:sz w:val="22"/>
              </w:rPr>
            </w:pPr>
            <w:r>
              <w:rPr>
                <w:sz w:val="22"/>
              </w:rPr>
              <w:t>2,45</w:t>
            </w:r>
          </w:p>
        </w:tc>
        <w:tc>
          <w:tcPr>
            <w:tcW w:w="1133" w:type="dxa"/>
          </w:tcPr>
          <w:p>
            <w:pPr>
              <w:pStyle w:val="TableParagraph"/>
              <w:spacing w:line="229" w:lineRule="exact"/>
              <w:ind w:left="136" w:right="117"/>
              <w:jc w:val="center"/>
              <w:rPr>
                <w:sz w:val="22"/>
              </w:rPr>
            </w:pPr>
            <w:r>
              <w:rPr>
                <w:sz w:val="22"/>
              </w:rPr>
              <w:t>51,85</w:t>
            </w:r>
          </w:p>
        </w:tc>
        <w:tc>
          <w:tcPr>
            <w:tcW w:w="854" w:type="dxa"/>
          </w:tcPr>
          <w:p>
            <w:pPr>
              <w:pStyle w:val="TableParagraph"/>
              <w:spacing w:line="229" w:lineRule="exact"/>
              <w:ind w:left="160" w:right="144"/>
              <w:jc w:val="center"/>
              <w:rPr>
                <w:sz w:val="22"/>
              </w:rPr>
            </w:pPr>
            <w:r>
              <w:rPr>
                <w:sz w:val="22"/>
              </w:rPr>
              <w:t>0,02</w:t>
            </w:r>
          </w:p>
        </w:tc>
        <w:tc>
          <w:tcPr>
            <w:tcW w:w="989" w:type="dxa"/>
          </w:tcPr>
          <w:p>
            <w:pPr>
              <w:pStyle w:val="TableParagraph"/>
              <w:rPr>
                <w:sz w:val="18"/>
              </w:rPr>
            </w:pPr>
          </w:p>
        </w:tc>
        <w:tc>
          <w:tcPr>
            <w:tcW w:w="854" w:type="dxa"/>
          </w:tcPr>
          <w:p>
            <w:pPr>
              <w:pStyle w:val="TableParagraph"/>
              <w:spacing w:line="229" w:lineRule="exact"/>
              <w:ind w:left="236"/>
              <w:rPr>
                <w:sz w:val="22"/>
              </w:rPr>
            </w:pPr>
            <w:r>
              <w:rPr>
                <w:sz w:val="22"/>
              </w:rPr>
              <w:t>0,25</w:t>
            </w:r>
          </w:p>
        </w:tc>
        <w:tc>
          <w:tcPr>
            <w:tcW w:w="849" w:type="dxa"/>
          </w:tcPr>
          <w:p>
            <w:pPr>
              <w:pStyle w:val="TableParagraph"/>
              <w:spacing w:line="229" w:lineRule="exact"/>
              <w:ind w:left="156" w:right="142"/>
              <w:jc w:val="center"/>
              <w:rPr>
                <w:sz w:val="22"/>
              </w:rPr>
            </w:pPr>
            <w:r>
              <w:rPr>
                <w:sz w:val="22"/>
              </w:rPr>
              <w:t>0,23</w:t>
            </w:r>
          </w:p>
        </w:tc>
      </w:tr>
      <w:tr>
        <w:trPr>
          <w:trHeight w:val="253" w:hRule="atLeast"/>
        </w:trPr>
        <w:tc>
          <w:tcPr>
            <w:tcW w:w="2564" w:type="dxa"/>
          </w:tcPr>
          <w:p>
            <w:pPr>
              <w:pStyle w:val="TableParagraph"/>
              <w:spacing w:line="234" w:lineRule="exact"/>
              <w:ind w:left="110"/>
              <w:rPr>
                <w:sz w:val="22"/>
              </w:rPr>
            </w:pPr>
            <w:r>
              <w:rPr>
                <w:sz w:val="22"/>
              </w:rPr>
              <w:t>Цитронний Магарача</w:t>
            </w:r>
          </w:p>
        </w:tc>
        <w:tc>
          <w:tcPr>
            <w:tcW w:w="1133" w:type="dxa"/>
          </w:tcPr>
          <w:p>
            <w:pPr>
              <w:pStyle w:val="TableParagraph"/>
              <w:spacing w:line="234" w:lineRule="exact"/>
              <w:ind w:right="300"/>
              <w:jc w:val="right"/>
              <w:rPr>
                <w:sz w:val="22"/>
              </w:rPr>
            </w:pPr>
            <w:r>
              <w:rPr>
                <w:sz w:val="22"/>
              </w:rPr>
              <w:t>37,77</w:t>
            </w:r>
          </w:p>
        </w:tc>
        <w:tc>
          <w:tcPr>
            <w:tcW w:w="850" w:type="dxa"/>
          </w:tcPr>
          <w:p>
            <w:pPr>
              <w:pStyle w:val="TableParagraph"/>
              <w:spacing w:line="234" w:lineRule="exact"/>
              <w:ind w:right="213"/>
              <w:jc w:val="right"/>
              <w:rPr>
                <w:sz w:val="22"/>
              </w:rPr>
            </w:pPr>
            <w:r>
              <w:rPr>
                <w:sz w:val="22"/>
              </w:rPr>
              <w:t>1,77</w:t>
            </w:r>
          </w:p>
        </w:tc>
        <w:tc>
          <w:tcPr>
            <w:tcW w:w="1133" w:type="dxa"/>
          </w:tcPr>
          <w:p>
            <w:pPr>
              <w:pStyle w:val="TableParagraph"/>
              <w:spacing w:line="234" w:lineRule="exact"/>
              <w:ind w:left="136" w:right="121"/>
              <w:jc w:val="center"/>
              <w:rPr>
                <w:sz w:val="22"/>
              </w:rPr>
            </w:pPr>
            <w:r>
              <w:rPr>
                <w:sz w:val="22"/>
              </w:rPr>
              <w:t>2,34</w:t>
            </w:r>
          </w:p>
        </w:tc>
        <w:tc>
          <w:tcPr>
            <w:tcW w:w="854" w:type="dxa"/>
          </w:tcPr>
          <w:p>
            <w:pPr>
              <w:pStyle w:val="TableParagraph"/>
              <w:spacing w:line="234" w:lineRule="exact"/>
              <w:ind w:left="160" w:right="144"/>
              <w:jc w:val="center"/>
              <w:rPr>
                <w:sz w:val="22"/>
              </w:rPr>
            </w:pPr>
            <w:r>
              <w:rPr>
                <w:sz w:val="22"/>
              </w:rPr>
              <w:t>4,63</w:t>
            </w:r>
          </w:p>
        </w:tc>
        <w:tc>
          <w:tcPr>
            <w:tcW w:w="989" w:type="dxa"/>
          </w:tcPr>
          <w:p>
            <w:pPr>
              <w:pStyle w:val="TableParagraph"/>
              <w:spacing w:line="234" w:lineRule="exact"/>
              <w:ind w:left="117" w:right="101"/>
              <w:jc w:val="center"/>
              <w:rPr>
                <w:sz w:val="22"/>
              </w:rPr>
            </w:pPr>
            <w:r>
              <w:rPr>
                <w:sz w:val="22"/>
              </w:rPr>
              <w:t>30,8</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4" w:lineRule="exact"/>
              <w:ind w:left="110"/>
              <w:rPr>
                <w:sz w:val="22"/>
              </w:rPr>
            </w:pPr>
            <w:r>
              <w:rPr>
                <w:sz w:val="22"/>
              </w:rPr>
              <w:t>Шоколадний</w:t>
            </w:r>
          </w:p>
        </w:tc>
        <w:tc>
          <w:tcPr>
            <w:tcW w:w="1133" w:type="dxa"/>
          </w:tcPr>
          <w:p>
            <w:pPr>
              <w:pStyle w:val="TableParagraph"/>
              <w:spacing w:line="234" w:lineRule="exact"/>
              <w:ind w:left="374"/>
              <w:rPr>
                <w:sz w:val="22"/>
              </w:rPr>
            </w:pPr>
            <w:r>
              <w:rPr>
                <w:sz w:val="22"/>
              </w:rPr>
              <w:t>32,7</w:t>
            </w:r>
          </w:p>
        </w:tc>
        <w:tc>
          <w:tcPr>
            <w:tcW w:w="850" w:type="dxa"/>
          </w:tcPr>
          <w:p>
            <w:pPr>
              <w:pStyle w:val="TableParagraph"/>
              <w:spacing w:line="234" w:lineRule="exact"/>
              <w:ind w:right="213"/>
              <w:jc w:val="right"/>
              <w:rPr>
                <w:sz w:val="22"/>
              </w:rPr>
            </w:pPr>
            <w:r>
              <w:rPr>
                <w:sz w:val="22"/>
              </w:rPr>
              <w:t>1,53</w:t>
            </w:r>
          </w:p>
        </w:tc>
        <w:tc>
          <w:tcPr>
            <w:tcW w:w="1133" w:type="dxa"/>
          </w:tcPr>
          <w:p>
            <w:pPr>
              <w:pStyle w:val="TableParagraph"/>
              <w:spacing w:line="234" w:lineRule="exact"/>
              <w:ind w:left="136" w:right="117"/>
              <w:jc w:val="center"/>
              <w:rPr>
                <w:sz w:val="22"/>
              </w:rPr>
            </w:pPr>
            <w:r>
              <w:rPr>
                <w:sz w:val="22"/>
              </w:rPr>
              <w:t>23,67</w:t>
            </w:r>
          </w:p>
        </w:tc>
        <w:tc>
          <w:tcPr>
            <w:tcW w:w="854" w:type="dxa"/>
          </w:tcPr>
          <w:p>
            <w:pPr>
              <w:pStyle w:val="TableParagraph"/>
              <w:spacing w:line="234" w:lineRule="exact"/>
              <w:ind w:left="160" w:right="144"/>
              <w:jc w:val="center"/>
              <w:rPr>
                <w:sz w:val="22"/>
              </w:rPr>
            </w:pPr>
            <w:r>
              <w:rPr>
                <w:sz w:val="22"/>
              </w:rPr>
              <w:t>0,03</w:t>
            </w:r>
          </w:p>
        </w:tc>
        <w:tc>
          <w:tcPr>
            <w:tcW w:w="989" w:type="dxa"/>
          </w:tcPr>
          <w:p>
            <w:pPr>
              <w:pStyle w:val="TableParagraph"/>
              <w:spacing w:line="234" w:lineRule="exact"/>
              <w:ind w:left="113" w:right="101"/>
              <w:jc w:val="center"/>
              <w:rPr>
                <w:sz w:val="22"/>
              </w:rPr>
            </w:pPr>
            <w:r>
              <w:rPr>
                <w:sz w:val="22"/>
              </w:rPr>
              <w:t>8,0</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156" w:right="147"/>
              <w:jc w:val="center"/>
              <w:rPr>
                <w:sz w:val="22"/>
              </w:rPr>
            </w:pPr>
            <w:r>
              <w:rPr>
                <w:sz w:val="22"/>
              </w:rPr>
              <w:t>1,0</w:t>
            </w:r>
          </w:p>
        </w:tc>
      </w:tr>
      <w:tr>
        <w:trPr>
          <w:trHeight w:val="254" w:hRule="atLeast"/>
        </w:trPr>
        <w:tc>
          <w:tcPr>
            <w:tcW w:w="2564" w:type="dxa"/>
          </w:tcPr>
          <w:p>
            <w:pPr>
              <w:pStyle w:val="TableParagraph"/>
              <w:spacing w:line="234" w:lineRule="exact"/>
              <w:ind w:left="110"/>
              <w:rPr>
                <w:sz w:val="22"/>
              </w:rPr>
            </w:pPr>
            <w:r>
              <w:rPr>
                <w:sz w:val="22"/>
              </w:rPr>
              <w:t>Ювілей Журавля</w:t>
            </w:r>
          </w:p>
        </w:tc>
        <w:tc>
          <w:tcPr>
            <w:tcW w:w="1133" w:type="dxa"/>
          </w:tcPr>
          <w:p>
            <w:pPr>
              <w:pStyle w:val="TableParagraph"/>
              <w:spacing w:line="234" w:lineRule="exact"/>
              <w:ind w:left="374"/>
              <w:rPr>
                <w:sz w:val="22"/>
              </w:rPr>
            </w:pPr>
            <w:r>
              <w:rPr>
                <w:sz w:val="22"/>
              </w:rPr>
              <w:t>7,15</w:t>
            </w:r>
          </w:p>
        </w:tc>
        <w:tc>
          <w:tcPr>
            <w:tcW w:w="850" w:type="dxa"/>
          </w:tcPr>
          <w:p>
            <w:pPr>
              <w:pStyle w:val="TableParagraph"/>
              <w:spacing w:line="234" w:lineRule="exact"/>
              <w:ind w:right="213"/>
              <w:jc w:val="right"/>
              <w:rPr>
                <w:sz w:val="22"/>
              </w:rPr>
            </w:pPr>
            <w:r>
              <w:rPr>
                <w:sz w:val="22"/>
              </w:rPr>
              <w:t>0,33</w:t>
            </w:r>
          </w:p>
        </w:tc>
        <w:tc>
          <w:tcPr>
            <w:tcW w:w="1133" w:type="dxa"/>
          </w:tcPr>
          <w:p>
            <w:pPr>
              <w:pStyle w:val="TableParagraph"/>
              <w:spacing w:line="234" w:lineRule="exact"/>
              <w:ind w:left="136" w:right="121"/>
              <w:jc w:val="center"/>
              <w:rPr>
                <w:sz w:val="22"/>
              </w:rPr>
            </w:pPr>
            <w:r>
              <w:rPr>
                <w:sz w:val="22"/>
              </w:rPr>
              <w:t>7,15</w:t>
            </w:r>
          </w:p>
        </w:tc>
        <w:tc>
          <w:tcPr>
            <w:tcW w:w="854" w:type="dxa"/>
          </w:tcPr>
          <w:p>
            <w:pPr>
              <w:pStyle w:val="TableParagraph"/>
              <w:spacing w:line="234" w:lineRule="exact"/>
              <w:ind w:left="8"/>
              <w:jc w:val="center"/>
              <w:rPr>
                <w:sz w:val="22"/>
              </w:rPr>
            </w:pPr>
            <w:r>
              <w:rPr>
                <w:w w:val="100"/>
                <w:sz w:val="22"/>
              </w:rPr>
              <w:t>-</w:t>
            </w:r>
          </w:p>
        </w:tc>
        <w:tc>
          <w:tcPr>
            <w:tcW w:w="989" w:type="dxa"/>
          </w:tcPr>
          <w:p>
            <w:pPr>
              <w:pStyle w:val="TableParagraph"/>
              <w:spacing w:line="234" w:lineRule="exact"/>
              <w:ind w:left="9"/>
              <w:jc w:val="center"/>
              <w:rPr>
                <w:sz w:val="22"/>
              </w:rPr>
            </w:pPr>
            <w:r>
              <w:rPr>
                <w:w w:val="100"/>
                <w:sz w:val="22"/>
              </w:rPr>
              <w:t>-</w:t>
            </w:r>
          </w:p>
        </w:tc>
        <w:tc>
          <w:tcPr>
            <w:tcW w:w="854" w:type="dxa"/>
          </w:tcPr>
          <w:p>
            <w:pPr>
              <w:pStyle w:val="TableParagraph"/>
              <w:spacing w:line="234" w:lineRule="exact"/>
              <w:ind w:left="9"/>
              <w:jc w:val="center"/>
              <w:rPr>
                <w:sz w:val="22"/>
              </w:rPr>
            </w:pPr>
            <w:r>
              <w:rPr>
                <w:w w:val="100"/>
                <w:sz w:val="22"/>
              </w:rPr>
              <w:t>-</w:t>
            </w:r>
          </w:p>
        </w:tc>
        <w:tc>
          <w:tcPr>
            <w:tcW w:w="849" w:type="dxa"/>
          </w:tcPr>
          <w:p>
            <w:pPr>
              <w:pStyle w:val="TableParagraph"/>
              <w:spacing w:line="234" w:lineRule="exact"/>
              <w:ind w:left="6"/>
              <w:jc w:val="center"/>
              <w:rPr>
                <w:sz w:val="22"/>
              </w:rPr>
            </w:pPr>
            <w:r>
              <w:rPr>
                <w:w w:val="100"/>
                <w:sz w:val="22"/>
              </w:rPr>
              <w:t>-</w:t>
            </w:r>
          </w:p>
        </w:tc>
      </w:tr>
      <w:tr>
        <w:trPr>
          <w:trHeight w:val="254" w:hRule="atLeast"/>
        </w:trPr>
        <w:tc>
          <w:tcPr>
            <w:tcW w:w="2564" w:type="dxa"/>
          </w:tcPr>
          <w:p>
            <w:pPr>
              <w:pStyle w:val="TableParagraph"/>
              <w:spacing w:line="235" w:lineRule="exact"/>
              <w:ind w:left="110"/>
              <w:rPr>
                <w:sz w:val="22"/>
              </w:rPr>
            </w:pPr>
            <w:r>
              <w:rPr>
                <w:sz w:val="22"/>
              </w:rPr>
              <w:t>Яловенський стійкий</w:t>
            </w:r>
          </w:p>
        </w:tc>
        <w:tc>
          <w:tcPr>
            <w:tcW w:w="1133" w:type="dxa"/>
          </w:tcPr>
          <w:p>
            <w:pPr>
              <w:pStyle w:val="TableParagraph"/>
              <w:spacing w:line="235" w:lineRule="exact"/>
              <w:ind w:left="136" w:right="117"/>
              <w:jc w:val="center"/>
              <w:rPr>
                <w:sz w:val="22"/>
              </w:rPr>
            </w:pPr>
            <w:r>
              <w:rPr>
                <w:sz w:val="22"/>
              </w:rPr>
              <w:t>4,5</w:t>
            </w:r>
          </w:p>
        </w:tc>
        <w:tc>
          <w:tcPr>
            <w:tcW w:w="850" w:type="dxa"/>
          </w:tcPr>
          <w:p>
            <w:pPr>
              <w:pStyle w:val="TableParagraph"/>
              <w:spacing w:line="235" w:lineRule="exact"/>
              <w:ind w:right="213"/>
              <w:jc w:val="right"/>
              <w:rPr>
                <w:sz w:val="22"/>
              </w:rPr>
            </w:pPr>
            <w:r>
              <w:rPr>
                <w:sz w:val="22"/>
              </w:rPr>
              <w:t>0,21</w:t>
            </w:r>
          </w:p>
        </w:tc>
        <w:tc>
          <w:tcPr>
            <w:tcW w:w="1133" w:type="dxa"/>
          </w:tcPr>
          <w:p>
            <w:pPr>
              <w:pStyle w:val="TableParagraph"/>
              <w:spacing w:line="235" w:lineRule="exact"/>
              <w:ind w:left="136" w:right="117"/>
              <w:jc w:val="center"/>
              <w:rPr>
                <w:sz w:val="22"/>
              </w:rPr>
            </w:pPr>
            <w:r>
              <w:rPr>
                <w:sz w:val="22"/>
              </w:rPr>
              <w:t>4,5</w:t>
            </w:r>
          </w:p>
        </w:tc>
        <w:tc>
          <w:tcPr>
            <w:tcW w:w="854" w:type="dxa"/>
          </w:tcPr>
          <w:p>
            <w:pPr>
              <w:pStyle w:val="TableParagraph"/>
              <w:spacing w:line="235" w:lineRule="exact"/>
              <w:ind w:left="8"/>
              <w:jc w:val="center"/>
              <w:rPr>
                <w:sz w:val="22"/>
              </w:rPr>
            </w:pPr>
            <w:r>
              <w:rPr>
                <w:w w:val="100"/>
                <w:sz w:val="22"/>
              </w:rPr>
              <w:t>-</w:t>
            </w:r>
          </w:p>
        </w:tc>
        <w:tc>
          <w:tcPr>
            <w:tcW w:w="989" w:type="dxa"/>
          </w:tcPr>
          <w:p>
            <w:pPr>
              <w:pStyle w:val="TableParagraph"/>
              <w:spacing w:line="235" w:lineRule="exact"/>
              <w:ind w:left="9"/>
              <w:jc w:val="center"/>
              <w:rPr>
                <w:sz w:val="22"/>
              </w:rPr>
            </w:pPr>
            <w:r>
              <w:rPr>
                <w:w w:val="100"/>
                <w:sz w:val="22"/>
              </w:rPr>
              <w:t>-</w:t>
            </w:r>
          </w:p>
        </w:tc>
        <w:tc>
          <w:tcPr>
            <w:tcW w:w="854" w:type="dxa"/>
          </w:tcPr>
          <w:p>
            <w:pPr>
              <w:pStyle w:val="TableParagraph"/>
              <w:spacing w:line="235" w:lineRule="exact"/>
              <w:ind w:left="9"/>
              <w:jc w:val="center"/>
              <w:rPr>
                <w:sz w:val="22"/>
              </w:rPr>
            </w:pPr>
            <w:r>
              <w:rPr>
                <w:w w:val="100"/>
                <w:sz w:val="22"/>
              </w:rPr>
              <w:t>-</w:t>
            </w:r>
          </w:p>
        </w:tc>
        <w:tc>
          <w:tcPr>
            <w:tcW w:w="849" w:type="dxa"/>
          </w:tcPr>
          <w:p>
            <w:pPr>
              <w:pStyle w:val="TableParagraph"/>
              <w:spacing w:line="235" w:lineRule="exact"/>
              <w:ind w:left="6"/>
              <w:jc w:val="center"/>
              <w:rPr>
                <w:sz w:val="22"/>
              </w:rPr>
            </w:pPr>
            <w:r>
              <w:rPr>
                <w:w w:val="100"/>
                <w:sz w:val="22"/>
              </w:rPr>
              <w:t>-</w:t>
            </w:r>
          </w:p>
        </w:tc>
      </w:tr>
      <w:tr>
        <w:trPr>
          <w:trHeight w:val="249" w:hRule="atLeast"/>
        </w:trPr>
        <w:tc>
          <w:tcPr>
            <w:tcW w:w="2564" w:type="dxa"/>
          </w:tcPr>
          <w:p>
            <w:pPr>
              <w:pStyle w:val="TableParagraph"/>
              <w:spacing w:line="229" w:lineRule="exact"/>
              <w:ind w:left="110"/>
              <w:rPr>
                <w:sz w:val="22"/>
              </w:rPr>
            </w:pPr>
            <w:r>
              <w:rPr>
                <w:sz w:val="22"/>
              </w:rPr>
              <w:t>Всього столових сортів</w:t>
            </w:r>
          </w:p>
        </w:tc>
        <w:tc>
          <w:tcPr>
            <w:tcW w:w="1133" w:type="dxa"/>
          </w:tcPr>
          <w:p>
            <w:pPr>
              <w:pStyle w:val="TableParagraph"/>
              <w:spacing w:line="229" w:lineRule="exact"/>
              <w:ind w:right="247"/>
              <w:jc w:val="right"/>
              <w:rPr>
                <w:sz w:val="22"/>
              </w:rPr>
            </w:pPr>
            <w:r>
              <w:rPr>
                <w:sz w:val="22"/>
              </w:rPr>
              <w:t>2138,2</w:t>
            </w:r>
          </w:p>
        </w:tc>
        <w:tc>
          <w:tcPr>
            <w:tcW w:w="850" w:type="dxa"/>
          </w:tcPr>
          <w:p>
            <w:pPr>
              <w:pStyle w:val="TableParagraph"/>
              <w:spacing w:line="229" w:lineRule="exact"/>
              <w:ind w:left="259"/>
              <w:rPr>
                <w:sz w:val="22"/>
              </w:rPr>
            </w:pPr>
            <w:r>
              <w:rPr>
                <w:sz w:val="22"/>
              </w:rPr>
              <w:t>100</w:t>
            </w:r>
          </w:p>
        </w:tc>
        <w:tc>
          <w:tcPr>
            <w:tcW w:w="1133" w:type="dxa"/>
          </w:tcPr>
          <w:p>
            <w:pPr>
              <w:pStyle w:val="TableParagraph"/>
              <w:spacing w:line="229" w:lineRule="exact"/>
              <w:ind w:left="136" w:right="117"/>
              <w:jc w:val="center"/>
              <w:rPr>
                <w:sz w:val="22"/>
              </w:rPr>
            </w:pPr>
            <w:r>
              <w:rPr>
                <w:sz w:val="22"/>
              </w:rPr>
              <w:t>1673,65</w:t>
            </w:r>
          </w:p>
        </w:tc>
        <w:tc>
          <w:tcPr>
            <w:tcW w:w="854" w:type="dxa"/>
          </w:tcPr>
          <w:p>
            <w:pPr>
              <w:pStyle w:val="TableParagraph"/>
              <w:spacing w:line="229" w:lineRule="exact"/>
              <w:ind w:left="160" w:right="149"/>
              <w:jc w:val="center"/>
              <w:rPr>
                <w:sz w:val="22"/>
              </w:rPr>
            </w:pPr>
            <w:r>
              <w:rPr>
                <w:sz w:val="22"/>
              </w:rPr>
              <w:t>163,9</w:t>
            </w:r>
          </w:p>
        </w:tc>
        <w:tc>
          <w:tcPr>
            <w:tcW w:w="989" w:type="dxa"/>
          </w:tcPr>
          <w:p>
            <w:pPr>
              <w:pStyle w:val="TableParagraph"/>
              <w:spacing w:line="229" w:lineRule="exact"/>
              <w:ind w:left="117" w:right="101"/>
              <w:jc w:val="center"/>
              <w:rPr>
                <w:sz w:val="22"/>
              </w:rPr>
            </w:pPr>
            <w:r>
              <w:rPr>
                <w:sz w:val="22"/>
              </w:rPr>
              <w:t>259,36</w:t>
            </w:r>
          </w:p>
        </w:tc>
        <w:tc>
          <w:tcPr>
            <w:tcW w:w="854" w:type="dxa"/>
          </w:tcPr>
          <w:p>
            <w:pPr>
              <w:pStyle w:val="TableParagraph"/>
              <w:spacing w:line="229" w:lineRule="exact"/>
              <w:ind w:left="236"/>
              <w:rPr>
                <w:sz w:val="22"/>
              </w:rPr>
            </w:pPr>
            <w:r>
              <w:rPr>
                <w:sz w:val="22"/>
              </w:rPr>
              <w:t>7,26</w:t>
            </w:r>
          </w:p>
        </w:tc>
        <w:tc>
          <w:tcPr>
            <w:tcW w:w="849" w:type="dxa"/>
          </w:tcPr>
          <w:p>
            <w:pPr>
              <w:pStyle w:val="TableParagraph"/>
              <w:spacing w:line="229" w:lineRule="exact"/>
              <w:ind w:left="156" w:right="147"/>
              <w:jc w:val="center"/>
              <w:rPr>
                <w:sz w:val="22"/>
              </w:rPr>
            </w:pPr>
            <w:r>
              <w:rPr>
                <w:sz w:val="22"/>
              </w:rPr>
              <w:t>34,03</w:t>
            </w:r>
          </w:p>
        </w:tc>
      </w:tr>
    </w:tbl>
    <w:p>
      <w:pPr>
        <w:pStyle w:val="BodyText"/>
        <w:spacing w:before="4"/>
        <w:ind w:left="0"/>
        <w:jc w:val="left"/>
        <w:rPr>
          <w:sz w:val="27"/>
        </w:rPr>
      </w:pPr>
    </w:p>
    <w:p>
      <w:pPr>
        <w:pStyle w:val="BodyText"/>
        <w:spacing w:line="242" w:lineRule="auto"/>
        <w:ind w:right="619" w:firstLine="710"/>
      </w:pPr>
      <w:r>
        <w:rPr/>
        <w:t>Динаміка сортового складу насаджень столового винограду за останні 13 років</w:t>
      </w:r>
      <w:r>
        <w:rPr>
          <w:spacing w:val="-11"/>
        </w:rPr>
        <w:t> </w:t>
      </w:r>
      <w:r>
        <w:rPr/>
        <w:t>представлена</w:t>
      </w:r>
      <w:r>
        <w:rPr>
          <w:spacing w:val="-8"/>
        </w:rPr>
        <w:t> </w:t>
      </w:r>
      <w:r>
        <w:rPr/>
        <w:t>на</w:t>
      </w:r>
      <w:r>
        <w:rPr>
          <w:spacing w:val="-8"/>
        </w:rPr>
        <w:t> </w:t>
      </w:r>
      <w:r>
        <w:rPr/>
        <w:t>матеріалах</w:t>
      </w:r>
      <w:r>
        <w:rPr>
          <w:spacing w:val="-13"/>
        </w:rPr>
        <w:t> </w:t>
      </w:r>
      <w:r>
        <w:rPr/>
        <w:t>Одеської</w:t>
      </w:r>
      <w:r>
        <w:rPr>
          <w:spacing w:val="-14"/>
        </w:rPr>
        <w:t> </w:t>
      </w:r>
      <w:r>
        <w:rPr/>
        <w:t>області</w:t>
      </w:r>
      <w:r>
        <w:rPr>
          <w:spacing w:val="-14"/>
        </w:rPr>
        <w:t> </w:t>
      </w:r>
      <w:r>
        <w:rPr/>
        <w:t>(табл.</w:t>
      </w:r>
      <w:r>
        <w:rPr>
          <w:spacing w:val="-7"/>
        </w:rPr>
        <w:t> </w:t>
      </w:r>
      <w:r>
        <w:rPr/>
        <w:t>2),</w:t>
      </w:r>
      <w:r>
        <w:rPr>
          <w:spacing w:val="-6"/>
        </w:rPr>
        <w:t> </w:t>
      </w:r>
      <w:r>
        <w:rPr/>
        <w:t>де</w:t>
      </w:r>
      <w:r>
        <w:rPr>
          <w:spacing w:val="-12"/>
        </w:rPr>
        <w:t> </w:t>
      </w:r>
      <w:r>
        <w:rPr/>
        <w:t>зосереджено</w:t>
      </w:r>
      <w:r>
        <w:rPr>
          <w:spacing w:val="-9"/>
        </w:rPr>
        <w:t> </w:t>
      </w:r>
      <w:r>
        <w:rPr/>
        <w:t>78,3</w:t>
      </w:r>
    </w:p>
    <w:p>
      <w:pPr>
        <w:pStyle w:val="BodyText"/>
        <w:ind w:right="615"/>
      </w:pPr>
      <w:r>
        <w:rPr/>
        <w:t>% від загальної площі всіх виноградників України. Понад 35 сортів столового винограду</w:t>
      </w:r>
      <w:r>
        <w:rPr>
          <w:spacing w:val="-23"/>
        </w:rPr>
        <w:t> </w:t>
      </w:r>
      <w:r>
        <w:rPr/>
        <w:t>включено</w:t>
      </w:r>
      <w:r>
        <w:rPr>
          <w:spacing w:val="-18"/>
        </w:rPr>
        <w:t> </w:t>
      </w:r>
      <w:r>
        <w:rPr/>
        <w:t>до</w:t>
      </w:r>
      <w:r>
        <w:rPr>
          <w:spacing w:val="-17"/>
        </w:rPr>
        <w:t> </w:t>
      </w:r>
      <w:r>
        <w:rPr/>
        <w:t>промислового</w:t>
      </w:r>
      <w:r>
        <w:rPr>
          <w:spacing w:val="-18"/>
        </w:rPr>
        <w:t> </w:t>
      </w:r>
      <w:r>
        <w:rPr/>
        <w:t>сортименту</w:t>
      </w:r>
      <w:r>
        <w:rPr>
          <w:spacing w:val="-22"/>
        </w:rPr>
        <w:t> </w:t>
      </w:r>
      <w:r>
        <w:rPr/>
        <w:t>районованих</w:t>
      </w:r>
      <w:r>
        <w:rPr>
          <w:spacing w:val="-23"/>
        </w:rPr>
        <w:t> </w:t>
      </w:r>
      <w:r>
        <w:rPr/>
        <w:t>сортів</w:t>
      </w:r>
      <w:r>
        <w:rPr>
          <w:spacing w:val="-19"/>
        </w:rPr>
        <w:t> </w:t>
      </w:r>
      <w:r>
        <w:rPr/>
        <w:t>Одещини. До</w:t>
      </w:r>
      <w:r>
        <w:rPr>
          <w:spacing w:val="-15"/>
        </w:rPr>
        <w:t> </w:t>
      </w:r>
      <w:r>
        <w:rPr/>
        <w:t>найсприятливіших</w:t>
      </w:r>
      <w:r>
        <w:rPr>
          <w:spacing w:val="-18"/>
        </w:rPr>
        <w:t> </w:t>
      </w:r>
      <w:r>
        <w:rPr/>
        <w:t>районів</w:t>
      </w:r>
      <w:r>
        <w:rPr>
          <w:spacing w:val="-16"/>
        </w:rPr>
        <w:t> </w:t>
      </w:r>
      <w:r>
        <w:rPr/>
        <w:t>для</w:t>
      </w:r>
      <w:r>
        <w:rPr>
          <w:spacing w:val="-12"/>
        </w:rPr>
        <w:t> </w:t>
      </w:r>
      <w:r>
        <w:rPr/>
        <w:t>сортів</w:t>
      </w:r>
      <w:r>
        <w:rPr>
          <w:spacing w:val="-12"/>
        </w:rPr>
        <w:t> </w:t>
      </w:r>
      <w:r>
        <w:rPr/>
        <w:t>всіх</w:t>
      </w:r>
      <w:r>
        <w:rPr>
          <w:spacing w:val="-15"/>
        </w:rPr>
        <w:t> </w:t>
      </w:r>
      <w:r>
        <w:rPr/>
        <w:t>напрямів</w:t>
      </w:r>
      <w:r>
        <w:rPr>
          <w:spacing w:val="-12"/>
        </w:rPr>
        <w:t> </w:t>
      </w:r>
      <w:r>
        <w:rPr/>
        <w:t>використання</w:t>
      </w:r>
      <w:r>
        <w:rPr>
          <w:spacing w:val="-13"/>
        </w:rPr>
        <w:t> </w:t>
      </w:r>
      <w:r>
        <w:rPr/>
        <w:t>та</w:t>
      </w:r>
      <w:r>
        <w:rPr>
          <w:spacing w:val="-9"/>
        </w:rPr>
        <w:t> </w:t>
      </w:r>
      <w:r>
        <w:rPr/>
        <w:t>термінів достигання окремі дослідники відносять Болградський, Ренійський, Білгород- Дністровський</w:t>
      </w:r>
      <w:r>
        <w:rPr>
          <w:spacing w:val="-8"/>
        </w:rPr>
        <w:t> </w:t>
      </w:r>
      <w:r>
        <w:rPr/>
        <w:t>та</w:t>
      </w:r>
      <w:r>
        <w:rPr>
          <w:spacing w:val="-8"/>
        </w:rPr>
        <w:t> </w:t>
      </w:r>
      <w:r>
        <w:rPr/>
        <w:t>деякі</w:t>
      </w:r>
      <w:r>
        <w:rPr>
          <w:spacing w:val="-9"/>
        </w:rPr>
        <w:t> </w:t>
      </w:r>
      <w:r>
        <w:rPr/>
        <w:t>інші</w:t>
      </w:r>
      <w:r>
        <w:rPr>
          <w:spacing w:val="-13"/>
        </w:rPr>
        <w:t> </w:t>
      </w:r>
      <w:r>
        <w:rPr/>
        <w:t>райони,</w:t>
      </w:r>
      <w:r>
        <w:rPr>
          <w:spacing w:val="-7"/>
        </w:rPr>
        <w:t> </w:t>
      </w:r>
      <w:r>
        <w:rPr/>
        <w:t>прилеглі</w:t>
      </w:r>
      <w:r>
        <w:rPr>
          <w:spacing w:val="-13"/>
        </w:rPr>
        <w:t> </w:t>
      </w:r>
      <w:r>
        <w:rPr/>
        <w:t>до</w:t>
      </w:r>
      <w:r>
        <w:rPr>
          <w:spacing w:val="-8"/>
        </w:rPr>
        <w:t> </w:t>
      </w:r>
      <w:r>
        <w:rPr/>
        <w:t>берегів</w:t>
      </w:r>
      <w:r>
        <w:rPr>
          <w:spacing w:val="-9"/>
        </w:rPr>
        <w:t> </w:t>
      </w:r>
      <w:r>
        <w:rPr/>
        <w:t>моря</w:t>
      </w:r>
      <w:r>
        <w:rPr>
          <w:spacing w:val="-7"/>
        </w:rPr>
        <w:t> </w:t>
      </w:r>
      <w:r>
        <w:rPr/>
        <w:t>та</w:t>
      </w:r>
      <w:r>
        <w:rPr>
          <w:spacing w:val="-8"/>
        </w:rPr>
        <w:t> </w:t>
      </w:r>
      <w:r>
        <w:rPr/>
        <w:t>великих</w:t>
      </w:r>
      <w:r>
        <w:rPr>
          <w:spacing w:val="-8"/>
        </w:rPr>
        <w:t> </w:t>
      </w:r>
      <w:r>
        <w:rPr/>
        <w:t>водойм [1,</w:t>
      </w:r>
      <w:r>
        <w:rPr>
          <w:spacing w:val="-10"/>
        </w:rPr>
        <w:t> </w:t>
      </w:r>
      <w:r>
        <w:rPr/>
        <w:t>с.</w:t>
      </w:r>
      <w:r>
        <w:rPr>
          <w:spacing w:val="-10"/>
        </w:rPr>
        <w:t> </w:t>
      </w:r>
      <w:r>
        <w:rPr/>
        <w:t>24].</w:t>
      </w:r>
      <w:r>
        <w:rPr>
          <w:spacing w:val="-9"/>
        </w:rPr>
        <w:t> </w:t>
      </w:r>
      <w:r>
        <w:rPr/>
        <w:t>Вважаємо,</w:t>
      </w:r>
      <w:r>
        <w:rPr>
          <w:spacing w:val="-10"/>
        </w:rPr>
        <w:t> </w:t>
      </w:r>
      <w:r>
        <w:rPr/>
        <w:t>що</w:t>
      </w:r>
      <w:r>
        <w:rPr>
          <w:spacing w:val="-11"/>
        </w:rPr>
        <w:t> </w:t>
      </w:r>
      <w:r>
        <w:rPr/>
        <w:t>ця</w:t>
      </w:r>
      <w:r>
        <w:rPr>
          <w:spacing w:val="-10"/>
        </w:rPr>
        <w:t> </w:t>
      </w:r>
      <w:r>
        <w:rPr/>
        <w:t>оцінка</w:t>
      </w:r>
      <w:r>
        <w:rPr>
          <w:spacing w:val="-11"/>
        </w:rPr>
        <w:t> </w:t>
      </w:r>
      <w:r>
        <w:rPr/>
        <w:t>є</w:t>
      </w:r>
      <w:r>
        <w:rPr>
          <w:spacing w:val="-11"/>
        </w:rPr>
        <w:t> </w:t>
      </w:r>
      <w:r>
        <w:rPr/>
        <w:t>досить</w:t>
      </w:r>
      <w:r>
        <w:rPr>
          <w:spacing w:val="-14"/>
        </w:rPr>
        <w:t> </w:t>
      </w:r>
      <w:r>
        <w:rPr/>
        <w:t>спірною.</w:t>
      </w:r>
      <w:r>
        <w:rPr>
          <w:spacing w:val="-4"/>
        </w:rPr>
        <w:t> </w:t>
      </w:r>
      <w:r>
        <w:rPr/>
        <w:t>Бо</w:t>
      </w:r>
      <w:r>
        <w:rPr>
          <w:spacing w:val="-12"/>
        </w:rPr>
        <w:t> </w:t>
      </w:r>
      <w:r>
        <w:rPr/>
        <w:t>загальне</w:t>
      </w:r>
      <w:r>
        <w:rPr>
          <w:spacing w:val="-10"/>
        </w:rPr>
        <w:t> </w:t>
      </w:r>
      <w:r>
        <w:rPr/>
        <w:t>потепління,</w:t>
      </w:r>
      <w:r>
        <w:rPr>
          <w:spacing w:val="-10"/>
        </w:rPr>
        <w:t> </w:t>
      </w:r>
      <w:r>
        <w:rPr/>
        <w:t>нові технології</w:t>
      </w:r>
      <w:r>
        <w:rPr>
          <w:spacing w:val="-15"/>
        </w:rPr>
        <w:t> </w:t>
      </w:r>
      <w:r>
        <w:rPr/>
        <w:t>та</w:t>
      </w:r>
      <w:r>
        <w:rPr>
          <w:spacing w:val="-12"/>
        </w:rPr>
        <w:t> </w:t>
      </w:r>
      <w:r>
        <w:rPr/>
        <w:t>сорти</w:t>
      </w:r>
      <w:r>
        <w:rPr>
          <w:spacing w:val="-14"/>
        </w:rPr>
        <w:t> </w:t>
      </w:r>
      <w:r>
        <w:rPr/>
        <w:t>створюють</w:t>
      </w:r>
      <w:r>
        <w:rPr>
          <w:spacing w:val="-15"/>
        </w:rPr>
        <w:t> </w:t>
      </w:r>
      <w:r>
        <w:rPr/>
        <w:t>перспективи</w:t>
      </w:r>
      <w:r>
        <w:rPr>
          <w:spacing w:val="-14"/>
        </w:rPr>
        <w:t> </w:t>
      </w:r>
      <w:r>
        <w:rPr/>
        <w:t>вирощування</w:t>
      </w:r>
      <w:r>
        <w:rPr>
          <w:spacing w:val="-12"/>
        </w:rPr>
        <w:t> </w:t>
      </w:r>
      <w:r>
        <w:rPr/>
        <w:t>столового</w:t>
      </w:r>
      <w:r>
        <w:rPr>
          <w:spacing w:val="-9"/>
        </w:rPr>
        <w:t> </w:t>
      </w:r>
      <w:r>
        <w:rPr/>
        <w:t>винограду</w:t>
      </w:r>
      <w:r>
        <w:rPr>
          <w:spacing w:val="-13"/>
        </w:rPr>
        <w:t> </w:t>
      </w:r>
      <w:r>
        <w:rPr/>
        <w:t>в абсолютній більшості районів Одеської</w:t>
      </w:r>
      <w:r>
        <w:rPr>
          <w:spacing w:val="-6"/>
        </w:rPr>
        <w:t> </w:t>
      </w:r>
      <w:r>
        <w:rPr/>
        <w:t>області.</w:t>
      </w:r>
    </w:p>
    <w:p>
      <w:pPr>
        <w:spacing w:after="0"/>
        <w:sectPr>
          <w:pgSz w:w="11910" w:h="16840"/>
          <w:pgMar w:header="713" w:footer="778" w:top="1140" w:bottom="960" w:left="940" w:right="520"/>
        </w:sectPr>
      </w:pPr>
    </w:p>
    <w:p>
      <w:pPr>
        <w:pStyle w:val="BodyText"/>
        <w:spacing w:before="92"/>
        <w:ind w:right="609" w:firstLine="710"/>
      </w:pPr>
      <w:r>
        <w:rPr/>
        <w:t>При відсутності даних перепису сортів виноградників по країні, наведені цифрові матеріали базуються на результатах наукових досліджень ННЦ</w:t>
      </w:r>
    </w:p>
    <w:p>
      <w:pPr>
        <w:pStyle w:val="BodyText"/>
        <w:ind w:right="609"/>
      </w:pPr>
      <w:r>
        <w:rPr/>
        <w:t>„Інститут виноградарства і виноробства ім. В. Є. Таїрова". Аналіз наведених даних показує, що протягом періоду дослідження по Одещині відбулося різке падіння (на 2964,3 га, або на 64 %) загальної площі столових сортів винограду. За 13 років втрачено 23 сорти столового винограду, в тому числі тих, що мають значні перспективи для вигідного позиціонування на ринку. Такі масштабні втрати столових насаджень засвідчують про наявність глибокої кризи галузі та відсутність у неї надійного маркетингового забезпечення.</w:t>
      </w:r>
    </w:p>
    <w:p>
      <w:pPr>
        <w:pStyle w:val="BodyText"/>
        <w:spacing w:before="2"/>
        <w:ind w:right="611" w:firstLine="710"/>
      </w:pPr>
      <w:r>
        <w:rPr/>
        <w:t>Приріст площі столових насаджень мають лише такі сорти як Аркадія, Сурученський білий, Кардинал, Восторг. З них вагомим є тільки приріст площі сорту Аркадія (на 260,01 га), тоді як прирости інших вищеназваних сортів знаходяться в межах від 4,25 га (Кардинал) до 49,31 га (Сурученський білий). З позицій маркетингу позитивно слід оцінювати приріст інших сортів винограду (на 169,77 га). Проте вказані збільшення насаджень не компенсували понесених втрат від скорочення та вилучення із промислового обороту сортів столового винограду.</w:t>
      </w:r>
    </w:p>
    <w:p>
      <w:pPr>
        <w:pStyle w:val="BodyText"/>
        <w:ind w:right="617" w:firstLine="710"/>
      </w:pPr>
      <w:r>
        <w:rPr/>
        <w:t>Вважаємо спірною точку зору, що на сорти Молдова та Ранній Магарача</w:t>
      </w:r>
      <w:r>
        <w:rPr>
          <w:spacing w:val="-45"/>
        </w:rPr>
        <w:t> </w:t>
      </w:r>
      <w:r>
        <w:rPr/>
        <w:t>в Україні вже давно немає попиту споживача, до того ж вони не є стійкими </w:t>
      </w:r>
      <w:r>
        <w:rPr>
          <w:spacing w:val="3"/>
        </w:rPr>
        <w:t>до </w:t>
      </w:r>
      <w:r>
        <w:rPr/>
        <w:t>хвороб (крім Молдови), морозу та посухи [2, с. 25]. Названі сорти, а також виведені </w:t>
      </w:r>
      <w:r>
        <w:rPr>
          <w:spacing w:val="-3"/>
        </w:rPr>
        <w:t>із </w:t>
      </w:r>
      <w:r>
        <w:rPr/>
        <w:t>промислового обороту столові виноградні сорти Іршаї Олівер, Красуня Цегледа, Жемчуг Саба, Мускат гамбурзький, Альфонс Лаваллє, Карабурну, Кардинал, Чауш білий та інші, мають свою стародавність, що варто використовувати в якості своєрідного ринкового бренду. Абсолютна більшість виведених </w:t>
      </w:r>
      <w:r>
        <w:rPr>
          <w:spacing w:val="-3"/>
        </w:rPr>
        <w:t>із </w:t>
      </w:r>
      <w:r>
        <w:rPr/>
        <w:t>господарського обороту столових сортів з досить цікавими власними історіями створення та особливостями регіонів</w:t>
      </w:r>
      <w:r>
        <w:rPr>
          <w:spacing w:val="-4"/>
        </w:rPr>
        <w:t> </w:t>
      </w:r>
      <w:r>
        <w:rPr/>
        <w:t>походження.</w:t>
      </w:r>
    </w:p>
    <w:p>
      <w:pPr>
        <w:pStyle w:val="BodyText"/>
        <w:ind w:right="611" w:firstLine="710"/>
      </w:pPr>
      <w:r>
        <w:rPr/>
        <w:t>Кожний </w:t>
      </w:r>
      <w:r>
        <w:rPr>
          <w:spacing w:val="-3"/>
        </w:rPr>
        <w:t>із </w:t>
      </w:r>
      <w:r>
        <w:rPr/>
        <w:t>столових сортів винограду, включно з виведеними </w:t>
      </w:r>
      <w:r>
        <w:rPr>
          <w:spacing w:val="-3"/>
        </w:rPr>
        <w:t>із </w:t>
      </w:r>
      <w:r>
        <w:rPr/>
        <w:t>промислового обороту, виконує певну товарну місію по задоволенню різнопланових потреб споживачів завдяки своїй індивідуальності та особливим властивостям</w:t>
      </w:r>
      <w:r>
        <w:rPr>
          <w:spacing w:val="-16"/>
        </w:rPr>
        <w:t> </w:t>
      </w:r>
      <w:r>
        <w:rPr/>
        <w:t>за</w:t>
      </w:r>
      <w:r>
        <w:rPr>
          <w:spacing w:val="-16"/>
        </w:rPr>
        <w:t> </w:t>
      </w:r>
      <w:r>
        <w:rPr/>
        <w:t>поживністю,</w:t>
      </w:r>
      <w:r>
        <w:rPr>
          <w:spacing w:val="-15"/>
        </w:rPr>
        <w:t> </w:t>
      </w:r>
      <w:r>
        <w:rPr/>
        <w:t>дієтичною</w:t>
      </w:r>
      <w:r>
        <w:rPr>
          <w:spacing w:val="-13"/>
        </w:rPr>
        <w:t> </w:t>
      </w:r>
      <w:r>
        <w:rPr/>
        <w:t>цінністю,</w:t>
      </w:r>
      <w:r>
        <w:rPr>
          <w:spacing w:val="-15"/>
        </w:rPr>
        <w:t> </w:t>
      </w:r>
      <w:r>
        <w:rPr/>
        <w:t>якістю,</w:t>
      </w:r>
      <w:r>
        <w:rPr>
          <w:spacing w:val="-15"/>
        </w:rPr>
        <w:t> </w:t>
      </w:r>
      <w:r>
        <w:rPr/>
        <w:t>унікальністю,</w:t>
      </w:r>
      <w:r>
        <w:rPr>
          <w:spacing w:val="-15"/>
        </w:rPr>
        <w:t> </w:t>
      </w:r>
      <w:r>
        <w:rPr/>
        <w:t>смаком, гармонійністю, оригінальністю формування куща, дизайном листя, лози, формою грони, ягоди тощо. Всі ці якісні характеристики та відмінності варто використовувати в позиціонуванні на ринку та виокремлювати серед аналогічних товарів для маркетингового стимулювання</w:t>
      </w:r>
      <w:r>
        <w:rPr>
          <w:spacing w:val="2"/>
        </w:rPr>
        <w:t> </w:t>
      </w:r>
      <w:r>
        <w:rPr/>
        <w:t>збуту.</w:t>
      </w:r>
    </w:p>
    <w:p>
      <w:pPr>
        <w:pStyle w:val="BodyText"/>
        <w:spacing w:before="2"/>
        <w:ind w:right="611" w:firstLine="710"/>
      </w:pPr>
      <w:r>
        <w:rPr/>
        <w:t>Відносно нові столові сорти – Восторг, Аркадія, Зорька, Мечта вирізняє різна ринкова участь, а відтак і динаміка площі насаджень. Так, сорт Аркадія завдяки надзвичайно раннім строкам дозрівання, високій урожайності, великим за</w:t>
      </w:r>
      <w:r>
        <w:rPr>
          <w:spacing w:val="-8"/>
        </w:rPr>
        <w:t> </w:t>
      </w:r>
      <w:r>
        <w:rPr/>
        <w:t>розмірами</w:t>
      </w:r>
      <w:r>
        <w:rPr>
          <w:spacing w:val="-8"/>
        </w:rPr>
        <w:t> </w:t>
      </w:r>
      <w:r>
        <w:rPr/>
        <w:t>гронам</w:t>
      </w:r>
      <w:r>
        <w:rPr>
          <w:spacing w:val="-8"/>
        </w:rPr>
        <w:t> </w:t>
      </w:r>
      <w:r>
        <w:rPr/>
        <w:t>та</w:t>
      </w:r>
      <w:r>
        <w:rPr>
          <w:spacing w:val="-8"/>
        </w:rPr>
        <w:t> </w:t>
      </w:r>
      <w:r>
        <w:rPr/>
        <w:t>великим</w:t>
      </w:r>
      <w:r>
        <w:rPr>
          <w:spacing w:val="-3"/>
        </w:rPr>
        <w:t> </w:t>
      </w:r>
      <w:r>
        <w:rPr>
          <w:color w:val="1F2025"/>
        </w:rPr>
        <w:t>м'ясисто-соковитим</w:t>
      </w:r>
      <w:r>
        <w:rPr>
          <w:color w:val="1F2025"/>
          <w:spacing w:val="-6"/>
        </w:rPr>
        <w:t> </w:t>
      </w:r>
      <w:r>
        <w:rPr/>
        <w:t>ягодам</w:t>
      </w:r>
      <w:r>
        <w:rPr>
          <w:spacing w:val="-8"/>
        </w:rPr>
        <w:t> </w:t>
      </w:r>
      <w:r>
        <w:rPr/>
        <w:t>з</w:t>
      </w:r>
      <w:r>
        <w:rPr>
          <w:spacing w:val="-8"/>
        </w:rPr>
        <w:t> </w:t>
      </w:r>
      <w:r>
        <w:rPr/>
        <w:t>легким</w:t>
      </w:r>
      <w:r>
        <w:rPr>
          <w:spacing w:val="-8"/>
        </w:rPr>
        <w:t> </w:t>
      </w:r>
      <w:r>
        <w:rPr/>
        <w:t>мускатним ароматом, збільшує площі насаджень. Сорт Восторг вирізняється </w:t>
      </w:r>
      <w:r>
        <w:rPr>
          <w:color w:val="464646"/>
        </w:rPr>
        <w:t>високою урожайністю, раннім строком дозрівання та смачною </w:t>
      </w:r>
      <w:r>
        <w:rPr>
          <w:color w:val="212121"/>
        </w:rPr>
        <w:t>ягодою з хрусткою м'якоттю, що в поєднанні </w:t>
      </w:r>
      <w:r>
        <w:rPr>
          <w:color w:val="212121"/>
          <w:spacing w:val="2"/>
        </w:rPr>
        <w:t>зі </w:t>
      </w:r>
      <w:r>
        <w:rPr>
          <w:color w:val="212121"/>
        </w:rPr>
        <w:t>стійкістю </w:t>
      </w:r>
      <w:r>
        <w:rPr>
          <w:color w:val="212121"/>
          <w:spacing w:val="3"/>
        </w:rPr>
        <w:t>до </w:t>
      </w:r>
      <w:r>
        <w:rPr>
          <w:color w:val="212121"/>
        </w:rPr>
        <w:t>низьких температур слугує фактором збільшення</w:t>
      </w:r>
      <w:r>
        <w:rPr>
          <w:color w:val="212121"/>
          <w:spacing w:val="1"/>
        </w:rPr>
        <w:t> </w:t>
      </w:r>
      <w:r>
        <w:rPr>
          <w:color w:val="212121"/>
        </w:rPr>
        <w:t>площі.</w:t>
      </w:r>
    </w:p>
    <w:p>
      <w:pPr>
        <w:spacing w:after="0"/>
        <w:sectPr>
          <w:pgSz w:w="11910" w:h="16840"/>
          <w:pgMar w:header="713" w:footer="778" w:top="1140" w:bottom="960" w:left="940" w:right="520"/>
        </w:sectPr>
      </w:pPr>
    </w:p>
    <w:p>
      <w:pPr>
        <w:pStyle w:val="BodyText"/>
        <w:spacing w:before="92" w:after="6"/>
        <w:ind w:right="617" w:firstLine="710"/>
      </w:pPr>
      <w:r>
        <w:rPr/>
        <w:t>Таблиця 2. Динаміка сортименту столових виноградників в сільськогосподарських підприємствах Одеської області за 2005-2018 pр.</w:t>
      </w:r>
    </w:p>
    <w:tbl>
      <w:tblPr>
        <w:tblW w:w="0" w:type="auto"/>
        <w:jc w:val="left"/>
        <w:tblInd w:w="55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50"/>
        <w:gridCol w:w="4110"/>
        <w:gridCol w:w="994"/>
        <w:gridCol w:w="994"/>
        <w:gridCol w:w="989"/>
        <w:gridCol w:w="994"/>
      </w:tblGrid>
      <w:tr>
        <w:trPr>
          <w:trHeight w:val="551" w:hRule="atLeast"/>
        </w:trPr>
        <w:tc>
          <w:tcPr>
            <w:tcW w:w="850" w:type="dxa"/>
            <w:vMerge w:val="restart"/>
          </w:tcPr>
          <w:p>
            <w:pPr>
              <w:pStyle w:val="TableParagraph"/>
              <w:spacing w:line="268" w:lineRule="exact"/>
              <w:ind w:left="117"/>
              <w:rPr>
                <w:sz w:val="24"/>
              </w:rPr>
            </w:pPr>
            <w:r>
              <w:rPr>
                <w:sz w:val="24"/>
              </w:rPr>
              <w:t>№ п/п</w:t>
            </w:r>
          </w:p>
        </w:tc>
        <w:tc>
          <w:tcPr>
            <w:tcW w:w="4110" w:type="dxa"/>
            <w:vMerge w:val="restart"/>
          </w:tcPr>
          <w:p>
            <w:pPr>
              <w:pStyle w:val="TableParagraph"/>
              <w:spacing w:line="268" w:lineRule="exact"/>
              <w:ind w:left="1427" w:right="1401"/>
              <w:jc w:val="center"/>
              <w:rPr>
                <w:sz w:val="24"/>
              </w:rPr>
            </w:pPr>
            <w:r>
              <w:rPr>
                <w:sz w:val="24"/>
              </w:rPr>
              <w:t>Назва сорту</w:t>
            </w:r>
          </w:p>
        </w:tc>
        <w:tc>
          <w:tcPr>
            <w:tcW w:w="1988" w:type="dxa"/>
            <w:gridSpan w:val="2"/>
          </w:tcPr>
          <w:p>
            <w:pPr>
              <w:pStyle w:val="TableParagraph"/>
              <w:spacing w:line="268" w:lineRule="exact"/>
              <w:ind w:left="482"/>
              <w:rPr>
                <w:sz w:val="24"/>
              </w:rPr>
            </w:pPr>
            <w:r>
              <w:rPr>
                <w:sz w:val="24"/>
              </w:rPr>
              <w:t>Площа, га</w:t>
            </w:r>
          </w:p>
        </w:tc>
        <w:tc>
          <w:tcPr>
            <w:tcW w:w="1983" w:type="dxa"/>
            <w:gridSpan w:val="2"/>
          </w:tcPr>
          <w:p>
            <w:pPr>
              <w:pStyle w:val="TableParagraph"/>
              <w:spacing w:line="268" w:lineRule="exact"/>
              <w:ind w:left="103" w:right="82"/>
              <w:jc w:val="center"/>
              <w:rPr>
                <w:sz w:val="24"/>
              </w:rPr>
            </w:pPr>
            <w:r>
              <w:rPr>
                <w:sz w:val="24"/>
              </w:rPr>
              <w:t>У % до загальної</w:t>
            </w:r>
          </w:p>
          <w:p>
            <w:pPr>
              <w:pStyle w:val="TableParagraph"/>
              <w:spacing w:line="261" w:lineRule="exact" w:before="2"/>
              <w:ind w:left="103" w:right="80"/>
              <w:jc w:val="center"/>
              <w:rPr>
                <w:sz w:val="24"/>
              </w:rPr>
            </w:pPr>
            <w:r>
              <w:rPr>
                <w:sz w:val="24"/>
              </w:rPr>
              <w:t>площі</w:t>
            </w:r>
          </w:p>
        </w:tc>
      </w:tr>
      <w:tr>
        <w:trPr>
          <w:trHeight w:val="278" w:hRule="atLeast"/>
        </w:trPr>
        <w:tc>
          <w:tcPr>
            <w:tcW w:w="850" w:type="dxa"/>
            <w:vMerge/>
            <w:tcBorders>
              <w:top w:val="nil"/>
            </w:tcBorders>
          </w:tcPr>
          <w:p>
            <w:pPr>
              <w:rPr>
                <w:sz w:val="2"/>
                <w:szCs w:val="2"/>
              </w:rPr>
            </w:pPr>
          </w:p>
        </w:tc>
        <w:tc>
          <w:tcPr>
            <w:tcW w:w="4110" w:type="dxa"/>
            <w:vMerge/>
            <w:tcBorders>
              <w:top w:val="nil"/>
            </w:tcBorders>
          </w:tcPr>
          <w:p>
            <w:pPr>
              <w:rPr>
                <w:sz w:val="2"/>
                <w:szCs w:val="2"/>
              </w:rPr>
            </w:pPr>
          </w:p>
        </w:tc>
        <w:tc>
          <w:tcPr>
            <w:tcW w:w="994" w:type="dxa"/>
          </w:tcPr>
          <w:p>
            <w:pPr>
              <w:pStyle w:val="TableParagraph"/>
              <w:spacing w:line="258" w:lineRule="exact"/>
              <w:ind w:left="117" w:right="100"/>
              <w:jc w:val="center"/>
              <w:rPr>
                <w:sz w:val="24"/>
              </w:rPr>
            </w:pPr>
            <w:r>
              <w:rPr>
                <w:sz w:val="24"/>
              </w:rPr>
              <w:t>2005 р.</w:t>
            </w:r>
          </w:p>
        </w:tc>
        <w:tc>
          <w:tcPr>
            <w:tcW w:w="994" w:type="dxa"/>
          </w:tcPr>
          <w:p>
            <w:pPr>
              <w:pStyle w:val="TableParagraph"/>
              <w:spacing w:line="258" w:lineRule="exact"/>
              <w:ind w:left="117" w:right="101"/>
              <w:jc w:val="center"/>
              <w:rPr>
                <w:sz w:val="24"/>
              </w:rPr>
            </w:pPr>
            <w:r>
              <w:rPr>
                <w:sz w:val="24"/>
              </w:rPr>
              <w:t>2018 р.</w:t>
            </w:r>
          </w:p>
        </w:tc>
        <w:tc>
          <w:tcPr>
            <w:tcW w:w="989" w:type="dxa"/>
          </w:tcPr>
          <w:p>
            <w:pPr>
              <w:pStyle w:val="TableParagraph"/>
              <w:spacing w:line="258" w:lineRule="exact"/>
              <w:ind w:left="113" w:right="101"/>
              <w:jc w:val="center"/>
              <w:rPr>
                <w:sz w:val="24"/>
              </w:rPr>
            </w:pPr>
            <w:r>
              <w:rPr>
                <w:sz w:val="24"/>
              </w:rPr>
              <w:t>2005 р.</w:t>
            </w:r>
          </w:p>
        </w:tc>
        <w:tc>
          <w:tcPr>
            <w:tcW w:w="994" w:type="dxa"/>
          </w:tcPr>
          <w:p>
            <w:pPr>
              <w:pStyle w:val="TableParagraph"/>
              <w:spacing w:line="258" w:lineRule="exact"/>
              <w:ind w:left="117" w:right="100"/>
              <w:jc w:val="center"/>
              <w:rPr>
                <w:sz w:val="24"/>
              </w:rPr>
            </w:pPr>
            <w:r>
              <w:rPr>
                <w:sz w:val="24"/>
              </w:rPr>
              <w:t>2018 р.</w:t>
            </w:r>
          </w:p>
        </w:tc>
      </w:tr>
      <w:tr>
        <w:trPr>
          <w:trHeight w:val="277" w:hRule="atLeast"/>
        </w:trPr>
        <w:tc>
          <w:tcPr>
            <w:tcW w:w="850" w:type="dxa"/>
          </w:tcPr>
          <w:p>
            <w:pPr>
              <w:pStyle w:val="TableParagraph"/>
              <w:spacing w:line="258" w:lineRule="exact"/>
              <w:ind w:left="35"/>
              <w:rPr>
                <w:sz w:val="24"/>
              </w:rPr>
            </w:pPr>
            <w:r>
              <w:rPr>
                <w:sz w:val="24"/>
              </w:rPr>
              <w:t>1</w:t>
            </w:r>
          </w:p>
        </w:tc>
        <w:tc>
          <w:tcPr>
            <w:tcW w:w="4110" w:type="dxa"/>
          </w:tcPr>
          <w:p>
            <w:pPr>
              <w:pStyle w:val="TableParagraph"/>
              <w:spacing w:line="258" w:lineRule="exact"/>
              <w:ind w:left="40"/>
              <w:rPr>
                <w:sz w:val="24"/>
              </w:rPr>
            </w:pPr>
            <w:r>
              <w:rPr>
                <w:sz w:val="24"/>
              </w:rPr>
              <w:t>Молдова</w:t>
            </w:r>
          </w:p>
        </w:tc>
        <w:tc>
          <w:tcPr>
            <w:tcW w:w="994" w:type="dxa"/>
          </w:tcPr>
          <w:p>
            <w:pPr>
              <w:pStyle w:val="TableParagraph"/>
              <w:spacing w:line="258" w:lineRule="exact"/>
              <w:ind w:left="115" w:right="101"/>
              <w:jc w:val="center"/>
              <w:rPr>
                <w:sz w:val="24"/>
              </w:rPr>
            </w:pPr>
            <w:r>
              <w:rPr>
                <w:sz w:val="24"/>
              </w:rPr>
              <w:t>1281</w:t>
            </w:r>
          </w:p>
        </w:tc>
        <w:tc>
          <w:tcPr>
            <w:tcW w:w="994" w:type="dxa"/>
          </w:tcPr>
          <w:p>
            <w:pPr>
              <w:pStyle w:val="TableParagraph"/>
              <w:spacing w:line="258" w:lineRule="exact"/>
              <w:ind w:left="117" w:right="93"/>
              <w:jc w:val="center"/>
              <w:rPr>
                <w:sz w:val="24"/>
              </w:rPr>
            </w:pPr>
            <w:r>
              <w:rPr>
                <w:sz w:val="24"/>
              </w:rPr>
              <w:t>577,81</w:t>
            </w:r>
          </w:p>
        </w:tc>
        <w:tc>
          <w:tcPr>
            <w:tcW w:w="989" w:type="dxa"/>
          </w:tcPr>
          <w:p>
            <w:pPr>
              <w:pStyle w:val="TableParagraph"/>
              <w:spacing w:line="258" w:lineRule="exact"/>
              <w:ind w:left="113" w:right="94"/>
              <w:jc w:val="center"/>
              <w:rPr>
                <w:sz w:val="24"/>
              </w:rPr>
            </w:pPr>
            <w:r>
              <w:rPr>
                <w:sz w:val="24"/>
              </w:rPr>
              <w:t>27,6</w:t>
            </w:r>
          </w:p>
        </w:tc>
        <w:tc>
          <w:tcPr>
            <w:tcW w:w="994" w:type="dxa"/>
          </w:tcPr>
          <w:p>
            <w:pPr>
              <w:pStyle w:val="TableParagraph"/>
              <w:spacing w:line="258" w:lineRule="exact"/>
              <w:ind w:left="117" w:right="93"/>
              <w:jc w:val="center"/>
              <w:rPr>
                <w:sz w:val="24"/>
              </w:rPr>
            </w:pPr>
            <w:r>
              <w:rPr>
                <w:sz w:val="24"/>
              </w:rPr>
              <w:t>34,5</w:t>
            </w:r>
          </w:p>
        </w:tc>
      </w:tr>
      <w:tr>
        <w:trPr>
          <w:trHeight w:val="272" w:hRule="atLeast"/>
        </w:trPr>
        <w:tc>
          <w:tcPr>
            <w:tcW w:w="850" w:type="dxa"/>
          </w:tcPr>
          <w:p>
            <w:pPr>
              <w:pStyle w:val="TableParagraph"/>
              <w:spacing w:line="253" w:lineRule="exact"/>
              <w:ind w:left="35"/>
              <w:rPr>
                <w:sz w:val="24"/>
              </w:rPr>
            </w:pPr>
            <w:r>
              <w:rPr>
                <w:sz w:val="24"/>
              </w:rPr>
              <w:t>2</w:t>
            </w:r>
          </w:p>
        </w:tc>
        <w:tc>
          <w:tcPr>
            <w:tcW w:w="4110" w:type="dxa"/>
          </w:tcPr>
          <w:p>
            <w:pPr>
              <w:pStyle w:val="TableParagraph"/>
              <w:spacing w:line="253" w:lineRule="exact"/>
              <w:ind w:left="40"/>
              <w:rPr>
                <w:sz w:val="24"/>
              </w:rPr>
            </w:pPr>
            <w:r>
              <w:rPr>
                <w:sz w:val="24"/>
              </w:rPr>
              <w:t>Ранній Магарача</w:t>
            </w:r>
          </w:p>
        </w:tc>
        <w:tc>
          <w:tcPr>
            <w:tcW w:w="994" w:type="dxa"/>
          </w:tcPr>
          <w:p>
            <w:pPr>
              <w:pStyle w:val="TableParagraph"/>
              <w:spacing w:line="253" w:lineRule="exact"/>
              <w:ind w:left="115" w:right="101"/>
              <w:jc w:val="center"/>
              <w:rPr>
                <w:sz w:val="24"/>
              </w:rPr>
            </w:pPr>
            <w:r>
              <w:rPr>
                <w:sz w:val="24"/>
              </w:rPr>
              <w:t>1204</w:t>
            </w:r>
          </w:p>
        </w:tc>
        <w:tc>
          <w:tcPr>
            <w:tcW w:w="994" w:type="dxa"/>
          </w:tcPr>
          <w:p>
            <w:pPr>
              <w:pStyle w:val="TableParagraph"/>
              <w:spacing w:line="253" w:lineRule="exact"/>
              <w:ind w:left="117" w:right="98"/>
              <w:jc w:val="center"/>
              <w:rPr>
                <w:sz w:val="24"/>
              </w:rPr>
            </w:pPr>
            <w:r>
              <w:rPr>
                <w:sz w:val="24"/>
              </w:rPr>
              <w:t>39,17</w:t>
            </w:r>
          </w:p>
        </w:tc>
        <w:tc>
          <w:tcPr>
            <w:tcW w:w="989" w:type="dxa"/>
          </w:tcPr>
          <w:p>
            <w:pPr>
              <w:pStyle w:val="TableParagraph"/>
              <w:spacing w:line="253" w:lineRule="exact"/>
              <w:ind w:left="113" w:right="94"/>
              <w:jc w:val="center"/>
              <w:rPr>
                <w:sz w:val="24"/>
              </w:rPr>
            </w:pPr>
            <w:r>
              <w:rPr>
                <w:sz w:val="24"/>
              </w:rPr>
              <w:t>26,0</w:t>
            </w:r>
          </w:p>
        </w:tc>
        <w:tc>
          <w:tcPr>
            <w:tcW w:w="994" w:type="dxa"/>
          </w:tcPr>
          <w:p>
            <w:pPr>
              <w:pStyle w:val="TableParagraph"/>
              <w:spacing w:line="253" w:lineRule="exact"/>
              <w:ind w:left="117" w:right="97"/>
              <w:jc w:val="center"/>
              <w:rPr>
                <w:sz w:val="24"/>
              </w:rPr>
            </w:pPr>
            <w:r>
              <w:rPr>
                <w:sz w:val="24"/>
              </w:rPr>
              <w:t>2,3</w:t>
            </w:r>
          </w:p>
        </w:tc>
      </w:tr>
      <w:tr>
        <w:trPr>
          <w:trHeight w:val="277" w:hRule="atLeast"/>
        </w:trPr>
        <w:tc>
          <w:tcPr>
            <w:tcW w:w="850" w:type="dxa"/>
          </w:tcPr>
          <w:p>
            <w:pPr>
              <w:pStyle w:val="TableParagraph"/>
              <w:spacing w:line="258" w:lineRule="exact"/>
              <w:ind w:left="35"/>
              <w:rPr>
                <w:sz w:val="24"/>
              </w:rPr>
            </w:pPr>
            <w:r>
              <w:rPr>
                <w:sz w:val="24"/>
              </w:rPr>
              <w:t>3</w:t>
            </w:r>
          </w:p>
        </w:tc>
        <w:tc>
          <w:tcPr>
            <w:tcW w:w="4110" w:type="dxa"/>
          </w:tcPr>
          <w:p>
            <w:pPr>
              <w:pStyle w:val="TableParagraph"/>
              <w:spacing w:line="258" w:lineRule="exact"/>
              <w:ind w:left="40"/>
              <w:rPr>
                <w:sz w:val="24"/>
              </w:rPr>
            </w:pPr>
            <w:r>
              <w:rPr>
                <w:sz w:val="24"/>
              </w:rPr>
              <w:t>Шасла біла</w:t>
            </w:r>
          </w:p>
        </w:tc>
        <w:tc>
          <w:tcPr>
            <w:tcW w:w="994" w:type="dxa"/>
          </w:tcPr>
          <w:p>
            <w:pPr>
              <w:pStyle w:val="TableParagraph"/>
              <w:spacing w:line="258" w:lineRule="exact"/>
              <w:ind w:left="117" w:right="98"/>
              <w:jc w:val="center"/>
              <w:rPr>
                <w:sz w:val="24"/>
              </w:rPr>
            </w:pPr>
            <w:r>
              <w:rPr>
                <w:sz w:val="24"/>
              </w:rPr>
              <w:t>344</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7,4</w:t>
            </w:r>
          </w:p>
        </w:tc>
        <w:tc>
          <w:tcPr>
            <w:tcW w:w="994" w:type="dxa"/>
          </w:tcPr>
          <w:p>
            <w:pPr>
              <w:pStyle w:val="TableParagraph"/>
              <w:spacing w:line="258"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4</w:t>
            </w:r>
          </w:p>
        </w:tc>
        <w:tc>
          <w:tcPr>
            <w:tcW w:w="4110" w:type="dxa"/>
          </w:tcPr>
          <w:p>
            <w:pPr>
              <w:pStyle w:val="TableParagraph"/>
              <w:spacing w:line="258" w:lineRule="exact"/>
              <w:ind w:left="40"/>
              <w:rPr>
                <w:sz w:val="24"/>
              </w:rPr>
            </w:pPr>
            <w:r>
              <w:rPr>
                <w:sz w:val="24"/>
              </w:rPr>
              <w:t>Мускат янтарний</w:t>
            </w:r>
          </w:p>
        </w:tc>
        <w:tc>
          <w:tcPr>
            <w:tcW w:w="994" w:type="dxa"/>
          </w:tcPr>
          <w:p>
            <w:pPr>
              <w:pStyle w:val="TableParagraph"/>
              <w:spacing w:line="258" w:lineRule="exact"/>
              <w:ind w:left="117" w:right="98"/>
              <w:jc w:val="center"/>
              <w:rPr>
                <w:sz w:val="24"/>
              </w:rPr>
            </w:pPr>
            <w:r>
              <w:rPr>
                <w:sz w:val="24"/>
              </w:rPr>
              <w:t>219</w:t>
            </w:r>
          </w:p>
        </w:tc>
        <w:tc>
          <w:tcPr>
            <w:tcW w:w="994" w:type="dxa"/>
          </w:tcPr>
          <w:p>
            <w:pPr>
              <w:pStyle w:val="TableParagraph"/>
              <w:spacing w:line="258" w:lineRule="exact"/>
              <w:ind w:left="117" w:right="98"/>
              <w:jc w:val="center"/>
              <w:rPr>
                <w:sz w:val="24"/>
              </w:rPr>
            </w:pPr>
            <w:r>
              <w:rPr>
                <w:sz w:val="24"/>
              </w:rPr>
              <w:t>89,93</w:t>
            </w:r>
          </w:p>
        </w:tc>
        <w:tc>
          <w:tcPr>
            <w:tcW w:w="989" w:type="dxa"/>
          </w:tcPr>
          <w:p>
            <w:pPr>
              <w:pStyle w:val="TableParagraph"/>
              <w:spacing w:line="258" w:lineRule="exact"/>
              <w:ind w:left="113" w:right="98"/>
              <w:jc w:val="center"/>
              <w:rPr>
                <w:sz w:val="24"/>
              </w:rPr>
            </w:pPr>
            <w:r>
              <w:rPr>
                <w:sz w:val="24"/>
              </w:rPr>
              <w:t>4,7</w:t>
            </w:r>
          </w:p>
        </w:tc>
        <w:tc>
          <w:tcPr>
            <w:tcW w:w="994" w:type="dxa"/>
          </w:tcPr>
          <w:p>
            <w:pPr>
              <w:pStyle w:val="TableParagraph"/>
              <w:spacing w:line="258" w:lineRule="exact"/>
              <w:ind w:left="117" w:right="97"/>
              <w:jc w:val="center"/>
              <w:rPr>
                <w:sz w:val="24"/>
              </w:rPr>
            </w:pPr>
            <w:r>
              <w:rPr>
                <w:sz w:val="24"/>
              </w:rPr>
              <w:t>5,4</w:t>
            </w:r>
          </w:p>
        </w:tc>
      </w:tr>
      <w:tr>
        <w:trPr>
          <w:trHeight w:val="273" w:hRule="atLeast"/>
        </w:trPr>
        <w:tc>
          <w:tcPr>
            <w:tcW w:w="850" w:type="dxa"/>
          </w:tcPr>
          <w:p>
            <w:pPr>
              <w:pStyle w:val="TableParagraph"/>
              <w:spacing w:line="253" w:lineRule="exact"/>
              <w:ind w:left="35"/>
              <w:rPr>
                <w:sz w:val="24"/>
              </w:rPr>
            </w:pPr>
            <w:r>
              <w:rPr>
                <w:sz w:val="24"/>
              </w:rPr>
              <w:t>5</w:t>
            </w:r>
          </w:p>
        </w:tc>
        <w:tc>
          <w:tcPr>
            <w:tcW w:w="4110" w:type="dxa"/>
          </w:tcPr>
          <w:p>
            <w:pPr>
              <w:pStyle w:val="TableParagraph"/>
              <w:spacing w:line="253" w:lineRule="exact"/>
              <w:ind w:left="40"/>
              <w:rPr>
                <w:sz w:val="24"/>
              </w:rPr>
            </w:pPr>
            <w:r>
              <w:rPr>
                <w:sz w:val="24"/>
              </w:rPr>
              <w:t>Одеський ранній</w:t>
            </w:r>
          </w:p>
        </w:tc>
        <w:tc>
          <w:tcPr>
            <w:tcW w:w="994" w:type="dxa"/>
          </w:tcPr>
          <w:p>
            <w:pPr>
              <w:pStyle w:val="TableParagraph"/>
              <w:spacing w:line="253" w:lineRule="exact"/>
              <w:ind w:left="117" w:right="98"/>
              <w:jc w:val="center"/>
              <w:rPr>
                <w:sz w:val="24"/>
              </w:rPr>
            </w:pPr>
            <w:r>
              <w:rPr>
                <w:sz w:val="24"/>
              </w:rPr>
              <w:t>216</w:t>
            </w:r>
          </w:p>
        </w:tc>
        <w:tc>
          <w:tcPr>
            <w:tcW w:w="994" w:type="dxa"/>
          </w:tcPr>
          <w:p>
            <w:pPr>
              <w:pStyle w:val="TableParagraph"/>
              <w:spacing w:line="253" w:lineRule="exact"/>
              <w:ind w:left="17"/>
              <w:jc w:val="center"/>
              <w:rPr>
                <w:sz w:val="24"/>
              </w:rPr>
            </w:pPr>
            <w:r>
              <w:rPr>
                <w:w w:val="99"/>
                <w:sz w:val="24"/>
              </w:rPr>
              <w:t>-</w:t>
            </w:r>
          </w:p>
        </w:tc>
        <w:tc>
          <w:tcPr>
            <w:tcW w:w="989" w:type="dxa"/>
          </w:tcPr>
          <w:p>
            <w:pPr>
              <w:pStyle w:val="TableParagraph"/>
              <w:spacing w:line="253" w:lineRule="exact"/>
              <w:ind w:left="113" w:right="98"/>
              <w:jc w:val="center"/>
              <w:rPr>
                <w:sz w:val="24"/>
              </w:rPr>
            </w:pPr>
            <w:r>
              <w:rPr>
                <w:sz w:val="24"/>
              </w:rPr>
              <w:t>4,7</w:t>
            </w:r>
          </w:p>
        </w:tc>
        <w:tc>
          <w:tcPr>
            <w:tcW w:w="994" w:type="dxa"/>
          </w:tcPr>
          <w:p>
            <w:pPr>
              <w:pStyle w:val="TableParagraph"/>
              <w:spacing w:line="253" w:lineRule="exact"/>
              <w:ind w:left="15"/>
              <w:jc w:val="center"/>
              <w:rPr>
                <w:sz w:val="24"/>
              </w:rPr>
            </w:pPr>
            <w:r>
              <w:rPr>
                <w:sz w:val="24"/>
              </w:rPr>
              <w:t>Х</w:t>
            </w:r>
          </w:p>
        </w:tc>
      </w:tr>
      <w:tr>
        <w:trPr>
          <w:trHeight w:val="278" w:hRule="atLeast"/>
        </w:trPr>
        <w:tc>
          <w:tcPr>
            <w:tcW w:w="850" w:type="dxa"/>
          </w:tcPr>
          <w:p>
            <w:pPr>
              <w:pStyle w:val="TableParagraph"/>
              <w:spacing w:line="258" w:lineRule="exact"/>
              <w:ind w:left="35"/>
              <w:rPr>
                <w:sz w:val="24"/>
              </w:rPr>
            </w:pPr>
            <w:r>
              <w:rPr>
                <w:sz w:val="24"/>
              </w:rPr>
              <w:t>6</w:t>
            </w:r>
          </w:p>
        </w:tc>
        <w:tc>
          <w:tcPr>
            <w:tcW w:w="4110" w:type="dxa"/>
          </w:tcPr>
          <w:p>
            <w:pPr>
              <w:pStyle w:val="TableParagraph"/>
              <w:spacing w:line="258" w:lineRule="exact"/>
              <w:ind w:left="40"/>
              <w:rPr>
                <w:sz w:val="24"/>
              </w:rPr>
            </w:pPr>
            <w:r>
              <w:rPr>
                <w:sz w:val="24"/>
              </w:rPr>
              <w:t>Королева виноградників</w:t>
            </w:r>
          </w:p>
        </w:tc>
        <w:tc>
          <w:tcPr>
            <w:tcW w:w="994" w:type="dxa"/>
          </w:tcPr>
          <w:p>
            <w:pPr>
              <w:pStyle w:val="TableParagraph"/>
              <w:spacing w:line="258" w:lineRule="exact"/>
              <w:ind w:left="117" w:right="98"/>
              <w:jc w:val="center"/>
              <w:rPr>
                <w:sz w:val="24"/>
              </w:rPr>
            </w:pPr>
            <w:r>
              <w:rPr>
                <w:sz w:val="24"/>
              </w:rPr>
              <w:t>202</w:t>
            </w:r>
          </w:p>
        </w:tc>
        <w:tc>
          <w:tcPr>
            <w:tcW w:w="994" w:type="dxa"/>
          </w:tcPr>
          <w:p>
            <w:pPr>
              <w:pStyle w:val="TableParagraph"/>
              <w:spacing w:line="258" w:lineRule="exact"/>
              <w:ind w:left="117" w:right="98"/>
              <w:jc w:val="center"/>
              <w:rPr>
                <w:sz w:val="24"/>
              </w:rPr>
            </w:pPr>
            <w:r>
              <w:rPr>
                <w:sz w:val="24"/>
              </w:rPr>
              <w:t>65,76</w:t>
            </w:r>
          </w:p>
        </w:tc>
        <w:tc>
          <w:tcPr>
            <w:tcW w:w="989" w:type="dxa"/>
          </w:tcPr>
          <w:p>
            <w:pPr>
              <w:pStyle w:val="TableParagraph"/>
              <w:spacing w:line="258" w:lineRule="exact"/>
              <w:ind w:left="113" w:right="98"/>
              <w:jc w:val="center"/>
              <w:rPr>
                <w:sz w:val="24"/>
              </w:rPr>
            </w:pPr>
            <w:r>
              <w:rPr>
                <w:sz w:val="24"/>
              </w:rPr>
              <w:t>4,4</w:t>
            </w:r>
          </w:p>
        </w:tc>
        <w:tc>
          <w:tcPr>
            <w:tcW w:w="994" w:type="dxa"/>
          </w:tcPr>
          <w:p>
            <w:pPr>
              <w:pStyle w:val="TableParagraph"/>
              <w:spacing w:line="258" w:lineRule="exact"/>
              <w:ind w:left="117" w:right="97"/>
              <w:jc w:val="center"/>
              <w:rPr>
                <w:sz w:val="24"/>
              </w:rPr>
            </w:pPr>
            <w:r>
              <w:rPr>
                <w:sz w:val="24"/>
              </w:rPr>
              <w:t>3,9</w:t>
            </w:r>
          </w:p>
        </w:tc>
      </w:tr>
      <w:tr>
        <w:trPr>
          <w:trHeight w:val="272" w:hRule="atLeast"/>
        </w:trPr>
        <w:tc>
          <w:tcPr>
            <w:tcW w:w="850" w:type="dxa"/>
          </w:tcPr>
          <w:p>
            <w:pPr>
              <w:pStyle w:val="TableParagraph"/>
              <w:spacing w:line="253" w:lineRule="exact"/>
              <w:ind w:left="35"/>
              <w:rPr>
                <w:sz w:val="24"/>
              </w:rPr>
            </w:pPr>
            <w:r>
              <w:rPr>
                <w:sz w:val="24"/>
              </w:rPr>
              <w:t>7</w:t>
            </w:r>
          </w:p>
        </w:tc>
        <w:tc>
          <w:tcPr>
            <w:tcW w:w="4110" w:type="dxa"/>
          </w:tcPr>
          <w:p>
            <w:pPr>
              <w:pStyle w:val="TableParagraph"/>
              <w:spacing w:line="253" w:lineRule="exact"/>
              <w:ind w:left="40"/>
              <w:rPr>
                <w:sz w:val="24"/>
              </w:rPr>
            </w:pPr>
            <w:r>
              <w:rPr>
                <w:sz w:val="24"/>
              </w:rPr>
              <w:t>Італія</w:t>
            </w:r>
          </w:p>
        </w:tc>
        <w:tc>
          <w:tcPr>
            <w:tcW w:w="994" w:type="dxa"/>
          </w:tcPr>
          <w:p>
            <w:pPr>
              <w:pStyle w:val="TableParagraph"/>
              <w:spacing w:line="253" w:lineRule="exact"/>
              <w:ind w:left="117" w:right="98"/>
              <w:jc w:val="center"/>
              <w:rPr>
                <w:sz w:val="24"/>
              </w:rPr>
            </w:pPr>
            <w:r>
              <w:rPr>
                <w:sz w:val="24"/>
              </w:rPr>
              <w:t>177</w:t>
            </w:r>
          </w:p>
        </w:tc>
        <w:tc>
          <w:tcPr>
            <w:tcW w:w="994" w:type="dxa"/>
          </w:tcPr>
          <w:p>
            <w:pPr>
              <w:pStyle w:val="TableParagraph"/>
              <w:spacing w:line="253" w:lineRule="exact"/>
              <w:ind w:left="17"/>
              <w:jc w:val="center"/>
              <w:rPr>
                <w:sz w:val="24"/>
              </w:rPr>
            </w:pPr>
            <w:r>
              <w:rPr>
                <w:w w:val="99"/>
                <w:sz w:val="24"/>
              </w:rPr>
              <w:t>-</w:t>
            </w:r>
          </w:p>
        </w:tc>
        <w:tc>
          <w:tcPr>
            <w:tcW w:w="989" w:type="dxa"/>
          </w:tcPr>
          <w:p>
            <w:pPr>
              <w:pStyle w:val="TableParagraph"/>
              <w:spacing w:line="253" w:lineRule="exact"/>
              <w:ind w:left="113" w:right="98"/>
              <w:jc w:val="center"/>
              <w:rPr>
                <w:sz w:val="24"/>
              </w:rPr>
            </w:pPr>
            <w:r>
              <w:rPr>
                <w:sz w:val="24"/>
              </w:rPr>
              <w:t>3,8</w:t>
            </w:r>
          </w:p>
        </w:tc>
        <w:tc>
          <w:tcPr>
            <w:tcW w:w="994" w:type="dxa"/>
          </w:tcPr>
          <w:p>
            <w:pPr>
              <w:pStyle w:val="TableParagraph"/>
              <w:spacing w:line="253"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8</w:t>
            </w:r>
          </w:p>
        </w:tc>
        <w:tc>
          <w:tcPr>
            <w:tcW w:w="4110" w:type="dxa"/>
          </w:tcPr>
          <w:p>
            <w:pPr>
              <w:pStyle w:val="TableParagraph"/>
              <w:spacing w:line="258" w:lineRule="exact"/>
              <w:ind w:left="40"/>
              <w:rPr>
                <w:sz w:val="24"/>
              </w:rPr>
            </w:pPr>
            <w:r>
              <w:rPr>
                <w:sz w:val="24"/>
              </w:rPr>
              <w:t>Одеський сувенір</w:t>
            </w:r>
          </w:p>
        </w:tc>
        <w:tc>
          <w:tcPr>
            <w:tcW w:w="994" w:type="dxa"/>
          </w:tcPr>
          <w:p>
            <w:pPr>
              <w:pStyle w:val="TableParagraph"/>
              <w:spacing w:line="258" w:lineRule="exact"/>
              <w:ind w:left="117" w:right="98"/>
              <w:jc w:val="center"/>
              <w:rPr>
                <w:sz w:val="24"/>
              </w:rPr>
            </w:pPr>
            <w:r>
              <w:rPr>
                <w:sz w:val="24"/>
              </w:rPr>
              <w:t>115</w:t>
            </w:r>
          </w:p>
        </w:tc>
        <w:tc>
          <w:tcPr>
            <w:tcW w:w="994" w:type="dxa"/>
          </w:tcPr>
          <w:p>
            <w:pPr>
              <w:pStyle w:val="TableParagraph"/>
              <w:spacing w:line="258" w:lineRule="exact"/>
              <w:ind w:left="117" w:right="93"/>
              <w:jc w:val="center"/>
              <w:rPr>
                <w:sz w:val="24"/>
              </w:rPr>
            </w:pPr>
            <w:r>
              <w:rPr>
                <w:sz w:val="24"/>
              </w:rPr>
              <w:t>107,65</w:t>
            </w:r>
          </w:p>
        </w:tc>
        <w:tc>
          <w:tcPr>
            <w:tcW w:w="989" w:type="dxa"/>
          </w:tcPr>
          <w:p>
            <w:pPr>
              <w:pStyle w:val="TableParagraph"/>
              <w:spacing w:line="258" w:lineRule="exact"/>
              <w:ind w:left="113" w:right="98"/>
              <w:jc w:val="center"/>
              <w:rPr>
                <w:sz w:val="24"/>
              </w:rPr>
            </w:pPr>
            <w:r>
              <w:rPr>
                <w:sz w:val="24"/>
              </w:rPr>
              <w:t>2,5</w:t>
            </w:r>
          </w:p>
        </w:tc>
        <w:tc>
          <w:tcPr>
            <w:tcW w:w="994" w:type="dxa"/>
          </w:tcPr>
          <w:p>
            <w:pPr>
              <w:pStyle w:val="TableParagraph"/>
              <w:spacing w:line="258" w:lineRule="exact"/>
              <w:ind w:left="117" w:right="97"/>
              <w:jc w:val="center"/>
              <w:rPr>
                <w:sz w:val="24"/>
              </w:rPr>
            </w:pPr>
            <w:r>
              <w:rPr>
                <w:sz w:val="24"/>
              </w:rPr>
              <w:t>6,4</w:t>
            </w:r>
          </w:p>
        </w:tc>
      </w:tr>
      <w:tr>
        <w:trPr>
          <w:trHeight w:val="277" w:hRule="atLeast"/>
        </w:trPr>
        <w:tc>
          <w:tcPr>
            <w:tcW w:w="850" w:type="dxa"/>
          </w:tcPr>
          <w:p>
            <w:pPr>
              <w:pStyle w:val="TableParagraph"/>
              <w:spacing w:line="258" w:lineRule="exact"/>
              <w:ind w:left="35"/>
              <w:rPr>
                <w:sz w:val="24"/>
              </w:rPr>
            </w:pPr>
            <w:r>
              <w:rPr>
                <w:sz w:val="24"/>
              </w:rPr>
              <w:t>9</w:t>
            </w:r>
          </w:p>
        </w:tc>
        <w:tc>
          <w:tcPr>
            <w:tcW w:w="4110" w:type="dxa"/>
          </w:tcPr>
          <w:p>
            <w:pPr>
              <w:pStyle w:val="TableParagraph"/>
              <w:spacing w:line="258" w:lineRule="exact"/>
              <w:ind w:left="40"/>
              <w:rPr>
                <w:sz w:val="24"/>
              </w:rPr>
            </w:pPr>
            <w:r>
              <w:rPr>
                <w:sz w:val="24"/>
              </w:rPr>
              <w:t>Іршаї Олівер</w:t>
            </w:r>
          </w:p>
        </w:tc>
        <w:tc>
          <w:tcPr>
            <w:tcW w:w="994" w:type="dxa"/>
          </w:tcPr>
          <w:p>
            <w:pPr>
              <w:pStyle w:val="TableParagraph"/>
              <w:spacing w:line="258" w:lineRule="exact"/>
              <w:ind w:left="117" w:right="98"/>
              <w:jc w:val="center"/>
              <w:rPr>
                <w:sz w:val="24"/>
              </w:rPr>
            </w:pPr>
            <w:r>
              <w:rPr>
                <w:sz w:val="24"/>
              </w:rPr>
              <w:t>134</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2,9</w:t>
            </w:r>
          </w:p>
        </w:tc>
        <w:tc>
          <w:tcPr>
            <w:tcW w:w="994" w:type="dxa"/>
          </w:tcPr>
          <w:p>
            <w:pPr>
              <w:pStyle w:val="TableParagraph"/>
              <w:spacing w:line="258" w:lineRule="exact"/>
              <w:ind w:left="15"/>
              <w:jc w:val="center"/>
              <w:rPr>
                <w:sz w:val="24"/>
              </w:rPr>
            </w:pPr>
            <w:r>
              <w:rPr>
                <w:sz w:val="24"/>
              </w:rPr>
              <w:t>Х</w:t>
            </w:r>
          </w:p>
        </w:tc>
      </w:tr>
      <w:tr>
        <w:trPr>
          <w:trHeight w:val="273" w:hRule="atLeast"/>
        </w:trPr>
        <w:tc>
          <w:tcPr>
            <w:tcW w:w="850" w:type="dxa"/>
          </w:tcPr>
          <w:p>
            <w:pPr>
              <w:pStyle w:val="TableParagraph"/>
              <w:spacing w:line="253" w:lineRule="exact"/>
              <w:ind w:left="35"/>
              <w:rPr>
                <w:sz w:val="24"/>
              </w:rPr>
            </w:pPr>
            <w:r>
              <w:rPr>
                <w:sz w:val="24"/>
              </w:rPr>
              <w:t>10</w:t>
            </w:r>
          </w:p>
        </w:tc>
        <w:tc>
          <w:tcPr>
            <w:tcW w:w="4110" w:type="dxa"/>
          </w:tcPr>
          <w:p>
            <w:pPr>
              <w:pStyle w:val="TableParagraph"/>
              <w:spacing w:line="253" w:lineRule="exact"/>
              <w:ind w:left="40"/>
              <w:rPr>
                <w:sz w:val="24"/>
              </w:rPr>
            </w:pPr>
            <w:r>
              <w:rPr>
                <w:sz w:val="24"/>
              </w:rPr>
              <w:t>Красуня Цегледа</w:t>
            </w:r>
          </w:p>
        </w:tc>
        <w:tc>
          <w:tcPr>
            <w:tcW w:w="994" w:type="dxa"/>
          </w:tcPr>
          <w:p>
            <w:pPr>
              <w:pStyle w:val="TableParagraph"/>
              <w:spacing w:line="253" w:lineRule="exact"/>
              <w:ind w:left="115" w:right="101"/>
              <w:jc w:val="center"/>
              <w:rPr>
                <w:sz w:val="24"/>
              </w:rPr>
            </w:pPr>
            <w:r>
              <w:rPr>
                <w:sz w:val="24"/>
              </w:rPr>
              <w:t>67</w:t>
            </w:r>
          </w:p>
        </w:tc>
        <w:tc>
          <w:tcPr>
            <w:tcW w:w="994" w:type="dxa"/>
          </w:tcPr>
          <w:p>
            <w:pPr>
              <w:pStyle w:val="TableParagraph"/>
              <w:spacing w:line="253" w:lineRule="exact"/>
              <w:ind w:left="17"/>
              <w:jc w:val="center"/>
              <w:rPr>
                <w:sz w:val="24"/>
              </w:rPr>
            </w:pPr>
            <w:r>
              <w:rPr>
                <w:w w:val="99"/>
                <w:sz w:val="24"/>
              </w:rPr>
              <w:t>-</w:t>
            </w:r>
          </w:p>
        </w:tc>
        <w:tc>
          <w:tcPr>
            <w:tcW w:w="989" w:type="dxa"/>
          </w:tcPr>
          <w:p>
            <w:pPr>
              <w:pStyle w:val="TableParagraph"/>
              <w:spacing w:line="253" w:lineRule="exact"/>
              <w:ind w:left="113" w:right="98"/>
              <w:jc w:val="center"/>
              <w:rPr>
                <w:sz w:val="24"/>
              </w:rPr>
            </w:pPr>
            <w:r>
              <w:rPr>
                <w:sz w:val="24"/>
              </w:rPr>
              <w:t>1,4</w:t>
            </w:r>
          </w:p>
        </w:tc>
        <w:tc>
          <w:tcPr>
            <w:tcW w:w="994" w:type="dxa"/>
          </w:tcPr>
          <w:p>
            <w:pPr>
              <w:pStyle w:val="TableParagraph"/>
              <w:spacing w:line="253"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11</w:t>
            </w:r>
          </w:p>
        </w:tc>
        <w:tc>
          <w:tcPr>
            <w:tcW w:w="4110" w:type="dxa"/>
          </w:tcPr>
          <w:p>
            <w:pPr>
              <w:pStyle w:val="TableParagraph"/>
              <w:spacing w:line="258" w:lineRule="exact"/>
              <w:ind w:left="40"/>
              <w:rPr>
                <w:sz w:val="24"/>
              </w:rPr>
            </w:pPr>
            <w:r>
              <w:rPr>
                <w:sz w:val="24"/>
              </w:rPr>
              <w:t>Жемчуг Саба</w:t>
            </w:r>
          </w:p>
        </w:tc>
        <w:tc>
          <w:tcPr>
            <w:tcW w:w="994" w:type="dxa"/>
          </w:tcPr>
          <w:p>
            <w:pPr>
              <w:pStyle w:val="TableParagraph"/>
              <w:spacing w:line="258" w:lineRule="exact"/>
              <w:ind w:left="115" w:right="101"/>
              <w:jc w:val="center"/>
              <w:rPr>
                <w:sz w:val="24"/>
              </w:rPr>
            </w:pPr>
            <w:r>
              <w:rPr>
                <w:sz w:val="24"/>
              </w:rPr>
              <w:t>60</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1,3</w:t>
            </w:r>
          </w:p>
        </w:tc>
        <w:tc>
          <w:tcPr>
            <w:tcW w:w="994" w:type="dxa"/>
          </w:tcPr>
          <w:p>
            <w:pPr>
              <w:pStyle w:val="TableParagraph"/>
              <w:spacing w:line="258" w:lineRule="exact"/>
              <w:ind w:left="15"/>
              <w:jc w:val="center"/>
              <w:rPr>
                <w:sz w:val="24"/>
              </w:rPr>
            </w:pPr>
            <w:r>
              <w:rPr>
                <w:sz w:val="24"/>
              </w:rPr>
              <w:t>Х</w:t>
            </w:r>
          </w:p>
        </w:tc>
      </w:tr>
      <w:tr>
        <w:trPr>
          <w:trHeight w:val="273" w:hRule="atLeast"/>
        </w:trPr>
        <w:tc>
          <w:tcPr>
            <w:tcW w:w="850" w:type="dxa"/>
          </w:tcPr>
          <w:p>
            <w:pPr>
              <w:pStyle w:val="TableParagraph"/>
              <w:spacing w:line="254" w:lineRule="exact"/>
              <w:ind w:left="35"/>
              <w:rPr>
                <w:sz w:val="24"/>
              </w:rPr>
            </w:pPr>
            <w:r>
              <w:rPr>
                <w:sz w:val="24"/>
              </w:rPr>
              <w:t>12</w:t>
            </w:r>
          </w:p>
        </w:tc>
        <w:tc>
          <w:tcPr>
            <w:tcW w:w="4110" w:type="dxa"/>
          </w:tcPr>
          <w:p>
            <w:pPr>
              <w:pStyle w:val="TableParagraph"/>
              <w:spacing w:line="254" w:lineRule="exact"/>
              <w:ind w:left="40"/>
              <w:rPr>
                <w:sz w:val="24"/>
              </w:rPr>
            </w:pPr>
            <w:r>
              <w:rPr>
                <w:sz w:val="24"/>
              </w:rPr>
              <w:t>Восторг</w:t>
            </w:r>
          </w:p>
        </w:tc>
        <w:tc>
          <w:tcPr>
            <w:tcW w:w="994" w:type="dxa"/>
          </w:tcPr>
          <w:p>
            <w:pPr>
              <w:pStyle w:val="TableParagraph"/>
              <w:spacing w:line="254" w:lineRule="exact"/>
              <w:ind w:left="115" w:right="101"/>
              <w:jc w:val="center"/>
              <w:rPr>
                <w:sz w:val="24"/>
              </w:rPr>
            </w:pPr>
            <w:r>
              <w:rPr>
                <w:sz w:val="24"/>
              </w:rPr>
              <w:t>44</w:t>
            </w:r>
          </w:p>
        </w:tc>
        <w:tc>
          <w:tcPr>
            <w:tcW w:w="994" w:type="dxa"/>
          </w:tcPr>
          <w:p>
            <w:pPr>
              <w:pStyle w:val="TableParagraph"/>
              <w:spacing w:line="254" w:lineRule="exact"/>
              <w:ind w:left="117" w:right="98"/>
              <w:jc w:val="center"/>
              <w:rPr>
                <w:sz w:val="24"/>
              </w:rPr>
            </w:pPr>
            <w:r>
              <w:rPr>
                <w:sz w:val="24"/>
              </w:rPr>
              <w:t>58,61</w:t>
            </w:r>
          </w:p>
        </w:tc>
        <w:tc>
          <w:tcPr>
            <w:tcW w:w="989" w:type="dxa"/>
          </w:tcPr>
          <w:p>
            <w:pPr>
              <w:pStyle w:val="TableParagraph"/>
              <w:spacing w:line="254" w:lineRule="exact"/>
              <w:ind w:left="113" w:right="98"/>
              <w:jc w:val="center"/>
              <w:rPr>
                <w:sz w:val="24"/>
              </w:rPr>
            </w:pPr>
            <w:r>
              <w:rPr>
                <w:sz w:val="24"/>
              </w:rPr>
              <w:t>0,9</w:t>
            </w:r>
          </w:p>
        </w:tc>
        <w:tc>
          <w:tcPr>
            <w:tcW w:w="994" w:type="dxa"/>
          </w:tcPr>
          <w:p>
            <w:pPr>
              <w:pStyle w:val="TableParagraph"/>
              <w:spacing w:line="254" w:lineRule="exact"/>
              <w:ind w:left="117" w:right="97"/>
              <w:jc w:val="center"/>
              <w:rPr>
                <w:sz w:val="24"/>
              </w:rPr>
            </w:pPr>
            <w:r>
              <w:rPr>
                <w:sz w:val="24"/>
              </w:rPr>
              <w:t>3,5</w:t>
            </w:r>
          </w:p>
        </w:tc>
      </w:tr>
      <w:tr>
        <w:trPr>
          <w:trHeight w:val="277" w:hRule="atLeast"/>
        </w:trPr>
        <w:tc>
          <w:tcPr>
            <w:tcW w:w="850" w:type="dxa"/>
          </w:tcPr>
          <w:p>
            <w:pPr>
              <w:pStyle w:val="TableParagraph"/>
              <w:spacing w:line="258" w:lineRule="exact"/>
              <w:ind w:left="35"/>
              <w:rPr>
                <w:sz w:val="24"/>
              </w:rPr>
            </w:pPr>
            <w:r>
              <w:rPr>
                <w:sz w:val="24"/>
              </w:rPr>
              <w:t>13</w:t>
            </w:r>
          </w:p>
        </w:tc>
        <w:tc>
          <w:tcPr>
            <w:tcW w:w="4110" w:type="dxa"/>
          </w:tcPr>
          <w:p>
            <w:pPr>
              <w:pStyle w:val="TableParagraph"/>
              <w:spacing w:line="258" w:lineRule="exact"/>
              <w:ind w:left="40"/>
              <w:rPr>
                <w:sz w:val="24"/>
              </w:rPr>
            </w:pPr>
            <w:r>
              <w:rPr>
                <w:sz w:val="24"/>
              </w:rPr>
              <w:t>Сенсо</w:t>
            </w:r>
          </w:p>
        </w:tc>
        <w:tc>
          <w:tcPr>
            <w:tcW w:w="994" w:type="dxa"/>
          </w:tcPr>
          <w:p>
            <w:pPr>
              <w:pStyle w:val="TableParagraph"/>
              <w:spacing w:line="258" w:lineRule="exact"/>
              <w:ind w:left="115" w:right="101"/>
              <w:jc w:val="center"/>
              <w:rPr>
                <w:sz w:val="24"/>
              </w:rPr>
            </w:pPr>
            <w:r>
              <w:rPr>
                <w:sz w:val="24"/>
              </w:rPr>
              <w:t>42</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0,9</w:t>
            </w:r>
          </w:p>
        </w:tc>
        <w:tc>
          <w:tcPr>
            <w:tcW w:w="994" w:type="dxa"/>
          </w:tcPr>
          <w:p>
            <w:pPr>
              <w:pStyle w:val="TableParagraph"/>
              <w:spacing w:line="258"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14</w:t>
            </w:r>
          </w:p>
        </w:tc>
        <w:tc>
          <w:tcPr>
            <w:tcW w:w="4110" w:type="dxa"/>
          </w:tcPr>
          <w:p>
            <w:pPr>
              <w:pStyle w:val="TableParagraph"/>
              <w:spacing w:line="258" w:lineRule="exact"/>
              <w:ind w:left="40"/>
              <w:rPr>
                <w:sz w:val="24"/>
              </w:rPr>
            </w:pPr>
            <w:r>
              <w:rPr>
                <w:sz w:val="24"/>
              </w:rPr>
              <w:t>Мускат гамбурзький</w:t>
            </w:r>
          </w:p>
        </w:tc>
        <w:tc>
          <w:tcPr>
            <w:tcW w:w="994" w:type="dxa"/>
          </w:tcPr>
          <w:p>
            <w:pPr>
              <w:pStyle w:val="TableParagraph"/>
              <w:spacing w:line="258" w:lineRule="exact"/>
              <w:ind w:left="115" w:right="101"/>
              <w:jc w:val="center"/>
              <w:rPr>
                <w:sz w:val="24"/>
              </w:rPr>
            </w:pPr>
            <w:r>
              <w:rPr>
                <w:sz w:val="24"/>
              </w:rPr>
              <w:t>40</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0,9</w:t>
            </w:r>
          </w:p>
        </w:tc>
        <w:tc>
          <w:tcPr>
            <w:tcW w:w="994" w:type="dxa"/>
          </w:tcPr>
          <w:p>
            <w:pPr>
              <w:pStyle w:val="TableParagraph"/>
              <w:spacing w:line="258" w:lineRule="exact"/>
              <w:ind w:left="15"/>
              <w:jc w:val="center"/>
              <w:rPr>
                <w:sz w:val="24"/>
              </w:rPr>
            </w:pPr>
            <w:r>
              <w:rPr>
                <w:sz w:val="24"/>
              </w:rPr>
              <w:t>Х</w:t>
            </w:r>
          </w:p>
        </w:tc>
      </w:tr>
      <w:tr>
        <w:trPr>
          <w:trHeight w:val="272" w:hRule="atLeast"/>
        </w:trPr>
        <w:tc>
          <w:tcPr>
            <w:tcW w:w="850" w:type="dxa"/>
          </w:tcPr>
          <w:p>
            <w:pPr>
              <w:pStyle w:val="TableParagraph"/>
              <w:spacing w:line="253" w:lineRule="exact"/>
              <w:ind w:left="35"/>
              <w:rPr>
                <w:sz w:val="24"/>
              </w:rPr>
            </w:pPr>
            <w:r>
              <w:rPr>
                <w:sz w:val="24"/>
              </w:rPr>
              <w:t>15</w:t>
            </w:r>
          </w:p>
        </w:tc>
        <w:tc>
          <w:tcPr>
            <w:tcW w:w="4110" w:type="dxa"/>
          </w:tcPr>
          <w:p>
            <w:pPr>
              <w:pStyle w:val="TableParagraph"/>
              <w:spacing w:line="253" w:lineRule="exact"/>
              <w:ind w:left="40"/>
              <w:rPr>
                <w:sz w:val="24"/>
              </w:rPr>
            </w:pPr>
            <w:r>
              <w:rPr>
                <w:sz w:val="24"/>
              </w:rPr>
              <w:t>Альфонс Лаваллє</w:t>
            </w:r>
          </w:p>
        </w:tc>
        <w:tc>
          <w:tcPr>
            <w:tcW w:w="994" w:type="dxa"/>
          </w:tcPr>
          <w:p>
            <w:pPr>
              <w:pStyle w:val="TableParagraph"/>
              <w:spacing w:line="253" w:lineRule="exact"/>
              <w:ind w:left="115" w:right="101"/>
              <w:jc w:val="center"/>
              <w:rPr>
                <w:sz w:val="24"/>
              </w:rPr>
            </w:pPr>
            <w:r>
              <w:rPr>
                <w:sz w:val="24"/>
              </w:rPr>
              <w:t>38</w:t>
            </w:r>
          </w:p>
        </w:tc>
        <w:tc>
          <w:tcPr>
            <w:tcW w:w="994" w:type="dxa"/>
          </w:tcPr>
          <w:p>
            <w:pPr>
              <w:pStyle w:val="TableParagraph"/>
              <w:spacing w:line="253" w:lineRule="exact"/>
              <w:ind w:left="17"/>
              <w:jc w:val="center"/>
              <w:rPr>
                <w:sz w:val="24"/>
              </w:rPr>
            </w:pPr>
            <w:r>
              <w:rPr>
                <w:w w:val="99"/>
                <w:sz w:val="24"/>
              </w:rPr>
              <w:t>-</w:t>
            </w:r>
          </w:p>
        </w:tc>
        <w:tc>
          <w:tcPr>
            <w:tcW w:w="989" w:type="dxa"/>
          </w:tcPr>
          <w:p>
            <w:pPr>
              <w:pStyle w:val="TableParagraph"/>
              <w:spacing w:line="253" w:lineRule="exact"/>
              <w:ind w:left="113" w:right="98"/>
              <w:jc w:val="center"/>
              <w:rPr>
                <w:sz w:val="24"/>
              </w:rPr>
            </w:pPr>
            <w:r>
              <w:rPr>
                <w:sz w:val="24"/>
              </w:rPr>
              <w:t>0,8</w:t>
            </w:r>
          </w:p>
        </w:tc>
        <w:tc>
          <w:tcPr>
            <w:tcW w:w="994" w:type="dxa"/>
          </w:tcPr>
          <w:p>
            <w:pPr>
              <w:pStyle w:val="TableParagraph"/>
              <w:spacing w:line="253"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16</w:t>
            </w:r>
          </w:p>
        </w:tc>
        <w:tc>
          <w:tcPr>
            <w:tcW w:w="4110" w:type="dxa"/>
          </w:tcPr>
          <w:p>
            <w:pPr>
              <w:pStyle w:val="TableParagraph"/>
              <w:spacing w:line="258" w:lineRule="exact"/>
              <w:ind w:left="40"/>
              <w:rPr>
                <w:sz w:val="24"/>
              </w:rPr>
            </w:pPr>
            <w:r>
              <w:rPr>
                <w:sz w:val="24"/>
              </w:rPr>
              <w:t>Аркадія</w:t>
            </w:r>
          </w:p>
        </w:tc>
        <w:tc>
          <w:tcPr>
            <w:tcW w:w="994" w:type="dxa"/>
          </w:tcPr>
          <w:p>
            <w:pPr>
              <w:pStyle w:val="TableParagraph"/>
              <w:spacing w:line="258" w:lineRule="exact"/>
              <w:ind w:left="115" w:right="101"/>
              <w:jc w:val="center"/>
              <w:rPr>
                <w:sz w:val="24"/>
              </w:rPr>
            </w:pPr>
            <w:r>
              <w:rPr>
                <w:sz w:val="24"/>
              </w:rPr>
              <w:t>35</w:t>
            </w:r>
          </w:p>
        </w:tc>
        <w:tc>
          <w:tcPr>
            <w:tcW w:w="994" w:type="dxa"/>
          </w:tcPr>
          <w:p>
            <w:pPr>
              <w:pStyle w:val="TableParagraph"/>
              <w:spacing w:line="258" w:lineRule="exact"/>
              <w:ind w:left="117" w:right="93"/>
              <w:jc w:val="center"/>
              <w:rPr>
                <w:sz w:val="24"/>
              </w:rPr>
            </w:pPr>
            <w:r>
              <w:rPr>
                <w:sz w:val="24"/>
              </w:rPr>
              <w:t>295,01</w:t>
            </w:r>
          </w:p>
        </w:tc>
        <w:tc>
          <w:tcPr>
            <w:tcW w:w="989" w:type="dxa"/>
          </w:tcPr>
          <w:p>
            <w:pPr>
              <w:pStyle w:val="TableParagraph"/>
              <w:spacing w:line="258" w:lineRule="exact"/>
              <w:ind w:left="113" w:right="98"/>
              <w:jc w:val="center"/>
              <w:rPr>
                <w:sz w:val="24"/>
              </w:rPr>
            </w:pPr>
            <w:r>
              <w:rPr>
                <w:sz w:val="24"/>
              </w:rPr>
              <w:t>0,8</w:t>
            </w:r>
          </w:p>
        </w:tc>
        <w:tc>
          <w:tcPr>
            <w:tcW w:w="994" w:type="dxa"/>
          </w:tcPr>
          <w:p>
            <w:pPr>
              <w:pStyle w:val="TableParagraph"/>
              <w:spacing w:line="258" w:lineRule="exact"/>
              <w:ind w:left="117" w:right="93"/>
              <w:jc w:val="center"/>
              <w:rPr>
                <w:sz w:val="24"/>
              </w:rPr>
            </w:pPr>
            <w:r>
              <w:rPr>
                <w:sz w:val="24"/>
              </w:rPr>
              <w:t>17,6</w:t>
            </w:r>
          </w:p>
        </w:tc>
      </w:tr>
      <w:tr>
        <w:trPr>
          <w:trHeight w:val="277" w:hRule="atLeast"/>
        </w:trPr>
        <w:tc>
          <w:tcPr>
            <w:tcW w:w="850" w:type="dxa"/>
          </w:tcPr>
          <w:p>
            <w:pPr>
              <w:pStyle w:val="TableParagraph"/>
              <w:spacing w:line="258" w:lineRule="exact"/>
              <w:ind w:left="35"/>
              <w:rPr>
                <w:sz w:val="24"/>
              </w:rPr>
            </w:pPr>
            <w:r>
              <w:rPr>
                <w:sz w:val="24"/>
              </w:rPr>
              <w:t>17</w:t>
            </w:r>
          </w:p>
        </w:tc>
        <w:tc>
          <w:tcPr>
            <w:tcW w:w="4110" w:type="dxa"/>
          </w:tcPr>
          <w:p>
            <w:pPr>
              <w:pStyle w:val="TableParagraph"/>
              <w:spacing w:line="258" w:lineRule="exact"/>
              <w:ind w:left="40"/>
              <w:rPr>
                <w:sz w:val="24"/>
              </w:rPr>
            </w:pPr>
            <w:r>
              <w:rPr>
                <w:sz w:val="24"/>
              </w:rPr>
              <w:t>Мускат жемчужний</w:t>
            </w:r>
          </w:p>
        </w:tc>
        <w:tc>
          <w:tcPr>
            <w:tcW w:w="994" w:type="dxa"/>
          </w:tcPr>
          <w:p>
            <w:pPr>
              <w:pStyle w:val="TableParagraph"/>
              <w:spacing w:line="258" w:lineRule="exact"/>
              <w:ind w:left="115" w:right="101"/>
              <w:jc w:val="center"/>
              <w:rPr>
                <w:sz w:val="24"/>
              </w:rPr>
            </w:pPr>
            <w:r>
              <w:rPr>
                <w:sz w:val="24"/>
              </w:rPr>
              <w:t>33</w:t>
            </w:r>
          </w:p>
        </w:tc>
        <w:tc>
          <w:tcPr>
            <w:tcW w:w="994" w:type="dxa"/>
          </w:tcPr>
          <w:p>
            <w:pPr>
              <w:pStyle w:val="TableParagraph"/>
              <w:spacing w:line="258" w:lineRule="exact"/>
              <w:ind w:left="117" w:right="93"/>
              <w:jc w:val="center"/>
              <w:rPr>
                <w:sz w:val="24"/>
              </w:rPr>
            </w:pPr>
            <w:r>
              <w:rPr>
                <w:sz w:val="24"/>
              </w:rPr>
              <w:t>17,3</w:t>
            </w:r>
          </w:p>
        </w:tc>
        <w:tc>
          <w:tcPr>
            <w:tcW w:w="989" w:type="dxa"/>
          </w:tcPr>
          <w:p>
            <w:pPr>
              <w:pStyle w:val="TableParagraph"/>
              <w:spacing w:line="258" w:lineRule="exact"/>
              <w:ind w:left="113" w:right="98"/>
              <w:jc w:val="center"/>
              <w:rPr>
                <w:sz w:val="24"/>
              </w:rPr>
            </w:pPr>
            <w:r>
              <w:rPr>
                <w:sz w:val="24"/>
              </w:rPr>
              <w:t>0,7</w:t>
            </w:r>
          </w:p>
        </w:tc>
        <w:tc>
          <w:tcPr>
            <w:tcW w:w="994" w:type="dxa"/>
          </w:tcPr>
          <w:p>
            <w:pPr>
              <w:pStyle w:val="TableParagraph"/>
              <w:spacing w:line="258" w:lineRule="exact"/>
              <w:ind w:left="117" w:right="97"/>
              <w:jc w:val="center"/>
              <w:rPr>
                <w:sz w:val="24"/>
              </w:rPr>
            </w:pPr>
            <w:r>
              <w:rPr>
                <w:sz w:val="24"/>
              </w:rPr>
              <w:t>1,0</w:t>
            </w:r>
          </w:p>
        </w:tc>
      </w:tr>
      <w:tr>
        <w:trPr>
          <w:trHeight w:val="272" w:hRule="atLeast"/>
        </w:trPr>
        <w:tc>
          <w:tcPr>
            <w:tcW w:w="850" w:type="dxa"/>
          </w:tcPr>
          <w:p>
            <w:pPr>
              <w:pStyle w:val="TableParagraph"/>
              <w:spacing w:line="253" w:lineRule="exact"/>
              <w:ind w:left="35"/>
              <w:rPr>
                <w:sz w:val="24"/>
              </w:rPr>
            </w:pPr>
            <w:r>
              <w:rPr>
                <w:sz w:val="24"/>
              </w:rPr>
              <w:t>18</w:t>
            </w:r>
          </w:p>
        </w:tc>
        <w:tc>
          <w:tcPr>
            <w:tcW w:w="4110" w:type="dxa"/>
          </w:tcPr>
          <w:p>
            <w:pPr>
              <w:pStyle w:val="TableParagraph"/>
              <w:spacing w:line="253" w:lineRule="exact"/>
              <w:ind w:left="40"/>
              <w:rPr>
                <w:sz w:val="24"/>
              </w:rPr>
            </w:pPr>
            <w:r>
              <w:rPr>
                <w:sz w:val="24"/>
              </w:rPr>
              <w:t>Зорька</w:t>
            </w:r>
          </w:p>
        </w:tc>
        <w:tc>
          <w:tcPr>
            <w:tcW w:w="994" w:type="dxa"/>
          </w:tcPr>
          <w:p>
            <w:pPr>
              <w:pStyle w:val="TableParagraph"/>
              <w:spacing w:line="253" w:lineRule="exact"/>
              <w:ind w:left="115" w:right="101"/>
              <w:jc w:val="center"/>
              <w:rPr>
                <w:sz w:val="24"/>
              </w:rPr>
            </w:pPr>
            <w:r>
              <w:rPr>
                <w:sz w:val="24"/>
              </w:rPr>
              <w:t>32</w:t>
            </w:r>
          </w:p>
        </w:tc>
        <w:tc>
          <w:tcPr>
            <w:tcW w:w="994" w:type="dxa"/>
          </w:tcPr>
          <w:p>
            <w:pPr>
              <w:pStyle w:val="TableParagraph"/>
              <w:spacing w:line="253" w:lineRule="exact"/>
              <w:ind w:left="17"/>
              <w:jc w:val="center"/>
              <w:rPr>
                <w:sz w:val="24"/>
              </w:rPr>
            </w:pPr>
            <w:r>
              <w:rPr>
                <w:w w:val="99"/>
                <w:sz w:val="24"/>
              </w:rPr>
              <w:t>-</w:t>
            </w:r>
          </w:p>
        </w:tc>
        <w:tc>
          <w:tcPr>
            <w:tcW w:w="989" w:type="dxa"/>
          </w:tcPr>
          <w:p>
            <w:pPr>
              <w:pStyle w:val="TableParagraph"/>
              <w:spacing w:line="253" w:lineRule="exact"/>
              <w:ind w:left="113" w:right="98"/>
              <w:jc w:val="center"/>
              <w:rPr>
                <w:sz w:val="24"/>
              </w:rPr>
            </w:pPr>
            <w:r>
              <w:rPr>
                <w:sz w:val="24"/>
              </w:rPr>
              <w:t>0,7</w:t>
            </w:r>
          </w:p>
        </w:tc>
        <w:tc>
          <w:tcPr>
            <w:tcW w:w="994" w:type="dxa"/>
          </w:tcPr>
          <w:p>
            <w:pPr>
              <w:pStyle w:val="TableParagraph"/>
              <w:spacing w:line="253" w:lineRule="exact"/>
              <w:ind w:left="15"/>
              <w:jc w:val="center"/>
              <w:rPr>
                <w:sz w:val="24"/>
              </w:rPr>
            </w:pPr>
            <w:r>
              <w:rPr>
                <w:sz w:val="24"/>
              </w:rPr>
              <w:t>Х</w:t>
            </w:r>
          </w:p>
        </w:tc>
      </w:tr>
      <w:tr>
        <w:trPr>
          <w:trHeight w:val="278" w:hRule="atLeast"/>
        </w:trPr>
        <w:tc>
          <w:tcPr>
            <w:tcW w:w="850" w:type="dxa"/>
          </w:tcPr>
          <w:p>
            <w:pPr>
              <w:pStyle w:val="TableParagraph"/>
              <w:spacing w:line="258" w:lineRule="exact"/>
              <w:ind w:left="35"/>
              <w:rPr>
                <w:sz w:val="24"/>
              </w:rPr>
            </w:pPr>
            <w:r>
              <w:rPr>
                <w:sz w:val="24"/>
              </w:rPr>
              <w:t>19</w:t>
            </w:r>
          </w:p>
        </w:tc>
        <w:tc>
          <w:tcPr>
            <w:tcW w:w="4110" w:type="dxa"/>
          </w:tcPr>
          <w:p>
            <w:pPr>
              <w:pStyle w:val="TableParagraph"/>
              <w:spacing w:line="258" w:lineRule="exact"/>
              <w:ind w:left="40"/>
              <w:rPr>
                <w:sz w:val="24"/>
              </w:rPr>
            </w:pPr>
            <w:r>
              <w:rPr>
                <w:sz w:val="24"/>
              </w:rPr>
              <w:t>Дністровський рожевий</w:t>
            </w:r>
          </w:p>
        </w:tc>
        <w:tc>
          <w:tcPr>
            <w:tcW w:w="994" w:type="dxa"/>
          </w:tcPr>
          <w:p>
            <w:pPr>
              <w:pStyle w:val="TableParagraph"/>
              <w:spacing w:line="258" w:lineRule="exact"/>
              <w:ind w:left="115" w:right="101"/>
              <w:jc w:val="center"/>
              <w:rPr>
                <w:sz w:val="24"/>
              </w:rPr>
            </w:pPr>
            <w:r>
              <w:rPr>
                <w:sz w:val="24"/>
              </w:rPr>
              <w:t>30</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0,6</w:t>
            </w:r>
          </w:p>
        </w:tc>
        <w:tc>
          <w:tcPr>
            <w:tcW w:w="994" w:type="dxa"/>
          </w:tcPr>
          <w:p>
            <w:pPr>
              <w:pStyle w:val="TableParagraph"/>
              <w:spacing w:line="258" w:lineRule="exact"/>
              <w:ind w:left="15"/>
              <w:jc w:val="center"/>
              <w:rPr>
                <w:sz w:val="24"/>
              </w:rPr>
            </w:pPr>
            <w:r>
              <w:rPr>
                <w:sz w:val="24"/>
              </w:rPr>
              <w:t>Х</w:t>
            </w:r>
          </w:p>
        </w:tc>
      </w:tr>
      <w:tr>
        <w:trPr>
          <w:trHeight w:val="272" w:hRule="atLeast"/>
        </w:trPr>
        <w:tc>
          <w:tcPr>
            <w:tcW w:w="850" w:type="dxa"/>
          </w:tcPr>
          <w:p>
            <w:pPr>
              <w:pStyle w:val="TableParagraph"/>
              <w:spacing w:line="253" w:lineRule="exact"/>
              <w:ind w:left="35"/>
              <w:rPr>
                <w:sz w:val="24"/>
              </w:rPr>
            </w:pPr>
            <w:r>
              <w:rPr>
                <w:sz w:val="24"/>
              </w:rPr>
              <w:t>20</w:t>
            </w:r>
          </w:p>
        </w:tc>
        <w:tc>
          <w:tcPr>
            <w:tcW w:w="4110" w:type="dxa"/>
          </w:tcPr>
          <w:p>
            <w:pPr>
              <w:pStyle w:val="TableParagraph"/>
              <w:spacing w:line="253" w:lineRule="exact"/>
              <w:ind w:left="40"/>
              <w:rPr>
                <w:sz w:val="24"/>
              </w:rPr>
            </w:pPr>
            <w:r>
              <w:rPr>
                <w:sz w:val="24"/>
              </w:rPr>
              <w:t>Сурученський білий</w:t>
            </w:r>
          </w:p>
        </w:tc>
        <w:tc>
          <w:tcPr>
            <w:tcW w:w="994" w:type="dxa"/>
          </w:tcPr>
          <w:p>
            <w:pPr>
              <w:pStyle w:val="TableParagraph"/>
              <w:spacing w:line="253" w:lineRule="exact"/>
              <w:ind w:left="115" w:right="101"/>
              <w:jc w:val="center"/>
              <w:rPr>
                <w:sz w:val="24"/>
              </w:rPr>
            </w:pPr>
            <w:r>
              <w:rPr>
                <w:sz w:val="24"/>
              </w:rPr>
              <w:t>28</w:t>
            </w:r>
          </w:p>
        </w:tc>
        <w:tc>
          <w:tcPr>
            <w:tcW w:w="994" w:type="dxa"/>
          </w:tcPr>
          <w:p>
            <w:pPr>
              <w:pStyle w:val="TableParagraph"/>
              <w:spacing w:line="253" w:lineRule="exact"/>
              <w:ind w:left="117" w:right="98"/>
              <w:jc w:val="center"/>
              <w:rPr>
                <w:sz w:val="24"/>
              </w:rPr>
            </w:pPr>
            <w:r>
              <w:rPr>
                <w:sz w:val="24"/>
              </w:rPr>
              <w:t>77,31</w:t>
            </w:r>
          </w:p>
        </w:tc>
        <w:tc>
          <w:tcPr>
            <w:tcW w:w="989" w:type="dxa"/>
          </w:tcPr>
          <w:p>
            <w:pPr>
              <w:pStyle w:val="TableParagraph"/>
              <w:spacing w:line="253" w:lineRule="exact"/>
              <w:ind w:left="113" w:right="98"/>
              <w:jc w:val="center"/>
              <w:rPr>
                <w:sz w:val="24"/>
              </w:rPr>
            </w:pPr>
            <w:r>
              <w:rPr>
                <w:sz w:val="24"/>
              </w:rPr>
              <w:t>0,6</w:t>
            </w:r>
          </w:p>
        </w:tc>
        <w:tc>
          <w:tcPr>
            <w:tcW w:w="994" w:type="dxa"/>
          </w:tcPr>
          <w:p>
            <w:pPr>
              <w:pStyle w:val="TableParagraph"/>
              <w:spacing w:line="253" w:lineRule="exact"/>
              <w:ind w:left="117" w:right="97"/>
              <w:jc w:val="center"/>
              <w:rPr>
                <w:sz w:val="24"/>
              </w:rPr>
            </w:pPr>
            <w:r>
              <w:rPr>
                <w:sz w:val="24"/>
              </w:rPr>
              <w:t>4,6</w:t>
            </w:r>
          </w:p>
        </w:tc>
      </w:tr>
      <w:tr>
        <w:trPr>
          <w:trHeight w:val="277" w:hRule="atLeast"/>
        </w:trPr>
        <w:tc>
          <w:tcPr>
            <w:tcW w:w="850" w:type="dxa"/>
          </w:tcPr>
          <w:p>
            <w:pPr>
              <w:pStyle w:val="TableParagraph"/>
              <w:spacing w:line="258" w:lineRule="exact"/>
              <w:ind w:left="35"/>
              <w:rPr>
                <w:sz w:val="24"/>
              </w:rPr>
            </w:pPr>
            <w:r>
              <w:rPr>
                <w:sz w:val="24"/>
              </w:rPr>
              <w:t>21</w:t>
            </w:r>
          </w:p>
        </w:tc>
        <w:tc>
          <w:tcPr>
            <w:tcW w:w="4110" w:type="dxa"/>
          </w:tcPr>
          <w:p>
            <w:pPr>
              <w:pStyle w:val="TableParagraph"/>
              <w:spacing w:line="258" w:lineRule="exact"/>
              <w:ind w:left="40"/>
              <w:rPr>
                <w:sz w:val="24"/>
              </w:rPr>
            </w:pPr>
            <w:r>
              <w:rPr>
                <w:sz w:val="24"/>
              </w:rPr>
              <w:t>Аттіла</w:t>
            </w:r>
          </w:p>
        </w:tc>
        <w:tc>
          <w:tcPr>
            <w:tcW w:w="994" w:type="dxa"/>
          </w:tcPr>
          <w:p>
            <w:pPr>
              <w:pStyle w:val="TableParagraph"/>
              <w:spacing w:line="258" w:lineRule="exact"/>
              <w:ind w:left="115" w:right="101"/>
              <w:jc w:val="center"/>
              <w:rPr>
                <w:sz w:val="24"/>
              </w:rPr>
            </w:pPr>
            <w:r>
              <w:rPr>
                <w:sz w:val="24"/>
              </w:rPr>
              <w:t>23</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0,5</w:t>
            </w:r>
          </w:p>
        </w:tc>
        <w:tc>
          <w:tcPr>
            <w:tcW w:w="994" w:type="dxa"/>
          </w:tcPr>
          <w:p>
            <w:pPr>
              <w:pStyle w:val="TableParagraph"/>
              <w:spacing w:line="258"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22</w:t>
            </w:r>
          </w:p>
        </w:tc>
        <w:tc>
          <w:tcPr>
            <w:tcW w:w="4110" w:type="dxa"/>
          </w:tcPr>
          <w:p>
            <w:pPr>
              <w:pStyle w:val="TableParagraph"/>
              <w:spacing w:line="258" w:lineRule="exact"/>
              <w:ind w:left="40"/>
              <w:rPr>
                <w:sz w:val="24"/>
              </w:rPr>
            </w:pPr>
            <w:r>
              <w:rPr>
                <w:sz w:val="24"/>
              </w:rPr>
              <w:t>Грочанка</w:t>
            </w:r>
          </w:p>
        </w:tc>
        <w:tc>
          <w:tcPr>
            <w:tcW w:w="994" w:type="dxa"/>
          </w:tcPr>
          <w:p>
            <w:pPr>
              <w:pStyle w:val="TableParagraph"/>
              <w:spacing w:line="258" w:lineRule="exact"/>
              <w:ind w:left="115" w:right="101"/>
              <w:jc w:val="center"/>
              <w:rPr>
                <w:sz w:val="24"/>
              </w:rPr>
            </w:pPr>
            <w:r>
              <w:rPr>
                <w:sz w:val="24"/>
              </w:rPr>
              <w:t>20</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0,4</w:t>
            </w:r>
          </w:p>
        </w:tc>
        <w:tc>
          <w:tcPr>
            <w:tcW w:w="994" w:type="dxa"/>
          </w:tcPr>
          <w:p>
            <w:pPr>
              <w:pStyle w:val="TableParagraph"/>
              <w:spacing w:line="258" w:lineRule="exact"/>
              <w:ind w:left="15"/>
              <w:jc w:val="center"/>
              <w:rPr>
                <w:sz w:val="24"/>
              </w:rPr>
            </w:pPr>
            <w:r>
              <w:rPr>
                <w:sz w:val="24"/>
              </w:rPr>
              <w:t>Х</w:t>
            </w:r>
          </w:p>
        </w:tc>
      </w:tr>
      <w:tr>
        <w:trPr>
          <w:trHeight w:val="273" w:hRule="atLeast"/>
        </w:trPr>
        <w:tc>
          <w:tcPr>
            <w:tcW w:w="850" w:type="dxa"/>
          </w:tcPr>
          <w:p>
            <w:pPr>
              <w:pStyle w:val="TableParagraph"/>
              <w:spacing w:line="253" w:lineRule="exact"/>
              <w:ind w:left="35"/>
              <w:rPr>
                <w:sz w:val="24"/>
              </w:rPr>
            </w:pPr>
            <w:r>
              <w:rPr>
                <w:sz w:val="24"/>
              </w:rPr>
              <w:t>23</w:t>
            </w:r>
          </w:p>
        </w:tc>
        <w:tc>
          <w:tcPr>
            <w:tcW w:w="4110" w:type="dxa"/>
          </w:tcPr>
          <w:p>
            <w:pPr>
              <w:pStyle w:val="TableParagraph"/>
              <w:spacing w:line="253" w:lineRule="exact"/>
              <w:ind w:left="40"/>
              <w:rPr>
                <w:sz w:val="24"/>
              </w:rPr>
            </w:pPr>
            <w:r>
              <w:rPr>
                <w:sz w:val="24"/>
              </w:rPr>
              <w:t>Декабрський</w:t>
            </w:r>
          </w:p>
        </w:tc>
        <w:tc>
          <w:tcPr>
            <w:tcW w:w="994" w:type="dxa"/>
          </w:tcPr>
          <w:p>
            <w:pPr>
              <w:pStyle w:val="TableParagraph"/>
              <w:spacing w:line="253" w:lineRule="exact"/>
              <w:ind w:left="115" w:right="101"/>
              <w:jc w:val="center"/>
              <w:rPr>
                <w:sz w:val="24"/>
              </w:rPr>
            </w:pPr>
            <w:r>
              <w:rPr>
                <w:sz w:val="24"/>
              </w:rPr>
              <w:t>19</w:t>
            </w:r>
          </w:p>
        </w:tc>
        <w:tc>
          <w:tcPr>
            <w:tcW w:w="994" w:type="dxa"/>
          </w:tcPr>
          <w:p>
            <w:pPr>
              <w:pStyle w:val="TableParagraph"/>
              <w:spacing w:line="253" w:lineRule="exact"/>
              <w:ind w:left="17"/>
              <w:jc w:val="center"/>
              <w:rPr>
                <w:sz w:val="24"/>
              </w:rPr>
            </w:pPr>
            <w:r>
              <w:rPr>
                <w:w w:val="99"/>
                <w:sz w:val="24"/>
              </w:rPr>
              <w:t>-</w:t>
            </w:r>
          </w:p>
        </w:tc>
        <w:tc>
          <w:tcPr>
            <w:tcW w:w="989" w:type="dxa"/>
          </w:tcPr>
          <w:p>
            <w:pPr>
              <w:pStyle w:val="TableParagraph"/>
              <w:spacing w:line="253" w:lineRule="exact"/>
              <w:ind w:left="113" w:right="98"/>
              <w:jc w:val="center"/>
              <w:rPr>
                <w:sz w:val="24"/>
              </w:rPr>
            </w:pPr>
            <w:r>
              <w:rPr>
                <w:sz w:val="24"/>
              </w:rPr>
              <w:t>0,4</w:t>
            </w:r>
          </w:p>
        </w:tc>
        <w:tc>
          <w:tcPr>
            <w:tcW w:w="994" w:type="dxa"/>
          </w:tcPr>
          <w:p>
            <w:pPr>
              <w:pStyle w:val="TableParagraph"/>
              <w:spacing w:line="253"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24</w:t>
            </w:r>
          </w:p>
        </w:tc>
        <w:tc>
          <w:tcPr>
            <w:tcW w:w="4110" w:type="dxa"/>
          </w:tcPr>
          <w:p>
            <w:pPr>
              <w:pStyle w:val="TableParagraph"/>
              <w:spacing w:line="258" w:lineRule="exact"/>
              <w:ind w:left="40"/>
              <w:rPr>
                <w:sz w:val="24"/>
              </w:rPr>
            </w:pPr>
            <w:r>
              <w:rPr>
                <w:sz w:val="24"/>
              </w:rPr>
              <w:t>Іспанський</w:t>
            </w:r>
          </w:p>
        </w:tc>
        <w:tc>
          <w:tcPr>
            <w:tcW w:w="994" w:type="dxa"/>
          </w:tcPr>
          <w:p>
            <w:pPr>
              <w:pStyle w:val="TableParagraph"/>
              <w:spacing w:line="258" w:lineRule="exact"/>
              <w:ind w:left="115" w:right="101"/>
              <w:jc w:val="center"/>
              <w:rPr>
                <w:sz w:val="24"/>
              </w:rPr>
            </w:pPr>
            <w:r>
              <w:rPr>
                <w:sz w:val="24"/>
              </w:rPr>
              <w:t>15</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0,3</w:t>
            </w:r>
          </w:p>
        </w:tc>
        <w:tc>
          <w:tcPr>
            <w:tcW w:w="994" w:type="dxa"/>
          </w:tcPr>
          <w:p>
            <w:pPr>
              <w:pStyle w:val="TableParagraph"/>
              <w:spacing w:line="258" w:lineRule="exact"/>
              <w:ind w:left="15"/>
              <w:jc w:val="center"/>
              <w:rPr>
                <w:sz w:val="24"/>
              </w:rPr>
            </w:pPr>
            <w:r>
              <w:rPr>
                <w:sz w:val="24"/>
              </w:rPr>
              <w:t>Х</w:t>
            </w:r>
          </w:p>
        </w:tc>
      </w:tr>
      <w:tr>
        <w:trPr>
          <w:trHeight w:val="278" w:hRule="atLeast"/>
        </w:trPr>
        <w:tc>
          <w:tcPr>
            <w:tcW w:w="850" w:type="dxa"/>
          </w:tcPr>
          <w:p>
            <w:pPr>
              <w:pStyle w:val="TableParagraph"/>
              <w:spacing w:line="258" w:lineRule="exact"/>
              <w:ind w:left="35"/>
              <w:rPr>
                <w:sz w:val="24"/>
              </w:rPr>
            </w:pPr>
            <w:r>
              <w:rPr>
                <w:sz w:val="24"/>
              </w:rPr>
              <w:t>25</w:t>
            </w:r>
          </w:p>
        </w:tc>
        <w:tc>
          <w:tcPr>
            <w:tcW w:w="4110" w:type="dxa"/>
          </w:tcPr>
          <w:p>
            <w:pPr>
              <w:pStyle w:val="TableParagraph"/>
              <w:spacing w:line="258" w:lineRule="exact"/>
              <w:ind w:left="40"/>
              <w:rPr>
                <w:sz w:val="24"/>
              </w:rPr>
            </w:pPr>
            <w:r>
              <w:rPr>
                <w:sz w:val="24"/>
              </w:rPr>
              <w:t>Мєчта</w:t>
            </w:r>
          </w:p>
        </w:tc>
        <w:tc>
          <w:tcPr>
            <w:tcW w:w="994" w:type="dxa"/>
          </w:tcPr>
          <w:p>
            <w:pPr>
              <w:pStyle w:val="TableParagraph"/>
              <w:spacing w:line="258" w:lineRule="exact"/>
              <w:ind w:left="115" w:right="101"/>
              <w:jc w:val="center"/>
              <w:rPr>
                <w:sz w:val="24"/>
              </w:rPr>
            </w:pPr>
            <w:r>
              <w:rPr>
                <w:sz w:val="24"/>
              </w:rPr>
              <w:t>11</w:t>
            </w:r>
          </w:p>
        </w:tc>
        <w:tc>
          <w:tcPr>
            <w:tcW w:w="994" w:type="dxa"/>
          </w:tcPr>
          <w:p>
            <w:pPr>
              <w:pStyle w:val="TableParagraph"/>
              <w:spacing w:line="258" w:lineRule="exact"/>
              <w:ind w:left="117" w:right="93"/>
              <w:jc w:val="center"/>
              <w:rPr>
                <w:sz w:val="24"/>
              </w:rPr>
            </w:pPr>
            <w:r>
              <w:rPr>
                <w:sz w:val="24"/>
              </w:rPr>
              <w:t>8,13</w:t>
            </w:r>
          </w:p>
        </w:tc>
        <w:tc>
          <w:tcPr>
            <w:tcW w:w="989" w:type="dxa"/>
          </w:tcPr>
          <w:p>
            <w:pPr>
              <w:pStyle w:val="TableParagraph"/>
              <w:spacing w:line="258" w:lineRule="exact"/>
              <w:ind w:left="113" w:right="98"/>
              <w:jc w:val="center"/>
              <w:rPr>
                <w:sz w:val="24"/>
              </w:rPr>
            </w:pPr>
            <w:r>
              <w:rPr>
                <w:sz w:val="24"/>
              </w:rPr>
              <w:t>0,2</w:t>
            </w:r>
          </w:p>
        </w:tc>
        <w:tc>
          <w:tcPr>
            <w:tcW w:w="994" w:type="dxa"/>
          </w:tcPr>
          <w:p>
            <w:pPr>
              <w:pStyle w:val="TableParagraph"/>
              <w:spacing w:line="258" w:lineRule="exact"/>
              <w:ind w:left="117" w:right="97"/>
              <w:jc w:val="center"/>
              <w:rPr>
                <w:sz w:val="24"/>
              </w:rPr>
            </w:pPr>
            <w:r>
              <w:rPr>
                <w:sz w:val="24"/>
              </w:rPr>
              <w:t>0,5</w:t>
            </w:r>
          </w:p>
        </w:tc>
      </w:tr>
      <w:tr>
        <w:trPr>
          <w:trHeight w:val="272" w:hRule="atLeast"/>
        </w:trPr>
        <w:tc>
          <w:tcPr>
            <w:tcW w:w="850" w:type="dxa"/>
          </w:tcPr>
          <w:p>
            <w:pPr>
              <w:pStyle w:val="TableParagraph"/>
              <w:spacing w:line="253" w:lineRule="exact"/>
              <w:ind w:left="35"/>
              <w:rPr>
                <w:sz w:val="24"/>
              </w:rPr>
            </w:pPr>
            <w:r>
              <w:rPr>
                <w:sz w:val="24"/>
              </w:rPr>
              <w:t>26</w:t>
            </w:r>
          </w:p>
        </w:tc>
        <w:tc>
          <w:tcPr>
            <w:tcW w:w="4110" w:type="dxa"/>
          </w:tcPr>
          <w:p>
            <w:pPr>
              <w:pStyle w:val="TableParagraph"/>
              <w:spacing w:line="253" w:lineRule="exact"/>
              <w:ind w:left="40"/>
              <w:rPr>
                <w:sz w:val="24"/>
              </w:rPr>
            </w:pPr>
            <w:r>
              <w:rPr>
                <w:sz w:val="24"/>
              </w:rPr>
              <w:t>Янтар ОСП</w:t>
            </w:r>
          </w:p>
        </w:tc>
        <w:tc>
          <w:tcPr>
            <w:tcW w:w="994" w:type="dxa"/>
          </w:tcPr>
          <w:p>
            <w:pPr>
              <w:pStyle w:val="TableParagraph"/>
              <w:spacing w:line="253" w:lineRule="exact"/>
              <w:ind w:left="115" w:right="101"/>
              <w:jc w:val="center"/>
              <w:rPr>
                <w:sz w:val="24"/>
              </w:rPr>
            </w:pPr>
            <w:r>
              <w:rPr>
                <w:sz w:val="24"/>
              </w:rPr>
              <w:t>10</w:t>
            </w:r>
          </w:p>
        </w:tc>
        <w:tc>
          <w:tcPr>
            <w:tcW w:w="994" w:type="dxa"/>
          </w:tcPr>
          <w:p>
            <w:pPr>
              <w:pStyle w:val="TableParagraph"/>
              <w:spacing w:line="253" w:lineRule="exact"/>
              <w:ind w:left="17"/>
              <w:jc w:val="center"/>
              <w:rPr>
                <w:sz w:val="24"/>
              </w:rPr>
            </w:pPr>
            <w:r>
              <w:rPr>
                <w:w w:val="99"/>
                <w:sz w:val="24"/>
              </w:rPr>
              <w:t>-</w:t>
            </w:r>
          </w:p>
        </w:tc>
        <w:tc>
          <w:tcPr>
            <w:tcW w:w="989" w:type="dxa"/>
          </w:tcPr>
          <w:p>
            <w:pPr>
              <w:pStyle w:val="TableParagraph"/>
              <w:spacing w:line="253" w:lineRule="exact"/>
              <w:ind w:left="113" w:right="98"/>
              <w:jc w:val="center"/>
              <w:rPr>
                <w:sz w:val="24"/>
              </w:rPr>
            </w:pPr>
            <w:r>
              <w:rPr>
                <w:sz w:val="24"/>
              </w:rPr>
              <w:t>0,2</w:t>
            </w:r>
          </w:p>
        </w:tc>
        <w:tc>
          <w:tcPr>
            <w:tcW w:w="994" w:type="dxa"/>
          </w:tcPr>
          <w:p>
            <w:pPr>
              <w:pStyle w:val="TableParagraph"/>
              <w:spacing w:line="253"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27</w:t>
            </w:r>
          </w:p>
        </w:tc>
        <w:tc>
          <w:tcPr>
            <w:tcW w:w="4110" w:type="dxa"/>
          </w:tcPr>
          <w:p>
            <w:pPr>
              <w:pStyle w:val="TableParagraph"/>
              <w:spacing w:line="258" w:lineRule="exact"/>
              <w:ind w:left="40"/>
              <w:rPr>
                <w:sz w:val="24"/>
              </w:rPr>
            </w:pPr>
            <w:r>
              <w:rPr>
                <w:sz w:val="24"/>
              </w:rPr>
              <w:t>Карабурну</w:t>
            </w:r>
          </w:p>
        </w:tc>
        <w:tc>
          <w:tcPr>
            <w:tcW w:w="994" w:type="dxa"/>
          </w:tcPr>
          <w:p>
            <w:pPr>
              <w:pStyle w:val="TableParagraph"/>
              <w:spacing w:line="258" w:lineRule="exact"/>
              <w:ind w:left="19"/>
              <w:jc w:val="center"/>
              <w:rPr>
                <w:sz w:val="24"/>
              </w:rPr>
            </w:pPr>
            <w:r>
              <w:rPr>
                <w:sz w:val="24"/>
              </w:rPr>
              <w:t>7</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0,2</w:t>
            </w:r>
          </w:p>
        </w:tc>
        <w:tc>
          <w:tcPr>
            <w:tcW w:w="994" w:type="dxa"/>
          </w:tcPr>
          <w:p>
            <w:pPr>
              <w:pStyle w:val="TableParagraph"/>
              <w:spacing w:line="258" w:lineRule="exact"/>
              <w:ind w:left="15"/>
              <w:jc w:val="center"/>
              <w:rPr>
                <w:sz w:val="24"/>
              </w:rPr>
            </w:pPr>
            <w:r>
              <w:rPr>
                <w:sz w:val="24"/>
              </w:rPr>
              <w:t>Х</w:t>
            </w:r>
          </w:p>
        </w:tc>
      </w:tr>
      <w:tr>
        <w:trPr>
          <w:trHeight w:val="273" w:hRule="atLeast"/>
        </w:trPr>
        <w:tc>
          <w:tcPr>
            <w:tcW w:w="850" w:type="dxa"/>
          </w:tcPr>
          <w:p>
            <w:pPr>
              <w:pStyle w:val="TableParagraph"/>
              <w:spacing w:line="253" w:lineRule="exact"/>
              <w:ind w:left="35"/>
              <w:rPr>
                <w:sz w:val="24"/>
              </w:rPr>
            </w:pPr>
            <w:r>
              <w:rPr>
                <w:sz w:val="24"/>
              </w:rPr>
              <w:t>28</w:t>
            </w:r>
          </w:p>
        </w:tc>
        <w:tc>
          <w:tcPr>
            <w:tcW w:w="4110" w:type="dxa"/>
          </w:tcPr>
          <w:p>
            <w:pPr>
              <w:pStyle w:val="TableParagraph"/>
              <w:spacing w:line="253" w:lineRule="exact"/>
              <w:ind w:left="40"/>
              <w:rPr>
                <w:sz w:val="24"/>
              </w:rPr>
            </w:pPr>
            <w:r>
              <w:rPr>
                <w:sz w:val="24"/>
              </w:rPr>
              <w:t>Кардинал</w:t>
            </w:r>
          </w:p>
        </w:tc>
        <w:tc>
          <w:tcPr>
            <w:tcW w:w="994" w:type="dxa"/>
          </w:tcPr>
          <w:p>
            <w:pPr>
              <w:pStyle w:val="TableParagraph"/>
              <w:spacing w:line="253" w:lineRule="exact"/>
              <w:ind w:left="19"/>
              <w:jc w:val="center"/>
              <w:rPr>
                <w:sz w:val="24"/>
              </w:rPr>
            </w:pPr>
            <w:r>
              <w:rPr>
                <w:sz w:val="24"/>
              </w:rPr>
              <w:t>7</w:t>
            </w:r>
          </w:p>
        </w:tc>
        <w:tc>
          <w:tcPr>
            <w:tcW w:w="994" w:type="dxa"/>
          </w:tcPr>
          <w:p>
            <w:pPr>
              <w:pStyle w:val="TableParagraph"/>
              <w:spacing w:line="253" w:lineRule="exact"/>
              <w:ind w:left="117" w:right="98"/>
              <w:jc w:val="center"/>
              <w:rPr>
                <w:sz w:val="24"/>
              </w:rPr>
            </w:pPr>
            <w:r>
              <w:rPr>
                <w:sz w:val="24"/>
              </w:rPr>
              <w:t>11,25</w:t>
            </w:r>
          </w:p>
        </w:tc>
        <w:tc>
          <w:tcPr>
            <w:tcW w:w="989" w:type="dxa"/>
          </w:tcPr>
          <w:p>
            <w:pPr>
              <w:pStyle w:val="TableParagraph"/>
              <w:spacing w:line="253" w:lineRule="exact"/>
              <w:ind w:left="113" w:right="98"/>
              <w:jc w:val="center"/>
              <w:rPr>
                <w:sz w:val="24"/>
              </w:rPr>
            </w:pPr>
            <w:r>
              <w:rPr>
                <w:sz w:val="24"/>
              </w:rPr>
              <w:t>0,2</w:t>
            </w:r>
          </w:p>
        </w:tc>
        <w:tc>
          <w:tcPr>
            <w:tcW w:w="994" w:type="dxa"/>
          </w:tcPr>
          <w:p>
            <w:pPr>
              <w:pStyle w:val="TableParagraph"/>
              <w:spacing w:line="253" w:lineRule="exact"/>
              <w:ind w:left="117" w:right="97"/>
              <w:jc w:val="center"/>
              <w:rPr>
                <w:sz w:val="24"/>
              </w:rPr>
            </w:pPr>
            <w:r>
              <w:rPr>
                <w:sz w:val="24"/>
              </w:rPr>
              <w:t>0,7</w:t>
            </w:r>
          </w:p>
        </w:tc>
      </w:tr>
      <w:tr>
        <w:trPr>
          <w:trHeight w:val="277" w:hRule="atLeast"/>
        </w:trPr>
        <w:tc>
          <w:tcPr>
            <w:tcW w:w="850" w:type="dxa"/>
          </w:tcPr>
          <w:p>
            <w:pPr>
              <w:pStyle w:val="TableParagraph"/>
              <w:spacing w:line="258" w:lineRule="exact"/>
              <w:ind w:left="35"/>
              <w:rPr>
                <w:sz w:val="24"/>
              </w:rPr>
            </w:pPr>
            <w:r>
              <w:rPr>
                <w:sz w:val="24"/>
              </w:rPr>
              <w:t>29</w:t>
            </w:r>
          </w:p>
        </w:tc>
        <w:tc>
          <w:tcPr>
            <w:tcW w:w="4110" w:type="dxa"/>
          </w:tcPr>
          <w:p>
            <w:pPr>
              <w:pStyle w:val="TableParagraph"/>
              <w:spacing w:line="258" w:lineRule="exact"/>
              <w:ind w:left="40"/>
              <w:rPr>
                <w:sz w:val="24"/>
              </w:rPr>
            </w:pPr>
            <w:r>
              <w:rPr>
                <w:sz w:val="24"/>
              </w:rPr>
              <w:t>Кутузовський</w:t>
            </w:r>
          </w:p>
        </w:tc>
        <w:tc>
          <w:tcPr>
            <w:tcW w:w="994" w:type="dxa"/>
          </w:tcPr>
          <w:p>
            <w:pPr>
              <w:pStyle w:val="TableParagraph"/>
              <w:spacing w:line="258" w:lineRule="exact"/>
              <w:ind w:left="19"/>
              <w:jc w:val="center"/>
              <w:rPr>
                <w:sz w:val="24"/>
              </w:rPr>
            </w:pPr>
            <w:r>
              <w:rPr>
                <w:sz w:val="24"/>
              </w:rPr>
              <w:t>7</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0,2</w:t>
            </w:r>
          </w:p>
        </w:tc>
        <w:tc>
          <w:tcPr>
            <w:tcW w:w="994" w:type="dxa"/>
          </w:tcPr>
          <w:p>
            <w:pPr>
              <w:pStyle w:val="TableParagraph"/>
              <w:spacing w:line="258"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30</w:t>
            </w:r>
          </w:p>
        </w:tc>
        <w:tc>
          <w:tcPr>
            <w:tcW w:w="4110" w:type="dxa"/>
          </w:tcPr>
          <w:p>
            <w:pPr>
              <w:pStyle w:val="TableParagraph"/>
              <w:spacing w:line="258" w:lineRule="exact"/>
              <w:ind w:left="40"/>
              <w:rPr>
                <w:sz w:val="24"/>
              </w:rPr>
            </w:pPr>
            <w:r>
              <w:rPr>
                <w:sz w:val="24"/>
              </w:rPr>
              <w:t>Мускат таїровський</w:t>
            </w:r>
          </w:p>
        </w:tc>
        <w:tc>
          <w:tcPr>
            <w:tcW w:w="994" w:type="dxa"/>
          </w:tcPr>
          <w:p>
            <w:pPr>
              <w:pStyle w:val="TableParagraph"/>
              <w:spacing w:line="258" w:lineRule="exact"/>
              <w:ind w:left="19"/>
              <w:jc w:val="center"/>
              <w:rPr>
                <w:sz w:val="24"/>
              </w:rPr>
            </w:pPr>
            <w:r>
              <w:rPr>
                <w:sz w:val="24"/>
              </w:rPr>
              <w:t>6</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0,1</w:t>
            </w:r>
          </w:p>
        </w:tc>
        <w:tc>
          <w:tcPr>
            <w:tcW w:w="994" w:type="dxa"/>
          </w:tcPr>
          <w:p>
            <w:pPr>
              <w:pStyle w:val="TableParagraph"/>
              <w:spacing w:line="258" w:lineRule="exact"/>
              <w:ind w:left="15"/>
              <w:jc w:val="center"/>
              <w:rPr>
                <w:sz w:val="24"/>
              </w:rPr>
            </w:pPr>
            <w:r>
              <w:rPr>
                <w:sz w:val="24"/>
              </w:rPr>
              <w:t>Х</w:t>
            </w:r>
          </w:p>
        </w:tc>
      </w:tr>
      <w:tr>
        <w:trPr>
          <w:trHeight w:val="273" w:hRule="atLeast"/>
        </w:trPr>
        <w:tc>
          <w:tcPr>
            <w:tcW w:w="850" w:type="dxa"/>
          </w:tcPr>
          <w:p>
            <w:pPr>
              <w:pStyle w:val="TableParagraph"/>
              <w:spacing w:line="254" w:lineRule="exact"/>
              <w:ind w:left="35"/>
              <w:rPr>
                <w:sz w:val="24"/>
              </w:rPr>
            </w:pPr>
            <w:r>
              <w:rPr>
                <w:sz w:val="24"/>
              </w:rPr>
              <w:t>31</w:t>
            </w:r>
          </w:p>
        </w:tc>
        <w:tc>
          <w:tcPr>
            <w:tcW w:w="4110" w:type="dxa"/>
          </w:tcPr>
          <w:p>
            <w:pPr>
              <w:pStyle w:val="TableParagraph"/>
              <w:spacing w:line="254" w:lineRule="exact"/>
              <w:ind w:left="40"/>
              <w:rPr>
                <w:sz w:val="24"/>
              </w:rPr>
            </w:pPr>
            <w:r>
              <w:rPr>
                <w:sz w:val="24"/>
              </w:rPr>
              <w:t>Чауш білий</w:t>
            </w:r>
          </w:p>
        </w:tc>
        <w:tc>
          <w:tcPr>
            <w:tcW w:w="994" w:type="dxa"/>
          </w:tcPr>
          <w:p>
            <w:pPr>
              <w:pStyle w:val="TableParagraph"/>
              <w:spacing w:line="254" w:lineRule="exact"/>
              <w:ind w:left="19"/>
              <w:jc w:val="center"/>
              <w:rPr>
                <w:sz w:val="24"/>
              </w:rPr>
            </w:pPr>
            <w:r>
              <w:rPr>
                <w:sz w:val="24"/>
              </w:rPr>
              <w:t>6</w:t>
            </w:r>
          </w:p>
        </w:tc>
        <w:tc>
          <w:tcPr>
            <w:tcW w:w="994" w:type="dxa"/>
          </w:tcPr>
          <w:p>
            <w:pPr>
              <w:pStyle w:val="TableParagraph"/>
              <w:spacing w:line="254" w:lineRule="exact"/>
              <w:ind w:left="17"/>
              <w:jc w:val="center"/>
              <w:rPr>
                <w:sz w:val="24"/>
              </w:rPr>
            </w:pPr>
            <w:r>
              <w:rPr>
                <w:w w:val="99"/>
                <w:sz w:val="24"/>
              </w:rPr>
              <w:t>-</w:t>
            </w:r>
          </w:p>
        </w:tc>
        <w:tc>
          <w:tcPr>
            <w:tcW w:w="989" w:type="dxa"/>
          </w:tcPr>
          <w:p>
            <w:pPr>
              <w:pStyle w:val="TableParagraph"/>
              <w:spacing w:line="254" w:lineRule="exact"/>
              <w:ind w:left="113" w:right="98"/>
              <w:jc w:val="center"/>
              <w:rPr>
                <w:sz w:val="24"/>
              </w:rPr>
            </w:pPr>
            <w:r>
              <w:rPr>
                <w:sz w:val="24"/>
              </w:rPr>
              <w:t>0,1</w:t>
            </w:r>
          </w:p>
        </w:tc>
        <w:tc>
          <w:tcPr>
            <w:tcW w:w="994" w:type="dxa"/>
          </w:tcPr>
          <w:p>
            <w:pPr>
              <w:pStyle w:val="TableParagraph"/>
              <w:spacing w:line="254"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32</w:t>
            </w:r>
          </w:p>
        </w:tc>
        <w:tc>
          <w:tcPr>
            <w:tcW w:w="4110" w:type="dxa"/>
          </w:tcPr>
          <w:p>
            <w:pPr>
              <w:pStyle w:val="TableParagraph"/>
              <w:spacing w:line="258" w:lineRule="exact"/>
              <w:ind w:left="40"/>
              <w:rPr>
                <w:sz w:val="24"/>
              </w:rPr>
            </w:pPr>
            <w:r>
              <w:rPr>
                <w:sz w:val="24"/>
              </w:rPr>
              <w:t>Южанка ОСП</w:t>
            </w:r>
          </w:p>
        </w:tc>
        <w:tc>
          <w:tcPr>
            <w:tcW w:w="994" w:type="dxa"/>
          </w:tcPr>
          <w:p>
            <w:pPr>
              <w:pStyle w:val="TableParagraph"/>
              <w:spacing w:line="258" w:lineRule="exact"/>
              <w:ind w:left="19"/>
              <w:jc w:val="center"/>
              <w:rPr>
                <w:sz w:val="24"/>
              </w:rPr>
            </w:pPr>
            <w:r>
              <w:rPr>
                <w:sz w:val="24"/>
              </w:rPr>
              <w:t>4</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0,1</w:t>
            </w:r>
          </w:p>
        </w:tc>
        <w:tc>
          <w:tcPr>
            <w:tcW w:w="994" w:type="dxa"/>
          </w:tcPr>
          <w:p>
            <w:pPr>
              <w:pStyle w:val="TableParagraph"/>
              <w:spacing w:line="258"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33</w:t>
            </w:r>
          </w:p>
        </w:tc>
        <w:tc>
          <w:tcPr>
            <w:tcW w:w="4110" w:type="dxa"/>
          </w:tcPr>
          <w:p>
            <w:pPr>
              <w:pStyle w:val="TableParagraph"/>
              <w:spacing w:line="258" w:lineRule="exact"/>
              <w:ind w:left="40"/>
              <w:rPr>
                <w:sz w:val="24"/>
              </w:rPr>
            </w:pPr>
            <w:r>
              <w:rPr>
                <w:sz w:val="24"/>
              </w:rPr>
              <w:t>Ланка</w:t>
            </w:r>
          </w:p>
        </w:tc>
        <w:tc>
          <w:tcPr>
            <w:tcW w:w="994" w:type="dxa"/>
          </w:tcPr>
          <w:p>
            <w:pPr>
              <w:pStyle w:val="TableParagraph"/>
              <w:spacing w:line="258" w:lineRule="exact"/>
              <w:ind w:left="19"/>
              <w:jc w:val="center"/>
              <w:rPr>
                <w:sz w:val="24"/>
              </w:rPr>
            </w:pPr>
            <w:r>
              <w:rPr>
                <w:sz w:val="24"/>
              </w:rPr>
              <w:t>3</w:t>
            </w:r>
          </w:p>
        </w:tc>
        <w:tc>
          <w:tcPr>
            <w:tcW w:w="994" w:type="dxa"/>
          </w:tcPr>
          <w:p>
            <w:pPr>
              <w:pStyle w:val="TableParagraph"/>
              <w:spacing w:line="258" w:lineRule="exact"/>
              <w:ind w:left="17"/>
              <w:jc w:val="center"/>
              <w:rPr>
                <w:sz w:val="24"/>
              </w:rPr>
            </w:pPr>
            <w:r>
              <w:rPr>
                <w:w w:val="99"/>
                <w:sz w:val="24"/>
              </w:rPr>
              <w:t>-</w:t>
            </w:r>
          </w:p>
        </w:tc>
        <w:tc>
          <w:tcPr>
            <w:tcW w:w="989" w:type="dxa"/>
          </w:tcPr>
          <w:p>
            <w:pPr>
              <w:pStyle w:val="TableParagraph"/>
              <w:spacing w:line="258" w:lineRule="exact"/>
              <w:ind w:left="113" w:right="98"/>
              <w:jc w:val="center"/>
              <w:rPr>
                <w:sz w:val="24"/>
              </w:rPr>
            </w:pPr>
            <w:r>
              <w:rPr>
                <w:sz w:val="24"/>
              </w:rPr>
              <w:t>0,1</w:t>
            </w:r>
          </w:p>
        </w:tc>
        <w:tc>
          <w:tcPr>
            <w:tcW w:w="994" w:type="dxa"/>
          </w:tcPr>
          <w:p>
            <w:pPr>
              <w:pStyle w:val="TableParagraph"/>
              <w:spacing w:line="258" w:lineRule="exact"/>
              <w:ind w:left="15"/>
              <w:jc w:val="center"/>
              <w:rPr>
                <w:sz w:val="24"/>
              </w:rPr>
            </w:pPr>
            <w:r>
              <w:rPr>
                <w:sz w:val="24"/>
              </w:rPr>
              <w:t>Х</w:t>
            </w:r>
          </w:p>
        </w:tc>
      </w:tr>
      <w:tr>
        <w:trPr>
          <w:trHeight w:val="272" w:hRule="atLeast"/>
        </w:trPr>
        <w:tc>
          <w:tcPr>
            <w:tcW w:w="850" w:type="dxa"/>
          </w:tcPr>
          <w:p>
            <w:pPr>
              <w:pStyle w:val="TableParagraph"/>
              <w:spacing w:line="253" w:lineRule="exact"/>
              <w:ind w:left="35"/>
              <w:rPr>
                <w:sz w:val="24"/>
              </w:rPr>
            </w:pPr>
            <w:r>
              <w:rPr>
                <w:sz w:val="24"/>
              </w:rPr>
              <w:t>34</w:t>
            </w:r>
          </w:p>
        </w:tc>
        <w:tc>
          <w:tcPr>
            <w:tcW w:w="4110" w:type="dxa"/>
          </w:tcPr>
          <w:p>
            <w:pPr>
              <w:pStyle w:val="TableParagraph"/>
              <w:spacing w:line="253" w:lineRule="exact"/>
              <w:ind w:left="40"/>
              <w:rPr>
                <w:sz w:val="24"/>
              </w:rPr>
            </w:pPr>
            <w:r>
              <w:rPr>
                <w:sz w:val="24"/>
              </w:rPr>
              <w:t>Агадаї</w:t>
            </w:r>
          </w:p>
        </w:tc>
        <w:tc>
          <w:tcPr>
            <w:tcW w:w="994" w:type="dxa"/>
          </w:tcPr>
          <w:p>
            <w:pPr>
              <w:pStyle w:val="TableParagraph"/>
              <w:spacing w:line="253" w:lineRule="exact"/>
              <w:ind w:left="19"/>
              <w:jc w:val="center"/>
              <w:rPr>
                <w:sz w:val="24"/>
              </w:rPr>
            </w:pPr>
            <w:r>
              <w:rPr>
                <w:sz w:val="24"/>
              </w:rPr>
              <w:t>3</w:t>
            </w:r>
          </w:p>
        </w:tc>
        <w:tc>
          <w:tcPr>
            <w:tcW w:w="994" w:type="dxa"/>
          </w:tcPr>
          <w:p>
            <w:pPr>
              <w:pStyle w:val="TableParagraph"/>
              <w:spacing w:line="253" w:lineRule="exact"/>
              <w:ind w:left="17"/>
              <w:jc w:val="center"/>
              <w:rPr>
                <w:sz w:val="24"/>
              </w:rPr>
            </w:pPr>
            <w:r>
              <w:rPr>
                <w:w w:val="99"/>
                <w:sz w:val="24"/>
              </w:rPr>
              <w:t>-</w:t>
            </w:r>
          </w:p>
        </w:tc>
        <w:tc>
          <w:tcPr>
            <w:tcW w:w="989" w:type="dxa"/>
          </w:tcPr>
          <w:p>
            <w:pPr>
              <w:pStyle w:val="TableParagraph"/>
              <w:spacing w:line="253" w:lineRule="exact"/>
              <w:ind w:left="113" w:right="98"/>
              <w:jc w:val="center"/>
              <w:rPr>
                <w:sz w:val="24"/>
              </w:rPr>
            </w:pPr>
            <w:r>
              <w:rPr>
                <w:sz w:val="24"/>
              </w:rPr>
              <w:t>0,1</w:t>
            </w:r>
          </w:p>
        </w:tc>
        <w:tc>
          <w:tcPr>
            <w:tcW w:w="994" w:type="dxa"/>
          </w:tcPr>
          <w:p>
            <w:pPr>
              <w:pStyle w:val="TableParagraph"/>
              <w:spacing w:line="253" w:lineRule="exact"/>
              <w:ind w:left="15"/>
              <w:jc w:val="center"/>
              <w:rPr>
                <w:sz w:val="24"/>
              </w:rPr>
            </w:pPr>
            <w:r>
              <w:rPr>
                <w:sz w:val="24"/>
              </w:rPr>
              <w:t>Х</w:t>
            </w:r>
          </w:p>
        </w:tc>
      </w:tr>
      <w:tr>
        <w:trPr>
          <w:trHeight w:val="277" w:hRule="atLeast"/>
        </w:trPr>
        <w:tc>
          <w:tcPr>
            <w:tcW w:w="850" w:type="dxa"/>
          </w:tcPr>
          <w:p>
            <w:pPr>
              <w:pStyle w:val="TableParagraph"/>
              <w:spacing w:line="258" w:lineRule="exact"/>
              <w:ind w:left="35"/>
              <w:rPr>
                <w:sz w:val="24"/>
              </w:rPr>
            </w:pPr>
            <w:r>
              <w:rPr>
                <w:sz w:val="24"/>
              </w:rPr>
              <w:t>35</w:t>
            </w:r>
          </w:p>
        </w:tc>
        <w:tc>
          <w:tcPr>
            <w:tcW w:w="4110" w:type="dxa"/>
          </w:tcPr>
          <w:p>
            <w:pPr>
              <w:pStyle w:val="TableParagraph"/>
              <w:spacing w:line="258" w:lineRule="exact"/>
              <w:ind w:left="40"/>
              <w:rPr>
                <w:sz w:val="24"/>
              </w:rPr>
            </w:pPr>
            <w:r>
              <w:rPr>
                <w:sz w:val="24"/>
              </w:rPr>
              <w:t>Інші</w:t>
            </w:r>
          </w:p>
        </w:tc>
        <w:tc>
          <w:tcPr>
            <w:tcW w:w="994" w:type="dxa"/>
          </w:tcPr>
          <w:p>
            <w:pPr>
              <w:pStyle w:val="TableParagraph"/>
              <w:spacing w:line="258" w:lineRule="exact"/>
              <w:ind w:left="117" w:right="98"/>
              <w:jc w:val="center"/>
              <w:rPr>
                <w:sz w:val="24"/>
              </w:rPr>
            </w:pPr>
            <w:r>
              <w:rPr>
                <w:sz w:val="24"/>
              </w:rPr>
              <w:t>156</w:t>
            </w:r>
          </w:p>
        </w:tc>
        <w:tc>
          <w:tcPr>
            <w:tcW w:w="994" w:type="dxa"/>
          </w:tcPr>
          <w:p>
            <w:pPr>
              <w:pStyle w:val="TableParagraph"/>
              <w:spacing w:line="258" w:lineRule="exact"/>
              <w:ind w:left="117" w:right="93"/>
              <w:jc w:val="center"/>
              <w:rPr>
                <w:sz w:val="24"/>
              </w:rPr>
            </w:pPr>
            <w:r>
              <w:rPr>
                <w:sz w:val="24"/>
              </w:rPr>
              <w:t>325,77</w:t>
            </w:r>
          </w:p>
        </w:tc>
        <w:tc>
          <w:tcPr>
            <w:tcW w:w="989" w:type="dxa"/>
          </w:tcPr>
          <w:p>
            <w:pPr>
              <w:pStyle w:val="TableParagraph"/>
              <w:spacing w:line="258" w:lineRule="exact"/>
              <w:ind w:left="113" w:right="98"/>
              <w:jc w:val="center"/>
              <w:rPr>
                <w:sz w:val="24"/>
              </w:rPr>
            </w:pPr>
            <w:r>
              <w:rPr>
                <w:sz w:val="24"/>
              </w:rPr>
              <w:t>3,4</w:t>
            </w:r>
          </w:p>
        </w:tc>
        <w:tc>
          <w:tcPr>
            <w:tcW w:w="994" w:type="dxa"/>
          </w:tcPr>
          <w:p>
            <w:pPr>
              <w:pStyle w:val="TableParagraph"/>
              <w:spacing w:line="258" w:lineRule="exact"/>
              <w:ind w:left="117" w:right="93"/>
              <w:jc w:val="center"/>
              <w:rPr>
                <w:sz w:val="24"/>
              </w:rPr>
            </w:pPr>
            <w:r>
              <w:rPr>
                <w:sz w:val="24"/>
              </w:rPr>
              <w:t>19,5</w:t>
            </w:r>
          </w:p>
        </w:tc>
      </w:tr>
      <w:tr>
        <w:trPr>
          <w:trHeight w:val="273" w:hRule="atLeast"/>
        </w:trPr>
        <w:tc>
          <w:tcPr>
            <w:tcW w:w="850" w:type="dxa"/>
          </w:tcPr>
          <w:p>
            <w:pPr>
              <w:pStyle w:val="TableParagraph"/>
              <w:rPr>
                <w:sz w:val="20"/>
              </w:rPr>
            </w:pPr>
          </w:p>
        </w:tc>
        <w:tc>
          <w:tcPr>
            <w:tcW w:w="4110" w:type="dxa"/>
          </w:tcPr>
          <w:p>
            <w:pPr>
              <w:pStyle w:val="TableParagraph"/>
              <w:spacing w:line="253" w:lineRule="exact"/>
              <w:ind w:left="40"/>
              <w:rPr>
                <w:sz w:val="24"/>
              </w:rPr>
            </w:pPr>
            <w:r>
              <w:rPr>
                <w:sz w:val="24"/>
              </w:rPr>
              <w:t>Всього столових сортів</w:t>
            </w:r>
          </w:p>
        </w:tc>
        <w:tc>
          <w:tcPr>
            <w:tcW w:w="994" w:type="dxa"/>
          </w:tcPr>
          <w:p>
            <w:pPr>
              <w:pStyle w:val="TableParagraph"/>
              <w:spacing w:line="253" w:lineRule="exact"/>
              <w:ind w:left="115" w:right="101"/>
              <w:jc w:val="center"/>
              <w:rPr>
                <w:sz w:val="24"/>
              </w:rPr>
            </w:pPr>
            <w:r>
              <w:rPr>
                <w:sz w:val="24"/>
              </w:rPr>
              <w:t>4638</w:t>
            </w:r>
          </w:p>
        </w:tc>
        <w:tc>
          <w:tcPr>
            <w:tcW w:w="994" w:type="dxa"/>
          </w:tcPr>
          <w:p>
            <w:pPr>
              <w:pStyle w:val="TableParagraph"/>
              <w:spacing w:line="253" w:lineRule="exact"/>
              <w:ind w:left="117" w:right="93"/>
              <w:jc w:val="center"/>
              <w:rPr>
                <w:sz w:val="24"/>
              </w:rPr>
            </w:pPr>
            <w:r>
              <w:rPr>
                <w:sz w:val="24"/>
              </w:rPr>
              <w:t>1673,7</w:t>
            </w:r>
          </w:p>
        </w:tc>
        <w:tc>
          <w:tcPr>
            <w:tcW w:w="989" w:type="dxa"/>
          </w:tcPr>
          <w:p>
            <w:pPr>
              <w:pStyle w:val="TableParagraph"/>
              <w:spacing w:line="253" w:lineRule="exact"/>
              <w:ind w:left="113" w:right="98"/>
              <w:jc w:val="center"/>
              <w:rPr>
                <w:sz w:val="24"/>
              </w:rPr>
            </w:pPr>
            <w:r>
              <w:rPr>
                <w:sz w:val="24"/>
              </w:rPr>
              <w:t>100,0</w:t>
            </w:r>
          </w:p>
        </w:tc>
        <w:tc>
          <w:tcPr>
            <w:tcW w:w="994" w:type="dxa"/>
          </w:tcPr>
          <w:p>
            <w:pPr>
              <w:pStyle w:val="TableParagraph"/>
              <w:spacing w:line="253" w:lineRule="exact"/>
              <w:ind w:left="117" w:right="97"/>
              <w:jc w:val="center"/>
              <w:rPr>
                <w:sz w:val="24"/>
              </w:rPr>
            </w:pPr>
            <w:r>
              <w:rPr>
                <w:sz w:val="24"/>
              </w:rPr>
              <w:t>100,0</w:t>
            </w:r>
          </w:p>
        </w:tc>
      </w:tr>
    </w:tbl>
    <w:p>
      <w:pPr>
        <w:spacing w:before="0"/>
        <w:ind w:left="193" w:right="0" w:firstLine="0"/>
        <w:jc w:val="left"/>
        <w:rPr>
          <w:sz w:val="24"/>
        </w:rPr>
      </w:pPr>
      <w:r>
        <w:rPr>
          <w:sz w:val="24"/>
        </w:rPr>
        <w:t>Джерело: Дослідження ННЦ „Інститут виноградарства і виноробства ім. В. Є. Таїрова".</w:t>
      </w:r>
    </w:p>
    <w:p>
      <w:pPr>
        <w:pStyle w:val="BodyText"/>
        <w:spacing w:before="3"/>
        <w:ind w:left="0"/>
        <w:jc w:val="left"/>
      </w:pPr>
    </w:p>
    <w:p>
      <w:pPr>
        <w:pStyle w:val="BodyText"/>
        <w:ind w:right="604" w:firstLine="710"/>
      </w:pPr>
      <w:r>
        <w:rPr>
          <w:color w:val="212121"/>
          <w:spacing w:val="-3"/>
        </w:rPr>
        <w:t>На</w:t>
      </w:r>
      <w:r>
        <w:rPr>
          <w:color w:val="212121"/>
          <w:spacing w:val="-8"/>
        </w:rPr>
        <w:t> </w:t>
      </w:r>
      <w:r>
        <w:rPr>
          <w:color w:val="212121"/>
        </w:rPr>
        <w:t>відміну</w:t>
      </w:r>
      <w:r>
        <w:rPr>
          <w:color w:val="212121"/>
          <w:spacing w:val="-13"/>
        </w:rPr>
        <w:t> </w:t>
      </w:r>
      <w:r>
        <w:rPr>
          <w:color w:val="212121"/>
        </w:rPr>
        <w:t>від</w:t>
      </w:r>
      <w:r>
        <w:rPr>
          <w:color w:val="212121"/>
          <w:spacing w:val="-6"/>
        </w:rPr>
        <w:t> </w:t>
      </w:r>
      <w:r>
        <w:rPr>
          <w:color w:val="212121"/>
        </w:rPr>
        <w:t>вказаних</w:t>
      </w:r>
      <w:r>
        <w:rPr>
          <w:color w:val="212121"/>
          <w:spacing w:val="-12"/>
        </w:rPr>
        <w:t> </w:t>
      </w:r>
      <w:r>
        <w:rPr>
          <w:color w:val="212121"/>
        </w:rPr>
        <w:t>сортів,</w:t>
      </w:r>
      <w:r>
        <w:rPr>
          <w:color w:val="212121"/>
          <w:spacing w:val="-6"/>
        </w:rPr>
        <w:t> </w:t>
      </w:r>
      <w:r>
        <w:rPr>
          <w:color w:val="212121"/>
        </w:rPr>
        <w:t>площа</w:t>
      </w:r>
      <w:r>
        <w:rPr>
          <w:color w:val="212121"/>
          <w:spacing w:val="-2"/>
        </w:rPr>
        <w:t> </w:t>
      </w:r>
      <w:r>
        <w:rPr/>
        <w:t>сорту</w:t>
      </w:r>
      <w:r>
        <w:rPr>
          <w:spacing w:val="-12"/>
        </w:rPr>
        <w:t> </w:t>
      </w:r>
      <w:r>
        <w:rPr/>
        <w:t>Мечта</w:t>
      </w:r>
      <w:r>
        <w:rPr>
          <w:spacing w:val="-5"/>
        </w:rPr>
        <w:t> </w:t>
      </w:r>
      <w:r>
        <w:rPr/>
        <w:t>–</w:t>
      </w:r>
      <w:r>
        <w:rPr>
          <w:spacing w:val="-8"/>
        </w:rPr>
        <w:t> </w:t>
      </w:r>
      <w:r>
        <w:rPr/>
        <w:t>скорочується</w:t>
      </w:r>
      <w:r>
        <w:rPr>
          <w:spacing w:val="-7"/>
        </w:rPr>
        <w:t> </w:t>
      </w:r>
      <w:r>
        <w:rPr/>
        <w:t>(на</w:t>
      </w:r>
      <w:r>
        <w:rPr>
          <w:spacing w:val="-8"/>
        </w:rPr>
        <w:t> </w:t>
      </w:r>
      <w:r>
        <w:rPr/>
        <w:t>2,87 га). Проте його маркетингові перспективи досить солідні. Бо сорт Мечта варто позиціонувати як безсім’яний, що має темно-</w:t>
      </w:r>
      <w:r>
        <w:rPr>
          <w:color w:val="212121"/>
        </w:rPr>
        <w:t>рожеву </w:t>
      </w:r>
      <w:r>
        <w:rPr>
          <w:color w:val="1F2025"/>
        </w:rPr>
        <w:t>м'ясисто-соковиту </w:t>
      </w:r>
      <w:r>
        <w:rPr>
          <w:color w:val="212121"/>
        </w:rPr>
        <w:t>ягоду гармонійного смаку на циліндрично-конусній або крилатій гроні. При цьому ягоди сорту придатні для переробки на кишмиш. Така комплексна</w:t>
      </w:r>
      <w:r>
        <w:rPr>
          <w:color w:val="212121"/>
          <w:spacing w:val="27"/>
        </w:rPr>
        <w:t> </w:t>
      </w:r>
      <w:r>
        <w:rPr>
          <w:color w:val="212121"/>
        </w:rPr>
        <w:t>позиція</w:t>
      </w:r>
    </w:p>
    <w:p>
      <w:pPr>
        <w:spacing w:after="0"/>
        <w:sectPr>
          <w:pgSz w:w="11910" w:h="16840"/>
          <w:pgMar w:header="713" w:footer="778" w:top="1140" w:bottom="960" w:left="940" w:right="520"/>
        </w:sectPr>
      </w:pPr>
    </w:p>
    <w:p>
      <w:pPr>
        <w:pStyle w:val="BodyText"/>
        <w:spacing w:line="322" w:lineRule="exact" w:before="92"/>
      </w:pPr>
      <w:r>
        <w:rPr>
          <w:color w:val="212121"/>
        </w:rPr>
        <w:t>досить виграшна при просуванні на різних за сегментами споживачів ринках.</w:t>
      </w:r>
    </w:p>
    <w:p>
      <w:pPr>
        <w:pStyle w:val="BodyText"/>
        <w:ind w:right="613" w:firstLine="710"/>
      </w:pPr>
      <w:r>
        <w:rPr/>
        <w:t>Сорт Зорька взагалі виведений </w:t>
      </w:r>
      <w:r>
        <w:rPr>
          <w:spacing w:val="-3"/>
        </w:rPr>
        <w:t>із </w:t>
      </w:r>
      <w:r>
        <w:rPr/>
        <w:t>промислового господарського обороту. Тоді</w:t>
      </w:r>
      <w:r>
        <w:rPr>
          <w:spacing w:val="-13"/>
        </w:rPr>
        <w:t> </w:t>
      </w:r>
      <w:r>
        <w:rPr/>
        <w:t>як</w:t>
      </w:r>
      <w:r>
        <w:rPr>
          <w:spacing w:val="-8"/>
        </w:rPr>
        <w:t> </w:t>
      </w:r>
      <w:r>
        <w:rPr/>
        <w:t>маркетингові</w:t>
      </w:r>
      <w:r>
        <w:rPr>
          <w:spacing w:val="-13"/>
        </w:rPr>
        <w:t> </w:t>
      </w:r>
      <w:r>
        <w:rPr/>
        <w:t>перспективи</w:t>
      </w:r>
      <w:r>
        <w:rPr>
          <w:spacing w:val="-7"/>
        </w:rPr>
        <w:t> </w:t>
      </w:r>
      <w:r>
        <w:rPr/>
        <w:t>цього</w:t>
      </w:r>
      <w:r>
        <w:rPr>
          <w:spacing w:val="-7"/>
        </w:rPr>
        <w:t> </w:t>
      </w:r>
      <w:r>
        <w:rPr/>
        <w:t>винограду</w:t>
      </w:r>
      <w:r>
        <w:rPr>
          <w:spacing w:val="-12"/>
        </w:rPr>
        <w:t> </w:t>
      </w:r>
      <w:r>
        <w:rPr/>
        <w:t>базуються</w:t>
      </w:r>
      <w:r>
        <w:rPr>
          <w:spacing w:val="-6"/>
        </w:rPr>
        <w:t> </w:t>
      </w:r>
      <w:r>
        <w:rPr/>
        <w:t>на</w:t>
      </w:r>
      <w:r>
        <w:rPr>
          <w:spacing w:val="-7"/>
        </w:rPr>
        <w:t> </w:t>
      </w:r>
      <w:r>
        <w:rPr/>
        <w:t>дуже</w:t>
      </w:r>
      <w:r>
        <w:rPr>
          <w:spacing w:val="-7"/>
        </w:rPr>
        <w:t> </w:t>
      </w:r>
      <w:r>
        <w:rPr/>
        <w:t>ранньому строку дозрівання, грони якого середні </w:t>
      </w:r>
      <w:r>
        <w:rPr>
          <w:spacing w:val="3"/>
        </w:rPr>
        <w:t>за </w:t>
      </w:r>
      <w:r>
        <w:rPr/>
        <w:t>розмірами і мають конусну та рихлу форму. </w:t>
      </w:r>
      <w:r>
        <w:rPr>
          <w:spacing w:val="-3"/>
        </w:rPr>
        <w:t>На </w:t>
      </w:r>
      <w:r>
        <w:rPr/>
        <w:t>них знаходяться овальні, біло-рожеві ягоди середньої величини, приємного та гармонійного смаку. Завдяки ранньому строку дозрівання конкуренція на виноградному ринку для цього сорту незначна, чим варто скористатися при його вирощуванні та</w:t>
      </w:r>
      <w:r>
        <w:rPr>
          <w:spacing w:val="3"/>
        </w:rPr>
        <w:t> </w:t>
      </w:r>
      <w:r>
        <w:rPr/>
        <w:t>просуванні.</w:t>
      </w:r>
    </w:p>
    <w:p>
      <w:pPr>
        <w:pStyle w:val="BodyText"/>
        <w:spacing w:before="2"/>
        <w:ind w:right="619" w:firstLine="710"/>
      </w:pPr>
      <w:r>
        <w:rPr/>
        <w:t>Маркетингова товарно-асортиментної політики винограду столового напряму передбачає приділення належної уваги до строків достигання винограду. Бо сортимент повинен сформований таким чином, щоб можна було скласти конвеєр сортів від дуже ранніх до пізніх строків дозрівання для подовження терміну споживання винограду у свіжому вигляді і зменшення навантаження підприємств у пікові моменти збору врожаю.</w:t>
      </w:r>
    </w:p>
    <w:p>
      <w:pPr>
        <w:pStyle w:val="BodyText"/>
        <w:ind w:right="610" w:firstLine="710"/>
      </w:pPr>
      <w:r>
        <w:rPr/>
        <w:t>Сорти українського Реєстру, як інтродуковані, так і нової селекції, відрізняються різноманітністю за кольором, смаковими якостями, строками достигання, технологічністю та іншими показниками. Однак розмноження і впровадження сортів нової селекції відбувається досить повільно як через невеликі стартові маточники й кількість саджанців, так і певну недовіру до нового сортименту з боку покупців. </w:t>
      </w:r>
      <w:r>
        <w:rPr>
          <w:spacing w:val="3"/>
        </w:rPr>
        <w:t>До </w:t>
      </w:r>
      <w:r>
        <w:rPr/>
        <w:t>того ж формування й реконструкція сортименту</w:t>
      </w:r>
      <w:r>
        <w:rPr>
          <w:spacing w:val="-11"/>
        </w:rPr>
        <w:t> </w:t>
      </w:r>
      <w:r>
        <w:rPr/>
        <w:t>винограду</w:t>
      </w:r>
      <w:r>
        <w:rPr>
          <w:spacing w:val="-10"/>
        </w:rPr>
        <w:t> </w:t>
      </w:r>
      <w:r>
        <w:rPr/>
        <w:t>здійснюється</w:t>
      </w:r>
      <w:r>
        <w:rPr>
          <w:spacing w:val="-4"/>
        </w:rPr>
        <w:t> </w:t>
      </w:r>
      <w:r>
        <w:rPr/>
        <w:t>стихійно,</w:t>
      </w:r>
      <w:r>
        <w:rPr>
          <w:spacing w:val="-4"/>
        </w:rPr>
        <w:t> </w:t>
      </w:r>
      <w:r>
        <w:rPr/>
        <w:t>до</w:t>
      </w:r>
      <w:r>
        <w:rPr>
          <w:spacing w:val="-7"/>
        </w:rPr>
        <w:t> </w:t>
      </w:r>
      <w:r>
        <w:rPr/>
        <w:t>уваги</w:t>
      </w:r>
      <w:r>
        <w:rPr>
          <w:spacing w:val="-6"/>
        </w:rPr>
        <w:t> </w:t>
      </w:r>
      <w:r>
        <w:rPr/>
        <w:t>береться</w:t>
      </w:r>
      <w:r>
        <w:rPr>
          <w:spacing w:val="-5"/>
        </w:rPr>
        <w:t> </w:t>
      </w:r>
      <w:r>
        <w:rPr/>
        <w:t>лише</w:t>
      </w:r>
      <w:r>
        <w:rPr>
          <w:spacing w:val="-6"/>
        </w:rPr>
        <w:t> </w:t>
      </w:r>
      <w:r>
        <w:rPr/>
        <w:t>ринковий попит,</w:t>
      </w:r>
      <w:r>
        <w:rPr>
          <w:spacing w:val="-13"/>
        </w:rPr>
        <w:t> </w:t>
      </w:r>
      <w:r>
        <w:rPr/>
        <w:t>не</w:t>
      </w:r>
      <w:r>
        <w:rPr>
          <w:spacing w:val="-13"/>
        </w:rPr>
        <w:t> </w:t>
      </w:r>
      <w:r>
        <w:rPr/>
        <w:t>враховуються</w:t>
      </w:r>
      <w:r>
        <w:rPr>
          <w:spacing w:val="-13"/>
        </w:rPr>
        <w:t> </w:t>
      </w:r>
      <w:r>
        <w:rPr/>
        <w:t>перспективи</w:t>
      </w:r>
      <w:r>
        <w:rPr>
          <w:spacing w:val="-14"/>
        </w:rPr>
        <w:t> </w:t>
      </w:r>
      <w:r>
        <w:rPr/>
        <w:t>розвитку</w:t>
      </w:r>
      <w:r>
        <w:rPr>
          <w:spacing w:val="-18"/>
        </w:rPr>
        <w:t> </w:t>
      </w:r>
      <w:r>
        <w:rPr/>
        <w:t>регіонів,</w:t>
      </w:r>
      <w:r>
        <w:rPr>
          <w:spacing w:val="-12"/>
        </w:rPr>
        <w:t> </w:t>
      </w:r>
      <w:r>
        <w:rPr/>
        <w:t>господарств</w:t>
      </w:r>
      <w:r>
        <w:rPr>
          <w:spacing w:val="-16"/>
        </w:rPr>
        <w:t> </w:t>
      </w:r>
      <w:r>
        <w:rPr/>
        <w:t>та</w:t>
      </w:r>
      <w:r>
        <w:rPr>
          <w:spacing w:val="-13"/>
        </w:rPr>
        <w:t> </w:t>
      </w:r>
      <w:r>
        <w:rPr/>
        <w:t>наявність розсадницької бази [1, с.</w:t>
      </w:r>
      <w:r>
        <w:rPr>
          <w:spacing w:val="5"/>
        </w:rPr>
        <w:t> </w:t>
      </w:r>
      <w:r>
        <w:rPr/>
        <w:t>27].</w:t>
      </w:r>
    </w:p>
    <w:p>
      <w:pPr>
        <w:pStyle w:val="BodyText"/>
        <w:spacing w:before="1"/>
        <w:ind w:right="611" w:firstLine="710"/>
      </w:pPr>
      <w:r>
        <w:rPr/>
        <w:t>Відтак, просування нових сортів столового винограду потребує активної інформативної реклами, в якій потенційним споживачам доцільно донести властивості цього сорту, його особливості та переваги по відношенню до аналогічних продуктів. Важливо цю інформацію донести як кінцевим споживачам продукції, так і посередникам, якими є оптові та роздрібні торговельні мережі. Новинки столових сортів винограду представляють також інтерес для аграрних товаровиробників, які бажають вирощувати конкурентоспроможну продукцію та виступають в якості оптових закупників великих партій розсадницького матеріалу.</w:t>
      </w:r>
    </w:p>
    <w:p>
      <w:pPr>
        <w:pStyle w:val="BodyText"/>
        <w:spacing w:before="2"/>
        <w:ind w:right="608" w:firstLine="710"/>
      </w:pPr>
      <w:r>
        <w:rPr/>
        <w:t>Поділяємо точку зору фахівців, які вважають, що сортимент винограду є одним з основних чинників, який необхідно враховувати при інтеграції галузі у світовий ринок. Тому важливо знати особливості конкретних національних ринків, щоб столовий виноград в повній мірі відповідав смакам споживача традиційних сортів, а також залучав їх до споживання винограду нових сортів. Спеціалісти рекомендують, щоб співвідношення традиційних та нових сортів складало відповідно 75% та 25 відсотків. Причому частка сортів нової селекції, здебільшого стійких до стресових чинників зовнішнього середовища (морозу, посухи) та грибних хвороб, є страховим фондом на випадок форс-мажорних обставин, пов'язаних з кліматичними умовами наших виноградарських регіонів [3, с. 3; </w:t>
      </w:r>
      <w:r>
        <w:rPr>
          <w:spacing w:val="-3"/>
        </w:rPr>
        <w:t>4, </w:t>
      </w:r>
      <w:r>
        <w:rPr/>
        <w:t>с. 8]. Згідно маркетингових досліджень на ринку столових сортів винограду перевага віддається біло- та рожевоягідним сортам,</w:t>
      </w:r>
      <w:r>
        <w:rPr>
          <w:spacing w:val="65"/>
        </w:rPr>
        <w:t> </w:t>
      </w:r>
      <w:r>
        <w:rPr/>
        <w:t>крупногроздним</w:t>
      </w:r>
    </w:p>
    <w:p>
      <w:pPr>
        <w:spacing w:after="0"/>
        <w:sectPr>
          <w:pgSz w:w="11910" w:h="16840"/>
          <w:pgMar w:header="713" w:footer="778" w:top="1140" w:bottom="960" w:left="940" w:right="520"/>
        </w:sectPr>
      </w:pPr>
    </w:p>
    <w:p>
      <w:pPr>
        <w:pStyle w:val="BodyText"/>
        <w:spacing w:line="322" w:lineRule="exact" w:before="92"/>
      </w:pPr>
      <w:r>
        <w:rPr/>
        <w:t>та крупноягідним [2, с. 26].</w:t>
      </w:r>
    </w:p>
    <w:p>
      <w:pPr>
        <w:pStyle w:val="BodyText"/>
        <w:ind w:right="613" w:firstLine="710"/>
      </w:pPr>
      <w:r>
        <w:rPr>
          <w:b/>
        </w:rPr>
        <w:t>Висновки. </w:t>
      </w:r>
      <w:r>
        <w:rPr/>
        <w:t>Столовий виноград в промислових насадженнях України представлений 43 сортами, що вирощуються в п’яти областях країни загальною площею 2138,2 гектарів. Лідером в насадженнях столового винограду виступає сорт Молдова з площею 766,71 га, що складає майже 36 % від загальної площі насаджень. В усіх регіонах промислового вирощування винограду в Україні поширені три столові сорти – Молдова, Аркадія, Восторг.</w:t>
      </w:r>
    </w:p>
    <w:p>
      <w:pPr>
        <w:pStyle w:val="BodyText"/>
        <w:spacing w:before="3"/>
        <w:ind w:right="603" w:firstLine="710"/>
      </w:pPr>
      <w:r>
        <w:rPr/>
        <w:t>В Одеській області зосереджено 78,3 % від загальної площі всіх столових виноградників</w:t>
      </w:r>
      <w:r>
        <w:rPr>
          <w:spacing w:val="-10"/>
        </w:rPr>
        <w:t> </w:t>
      </w:r>
      <w:r>
        <w:rPr/>
        <w:t>України</w:t>
      </w:r>
      <w:r>
        <w:rPr>
          <w:spacing w:val="-4"/>
        </w:rPr>
        <w:t> </w:t>
      </w:r>
      <w:r>
        <w:rPr/>
        <w:t>та</w:t>
      </w:r>
      <w:r>
        <w:rPr>
          <w:spacing w:val="-7"/>
        </w:rPr>
        <w:t> </w:t>
      </w:r>
      <w:r>
        <w:rPr/>
        <w:t>вирощується</w:t>
      </w:r>
      <w:r>
        <w:rPr>
          <w:spacing w:val="-6"/>
        </w:rPr>
        <w:t> </w:t>
      </w:r>
      <w:r>
        <w:rPr/>
        <w:t>понад</w:t>
      </w:r>
      <w:r>
        <w:rPr>
          <w:spacing w:val="-6"/>
        </w:rPr>
        <w:t> </w:t>
      </w:r>
      <w:r>
        <w:rPr/>
        <w:t>35</w:t>
      </w:r>
      <w:r>
        <w:rPr>
          <w:spacing w:val="-7"/>
        </w:rPr>
        <w:t> </w:t>
      </w:r>
      <w:r>
        <w:rPr/>
        <w:t>столових</w:t>
      </w:r>
      <w:r>
        <w:rPr>
          <w:spacing w:val="-13"/>
        </w:rPr>
        <w:t> </w:t>
      </w:r>
      <w:r>
        <w:rPr/>
        <w:t>сортів.</w:t>
      </w:r>
      <w:r>
        <w:rPr>
          <w:spacing w:val="-5"/>
        </w:rPr>
        <w:t> </w:t>
      </w:r>
      <w:r>
        <w:rPr/>
        <w:t>За</w:t>
      </w:r>
      <w:r>
        <w:rPr>
          <w:spacing w:val="1"/>
        </w:rPr>
        <w:t> </w:t>
      </w:r>
      <w:r>
        <w:rPr/>
        <w:t>2005</w:t>
      </w:r>
      <w:r>
        <w:rPr>
          <w:spacing w:val="-8"/>
        </w:rPr>
        <w:t> </w:t>
      </w:r>
      <w:r>
        <w:rPr/>
        <w:t>–</w:t>
      </w:r>
      <w:r>
        <w:rPr>
          <w:spacing w:val="-7"/>
        </w:rPr>
        <w:t> </w:t>
      </w:r>
      <w:r>
        <w:rPr/>
        <w:t>2018 pр.. на Одещині площа столових сортів винограду скоротилася на 2964,3 га, або на</w:t>
      </w:r>
      <w:r>
        <w:rPr>
          <w:spacing w:val="-12"/>
        </w:rPr>
        <w:t> </w:t>
      </w:r>
      <w:r>
        <w:rPr/>
        <w:t>64</w:t>
      </w:r>
      <w:r>
        <w:rPr>
          <w:spacing w:val="-13"/>
        </w:rPr>
        <w:t> </w:t>
      </w:r>
      <w:r>
        <w:rPr/>
        <w:t>%,</w:t>
      </w:r>
      <w:r>
        <w:rPr>
          <w:spacing w:val="-11"/>
        </w:rPr>
        <w:t> </w:t>
      </w:r>
      <w:r>
        <w:rPr>
          <w:spacing w:val="-3"/>
        </w:rPr>
        <w:t>із</w:t>
      </w:r>
      <w:r>
        <w:rPr>
          <w:spacing w:val="-13"/>
        </w:rPr>
        <w:t> </w:t>
      </w:r>
      <w:r>
        <w:rPr/>
        <w:t>промислового</w:t>
      </w:r>
      <w:r>
        <w:rPr>
          <w:spacing w:val="-13"/>
        </w:rPr>
        <w:t> </w:t>
      </w:r>
      <w:r>
        <w:rPr/>
        <w:t>обороту</w:t>
      </w:r>
      <w:r>
        <w:rPr>
          <w:spacing w:val="-18"/>
        </w:rPr>
        <w:t> </w:t>
      </w:r>
      <w:r>
        <w:rPr/>
        <w:t>було</w:t>
      </w:r>
      <w:r>
        <w:rPr>
          <w:spacing w:val="-13"/>
        </w:rPr>
        <w:t> </w:t>
      </w:r>
      <w:r>
        <w:rPr/>
        <w:t>вилучено</w:t>
      </w:r>
      <w:r>
        <w:rPr>
          <w:spacing w:val="-13"/>
        </w:rPr>
        <w:t> </w:t>
      </w:r>
      <w:r>
        <w:rPr/>
        <w:t>23</w:t>
      </w:r>
      <w:r>
        <w:rPr>
          <w:spacing w:val="-12"/>
        </w:rPr>
        <w:t> </w:t>
      </w:r>
      <w:r>
        <w:rPr/>
        <w:t>сорти.</w:t>
      </w:r>
      <w:r>
        <w:rPr>
          <w:spacing w:val="-12"/>
        </w:rPr>
        <w:t> </w:t>
      </w:r>
      <w:r>
        <w:rPr/>
        <w:t>Ці</w:t>
      </w:r>
      <w:r>
        <w:rPr>
          <w:spacing w:val="-17"/>
        </w:rPr>
        <w:t> </w:t>
      </w:r>
      <w:r>
        <w:rPr/>
        <w:t>втрати</w:t>
      </w:r>
      <w:r>
        <w:rPr>
          <w:spacing w:val="-13"/>
        </w:rPr>
        <w:t> </w:t>
      </w:r>
      <w:r>
        <w:rPr/>
        <w:t>засвідчують про наявність глибокої кризи галузі та відсутність у неї надійного товарно- асортиментного маркетингового забезпечення.</w:t>
      </w:r>
    </w:p>
    <w:p>
      <w:pPr>
        <w:pStyle w:val="BodyText"/>
        <w:ind w:right="612" w:firstLine="710"/>
      </w:pPr>
      <w:r>
        <w:rPr/>
        <w:t>Розвиток маркетингової товарно-асортиментної політики винограду столового напряму повинен базуватися на властивостях цього продукту як високоякісного, </w:t>
      </w:r>
      <w:r>
        <w:rPr>
          <w:color w:val="212121"/>
        </w:rPr>
        <w:t>цілющого, високопоживного. Традиційні у вирощуванні сорти столового винограду </w:t>
      </w:r>
      <w:r>
        <w:rPr/>
        <w:t>Ранній Магарача, Іршаї Олівер, Красуня Цегледа, Жемчуг Саба,</w:t>
      </w:r>
      <w:r>
        <w:rPr>
          <w:spacing w:val="-13"/>
        </w:rPr>
        <w:t> </w:t>
      </w:r>
      <w:r>
        <w:rPr/>
        <w:t>Мускат</w:t>
      </w:r>
      <w:r>
        <w:rPr>
          <w:spacing w:val="-16"/>
        </w:rPr>
        <w:t> </w:t>
      </w:r>
      <w:r>
        <w:rPr/>
        <w:t>гамбурзький,</w:t>
      </w:r>
      <w:r>
        <w:rPr>
          <w:spacing w:val="-13"/>
        </w:rPr>
        <w:t> </w:t>
      </w:r>
      <w:r>
        <w:rPr/>
        <w:t>Альфонс</w:t>
      </w:r>
      <w:r>
        <w:rPr>
          <w:spacing w:val="-10"/>
        </w:rPr>
        <w:t> </w:t>
      </w:r>
      <w:r>
        <w:rPr/>
        <w:t>Лаваллє,</w:t>
      </w:r>
      <w:r>
        <w:rPr>
          <w:spacing w:val="-4"/>
        </w:rPr>
        <w:t> </w:t>
      </w:r>
      <w:r>
        <w:rPr/>
        <w:t>Карабурну,</w:t>
      </w:r>
      <w:r>
        <w:rPr>
          <w:spacing w:val="-11"/>
        </w:rPr>
        <w:t> </w:t>
      </w:r>
      <w:r>
        <w:rPr/>
        <w:t>Кардинал,</w:t>
      </w:r>
      <w:r>
        <w:rPr>
          <w:spacing w:val="-10"/>
        </w:rPr>
        <w:t> </w:t>
      </w:r>
      <w:r>
        <w:rPr/>
        <w:t>Чауш</w:t>
      </w:r>
      <w:r>
        <w:rPr>
          <w:spacing w:val="-13"/>
        </w:rPr>
        <w:t> </w:t>
      </w:r>
      <w:r>
        <w:rPr/>
        <w:t>білий та інші, повинні позиціонуватися як стародавні бренди з власними історіями створення та особливостями походження. Просування продукції нових сортів столового винограду потребує активної інформативної реклами, в якій потенційним споживачам доцільно донести властивості </w:t>
      </w:r>
      <w:r>
        <w:rPr>
          <w:spacing w:val="2"/>
        </w:rPr>
        <w:t>цих </w:t>
      </w:r>
      <w:r>
        <w:rPr/>
        <w:t>сортів, їх особливості та переваги по відношенню до аналогічних продуктів. При виведенні столового винограду на світовий ринок важливо враховувати специфіку кожної національної економіки та культуру споживання столового винограду.</w:t>
      </w:r>
    </w:p>
    <w:p>
      <w:pPr>
        <w:pStyle w:val="BodyText"/>
        <w:ind w:right="613" w:firstLine="710"/>
      </w:pPr>
      <w:r>
        <w:rPr/>
        <w:t>Абсолютна більшість </w:t>
      </w:r>
      <w:r>
        <w:rPr>
          <w:color w:val="212121"/>
        </w:rPr>
        <w:t>районованих </w:t>
      </w:r>
      <w:r>
        <w:rPr/>
        <w:t>сортів столового винограду має певну товарну місію завдяки своїй індивідуальності та особливим властивостям за поживністю, дієтичною цінністю, якістю, унікальністю, смаком, гармонійністю, оригінальністю формування куща, дизайном листя, лози, формою грони, ягоди тощо. Ці якісні характеристики та відмінності варто використовувати в позиціонуванні</w:t>
      </w:r>
      <w:r>
        <w:rPr>
          <w:spacing w:val="-15"/>
        </w:rPr>
        <w:t> </w:t>
      </w:r>
      <w:r>
        <w:rPr/>
        <w:t>винограду</w:t>
      </w:r>
      <w:r>
        <w:rPr>
          <w:spacing w:val="-19"/>
        </w:rPr>
        <w:t> </w:t>
      </w:r>
      <w:r>
        <w:rPr/>
        <w:t>на</w:t>
      </w:r>
      <w:r>
        <w:rPr>
          <w:spacing w:val="-13"/>
        </w:rPr>
        <w:t> </w:t>
      </w:r>
      <w:r>
        <w:rPr/>
        <w:t>ринку</w:t>
      </w:r>
      <w:r>
        <w:rPr>
          <w:spacing w:val="-18"/>
        </w:rPr>
        <w:t> </w:t>
      </w:r>
      <w:r>
        <w:rPr/>
        <w:t>та</w:t>
      </w:r>
      <w:r>
        <w:rPr>
          <w:spacing w:val="-14"/>
        </w:rPr>
        <w:t> </w:t>
      </w:r>
      <w:r>
        <w:rPr/>
        <w:t>виокремлювати</w:t>
      </w:r>
      <w:r>
        <w:rPr>
          <w:spacing w:val="-14"/>
        </w:rPr>
        <w:t> </w:t>
      </w:r>
      <w:r>
        <w:rPr/>
        <w:t>серед</w:t>
      </w:r>
      <w:r>
        <w:rPr>
          <w:spacing w:val="-12"/>
        </w:rPr>
        <w:t> </w:t>
      </w:r>
      <w:r>
        <w:rPr/>
        <w:t>аналогічних</w:t>
      </w:r>
      <w:r>
        <w:rPr>
          <w:spacing w:val="-18"/>
        </w:rPr>
        <w:t> </w:t>
      </w:r>
      <w:r>
        <w:rPr/>
        <w:t>товарів для маркетингового стимулювання збуту та задоволення різнопланових потреб споживачів.</w:t>
      </w:r>
    </w:p>
    <w:p>
      <w:pPr>
        <w:pStyle w:val="BodyText"/>
        <w:spacing w:before="2"/>
        <w:ind w:right="612" w:firstLine="710"/>
      </w:pPr>
      <w:r>
        <w:rPr/>
        <w:t>Маркетингова товарно-асортиментної політики винограду столового напряму передбачає приділення належної уваги до строків достигання винограду.</w:t>
      </w:r>
      <w:r>
        <w:rPr>
          <w:spacing w:val="-12"/>
        </w:rPr>
        <w:t> </w:t>
      </w:r>
      <w:r>
        <w:rPr/>
        <w:t>Сортимент</w:t>
      </w:r>
      <w:r>
        <w:rPr>
          <w:spacing w:val="-16"/>
        </w:rPr>
        <w:t> </w:t>
      </w:r>
      <w:r>
        <w:rPr/>
        <w:t>повинен</w:t>
      </w:r>
      <w:r>
        <w:rPr>
          <w:spacing w:val="-14"/>
        </w:rPr>
        <w:t> </w:t>
      </w:r>
      <w:r>
        <w:rPr/>
        <w:t>поєднувати</w:t>
      </w:r>
      <w:r>
        <w:rPr>
          <w:spacing w:val="-13"/>
        </w:rPr>
        <w:t> </w:t>
      </w:r>
      <w:r>
        <w:rPr/>
        <w:t>сорти</w:t>
      </w:r>
      <w:r>
        <w:rPr>
          <w:spacing w:val="-14"/>
        </w:rPr>
        <w:t> </w:t>
      </w:r>
      <w:r>
        <w:rPr/>
        <w:t>столового</w:t>
      </w:r>
      <w:r>
        <w:rPr>
          <w:spacing w:val="-14"/>
        </w:rPr>
        <w:t> </w:t>
      </w:r>
      <w:r>
        <w:rPr/>
        <w:t>винограду</w:t>
      </w:r>
      <w:r>
        <w:rPr>
          <w:spacing w:val="-18"/>
        </w:rPr>
        <w:t> </w:t>
      </w:r>
      <w:r>
        <w:rPr/>
        <w:t>у</w:t>
      </w:r>
      <w:r>
        <w:rPr>
          <w:spacing w:val="-18"/>
        </w:rPr>
        <w:t> </w:t>
      </w:r>
      <w:r>
        <w:rPr/>
        <w:t>аналогу до</w:t>
      </w:r>
      <w:r>
        <w:rPr>
          <w:spacing w:val="-17"/>
        </w:rPr>
        <w:t> </w:t>
      </w:r>
      <w:r>
        <w:rPr/>
        <w:t>конвеєра</w:t>
      </w:r>
      <w:r>
        <w:rPr>
          <w:spacing w:val="-14"/>
        </w:rPr>
        <w:t> </w:t>
      </w:r>
      <w:r>
        <w:rPr/>
        <w:t>–</w:t>
      </w:r>
      <w:r>
        <w:rPr>
          <w:spacing w:val="-17"/>
        </w:rPr>
        <w:t> </w:t>
      </w:r>
      <w:r>
        <w:rPr>
          <w:spacing w:val="-3"/>
        </w:rPr>
        <w:t>від</w:t>
      </w:r>
      <w:r>
        <w:rPr>
          <w:spacing w:val="-15"/>
        </w:rPr>
        <w:t> </w:t>
      </w:r>
      <w:r>
        <w:rPr/>
        <w:t>дуже</w:t>
      </w:r>
      <w:r>
        <w:rPr>
          <w:spacing w:val="-16"/>
        </w:rPr>
        <w:t> </w:t>
      </w:r>
      <w:r>
        <w:rPr/>
        <w:t>ранніх</w:t>
      </w:r>
      <w:r>
        <w:rPr>
          <w:spacing w:val="-22"/>
        </w:rPr>
        <w:t> </w:t>
      </w:r>
      <w:r>
        <w:rPr/>
        <w:t>сортів</w:t>
      </w:r>
      <w:r>
        <w:rPr>
          <w:spacing w:val="-19"/>
        </w:rPr>
        <w:t> </w:t>
      </w:r>
      <w:r>
        <w:rPr/>
        <w:t>до</w:t>
      </w:r>
      <w:r>
        <w:rPr>
          <w:spacing w:val="-16"/>
        </w:rPr>
        <w:t> </w:t>
      </w:r>
      <w:r>
        <w:rPr/>
        <w:t>пізніх</w:t>
      </w:r>
      <w:r>
        <w:rPr>
          <w:spacing w:val="-22"/>
        </w:rPr>
        <w:t> </w:t>
      </w:r>
      <w:r>
        <w:rPr/>
        <w:t>строків</w:t>
      </w:r>
      <w:r>
        <w:rPr>
          <w:spacing w:val="-19"/>
        </w:rPr>
        <w:t> </w:t>
      </w:r>
      <w:r>
        <w:rPr/>
        <w:t>дозрівання</w:t>
      </w:r>
      <w:r>
        <w:rPr>
          <w:spacing w:val="-16"/>
        </w:rPr>
        <w:t> </w:t>
      </w:r>
      <w:r>
        <w:rPr/>
        <w:t>для</w:t>
      </w:r>
      <w:r>
        <w:rPr>
          <w:spacing w:val="-15"/>
        </w:rPr>
        <w:t> </w:t>
      </w:r>
      <w:r>
        <w:rPr/>
        <w:t>подовження терміну постачання на ринок та споживання винограду у свіжому</w:t>
      </w:r>
      <w:r>
        <w:rPr>
          <w:spacing w:val="-23"/>
        </w:rPr>
        <w:t> </w:t>
      </w:r>
      <w:r>
        <w:rPr/>
        <w:t>вигляді.</w:t>
      </w:r>
    </w:p>
    <w:p>
      <w:pPr>
        <w:pStyle w:val="BodyText"/>
        <w:ind w:right="613" w:firstLine="710"/>
      </w:pPr>
      <w:r>
        <w:rPr/>
        <w:t>Перспективи подальших досліджень пов’язані з розвитком комплексу маркетингу винограду столових сортів як на вітчизняному, так і на світовому ринках. Варто проводити дослідження щодо інноваційної політики виведення нових сортів столового винограду, що повинні проводитися в напряму підвищення їх стійкості хвороб, шкідників, морозу, посух та відповідати</w:t>
      </w:r>
    </w:p>
    <w:p>
      <w:pPr>
        <w:spacing w:after="0"/>
        <w:sectPr>
          <w:pgSz w:w="11910" w:h="16840"/>
          <w:pgMar w:header="713" w:footer="778" w:top="1140" w:bottom="960" w:left="940" w:right="520"/>
        </w:sectPr>
      </w:pPr>
    </w:p>
    <w:p>
      <w:pPr>
        <w:pStyle w:val="BodyText"/>
        <w:spacing w:before="92"/>
        <w:ind w:right="614"/>
      </w:pPr>
      <w:r>
        <w:rPr/>
        <w:t>вимогам споживачів щодо лікувальних властивостей, смаку, крупноплодності, кольору ягід, дизайну грони, строків дозрівання. Важливим постають напрями досліджень стосовно раціоналізації маркетингової дистрибуції продукції виноградарських суб’єктів господарювання та розвитку їх цифрового маркетингу на різних за масштабами ринках столового винограду.</w:t>
      </w:r>
    </w:p>
    <w:p>
      <w:pPr>
        <w:pStyle w:val="BodyText"/>
        <w:spacing w:before="7"/>
        <w:ind w:left="0"/>
        <w:jc w:val="left"/>
      </w:pPr>
    </w:p>
    <w:p>
      <w:pPr>
        <w:pStyle w:val="Heading1"/>
        <w:spacing w:line="319" w:lineRule="exact" w:before="1"/>
        <w:ind w:left="187"/>
      </w:pPr>
      <w:r>
        <w:rPr/>
        <w:t>ЛІТЕРАТУРА</w:t>
      </w:r>
    </w:p>
    <w:p>
      <w:pPr>
        <w:pStyle w:val="ListParagraph"/>
        <w:numPr>
          <w:ilvl w:val="0"/>
          <w:numId w:val="29"/>
        </w:numPr>
        <w:tabs>
          <w:tab w:pos="1182" w:val="left" w:leader="none"/>
        </w:tabs>
        <w:spacing w:line="240" w:lineRule="auto" w:before="0" w:after="0"/>
        <w:ind w:left="193" w:right="620" w:firstLine="710"/>
        <w:jc w:val="both"/>
        <w:rPr>
          <w:sz w:val="28"/>
        </w:rPr>
      </w:pPr>
      <w:r>
        <w:rPr>
          <w:sz w:val="28"/>
        </w:rPr>
        <w:t>Белоус</w:t>
      </w:r>
      <w:r>
        <w:rPr>
          <w:spacing w:val="-6"/>
          <w:sz w:val="28"/>
        </w:rPr>
        <w:t> </w:t>
      </w:r>
      <w:r>
        <w:rPr>
          <w:sz w:val="28"/>
        </w:rPr>
        <w:t>І.В.</w:t>
      </w:r>
      <w:r>
        <w:rPr>
          <w:spacing w:val="-8"/>
          <w:sz w:val="28"/>
        </w:rPr>
        <w:t> </w:t>
      </w:r>
      <w:r>
        <w:rPr>
          <w:sz w:val="28"/>
        </w:rPr>
        <w:t>Стратегія</w:t>
      </w:r>
      <w:r>
        <w:rPr>
          <w:spacing w:val="-9"/>
          <w:sz w:val="28"/>
        </w:rPr>
        <w:t> </w:t>
      </w:r>
      <w:r>
        <w:rPr>
          <w:sz w:val="28"/>
        </w:rPr>
        <w:t>розвитку</w:t>
      </w:r>
      <w:r>
        <w:rPr>
          <w:spacing w:val="-9"/>
          <w:sz w:val="28"/>
        </w:rPr>
        <w:t> </w:t>
      </w:r>
      <w:r>
        <w:rPr>
          <w:sz w:val="28"/>
        </w:rPr>
        <w:t>виноградарства</w:t>
      </w:r>
      <w:r>
        <w:rPr>
          <w:spacing w:val="-10"/>
          <w:sz w:val="28"/>
        </w:rPr>
        <w:t> </w:t>
      </w:r>
      <w:r>
        <w:rPr>
          <w:sz w:val="28"/>
        </w:rPr>
        <w:t>і</w:t>
      </w:r>
      <w:r>
        <w:rPr>
          <w:spacing w:val="-11"/>
          <w:sz w:val="28"/>
        </w:rPr>
        <w:t> </w:t>
      </w:r>
      <w:r>
        <w:rPr>
          <w:sz w:val="28"/>
        </w:rPr>
        <w:t>виноробства</w:t>
      </w:r>
      <w:r>
        <w:rPr>
          <w:spacing w:val="-10"/>
          <w:sz w:val="28"/>
        </w:rPr>
        <w:t> </w:t>
      </w:r>
      <w:r>
        <w:rPr>
          <w:sz w:val="28"/>
        </w:rPr>
        <w:t>України</w:t>
      </w:r>
      <w:r>
        <w:rPr>
          <w:spacing w:val="-6"/>
          <w:sz w:val="28"/>
        </w:rPr>
        <w:t> </w:t>
      </w:r>
      <w:r>
        <w:rPr>
          <w:sz w:val="28"/>
        </w:rPr>
        <w:t>та передумови виходу їх продукції на світовий ринок: монографія. Одеса:</w:t>
      </w:r>
      <w:r>
        <w:rPr>
          <w:spacing w:val="42"/>
          <w:sz w:val="28"/>
        </w:rPr>
        <w:t> </w:t>
      </w:r>
      <w:r>
        <w:rPr>
          <w:sz w:val="28"/>
        </w:rPr>
        <w:t>ННЦ</w:t>
      </w:r>
    </w:p>
    <w:p>
      <w:pPr>
        <w:pStyle w:val="BodyText"/>
        <w:spacing w:line="321" w:lineRule="exact"/>
      </w:pPr>
      <w:r>
        <w:rPr/>
        <w:t>«ІВіВ ім. В.Є.Таїрова», 2015. 204 с.</w:t>
      </w:r>
    </w:p>
    <w:p>
      <w:pPr>
        <w:pStyle w:val="ListParagraph"/>
        <w:numPr>
          <w:ilvl w:val="0"/>
          <w:numId w:val="29"/>
        </w:numPr>
        <w:tabs>
          <w:tab w:pos="1610" w:val="left" w:leader="none"/>
        </w:tabs>
        <w:spacing w:line="240" w:lineRule="auto" w:before="0" w:after="0"/>
        <w:ind w:left="193" w:right="609" w:firstLine="710"/>
        <w:jc w:val="both"/>
        <w:rPr>
          <w:sz w:val="28"/>
        </w:rPr>
      </w:pPr>
      <w:r>
        <w:rPr>
          <w:sz w:val="28"/>
        </w:rPr>
        <w:t>Тулаєва М.І., Спектор Я.С. Перспективи виноградарства. </w:t>
      </w:r>
      <w:r>
        <w:rPr>
          <w:i/>
          <w:sz w:val="28"/>
        </w:rPr>
        <w:t>Farmer</w:t>
      </w:r>
      <w:r>
        <w:rPr>
          <w:sz w:val="28"/>
        </w:rPr>
        <w:t>. 2007. №7. С.</w:t>
      </w:r>
      <w:r>
        <w:rPr>
          <w:spacing w:val="13"/>
          <w:sz w:val="28"/>
        </w:rPr>
        <w:t> </w:t>
      </w:r>
      <w:r>
        <w:rPr>
          <w:sz w:val="28"/>
        </w:rPr>
        <w:t>24-27.</w:t>
      </w:r>
    </w:p>
    <w:p>
      <w:pPr>
        <w:pStyle w:val="ListParagraph"/>
        <w:numPr>
          <w:ilvl w:val="0"/>
          <w:numId w:val="29"/>
        </w:numPr>
        <w:tabs>
          <w:tab w:pos="1216" w:val="left" w:leader="none"/>
        </w:tabs>
        <w:spacing w:line="240" w:lineRule="auto" w:before="0" w:after="0"/>
        <w:ind w:left="193" w:right="614" w:firstLine="710"/>
        <w:jc w:val="both"/>
        <w:rPr>
          <w:sz w:val="28"/>
        </w:rPr>
      </w:pPr>
      <w:r>
        <w:rPr>
          <w:sz w:val="28"/>
        </w:rPr>
        <w:t>Авидзба А.М., Волынкин В.А. Разработка и реализация национальной программы совершенствования сортимента винограда в Украине. </w:t>
      </w:r>
      <w:r>
        <w:rPr>
          <w:i/>
          <w:sz w:val="28"/>
        </w:rPr>
        <w:t>Магарач. </w:t>
      </w:r>
      <w:r>
        <w:rPr>
          <w:i/>
          <w:sz w:val="28"/>
        </w:rPr>
        <w:t>Виноградарство и виноделие</w:t>
      </w:r>
      <w:r>
        <w:rPr>
          <w:sz w:val="28"/>
        </w:rPr>
        <w:t>. 2007. №2. С.</w:t>
      </w:r>
      <w:r>
        <w:rPr>
          <w:spacing w:val="15"/>
          <w:sz w:val="28"/>
        </w:rPr>
        <w:t> </w:t>
      </w:r>
      <w:r>
        <w:rPr>
          <w:sz w:val="28"/>
        </w:rPr>
        <w:t>2-5.</w:t>
      </w:r>
    </w:p>
    <w:p>
      <w:pPr>
        <w:pStyle w:val="ListParagraph"/>
        <w:numPr>
          <w:ilvl w:val="0"/>
          <w:numId w:val="29"/>
        </w:numPr>
        <w:tabs>
          <w:tab w:pos="1293" w:val="left" w:leader="none"/>
        </w:tabs>
        <w:spacing w:line="240" w:lineRule="auto" w:before="0" w:after="0"/>
        <w:ind w:left="193" w:right="617" w:firstLine="710"/>
        <w:jc w:val="both"/>
        <w:rPr>
          <w:sz w:val="28"/>
        </w:rPr>
      </w:pPr>
      <w:r>
        <w:rPr>
          <w:sz w:val="28"/>
        </w:rPr>
        <w:t>Лянний О.Д., Мелешко Л.Ф., Спектор Я.С. Сортимент винограду України і його поліпшення. </w:t>
      </w:r>
      <w:r>
        <w:rPr>
          <w:i/>
          <w:sz w:val="28"/>
        </w:rPr>
        <w:t>Виноградарство і виноробство: міжвідомчий </w:t>
      </w:r>
      <w:r>
        <w:rPr>
          <w:i/>
          <w:sz w:val="28"/>
        </w:rPr>
        <w:t>науковий збірник</w:t>
      </w:r>
      <w:r>
        <w:rPr>
          <w:sz w:val="28"/>
        </w:rPr>
        <w:t>. 2002. №40. С.</w:t>
      </w:r>
      <w:r>
        <w:rPr>
          <w:spacing w:val="15"/>
          <w:sz w:val="28"/>
        </w:rPr>
        <w:t> </w:t>
      </w:r>
      <w:r>
        <w:rPr>
          <w:sz w:val="28"/>
        </w:rPr>
        <w:t>3-13.</w:t>
      </w:r>
    </w:p>
    <w:p>
      <w:pPr>
        <w:pStyle w:val="ListParagraph"/>
        <w:numPr>
          <w:ilvl w:val="0"/>
          <w:numId w:val="29"/>
        </w:numPr>
        <w:tabs>
          <w:tab w:pos="1446" w:val="left" w:leader="none"/>
        </w:tabs>
        <w:spacing w:line="240" w:lineRule="auto" w:before="0" w:after="0"/>
        <w:ind w:left="193" w:right="610" w:firstLine="710"/>
        <w:jc w:val="both"/>
        <w:rPr>
          <w:sz w:val="28"/>
        </w:rPr>
      </w:pPr>
      <w:r>
        <w:rPr>
          <w:sz w:val="28"/>
        </w:rPr>
        <w:t>Серпуховитина К.А. Современные направления в развитии виноградарства при интеграции в мировой рынок. </w:t>
      </w:r>
      <w:r>
        <w:rPr>
          <w:i/>
          <w:sz w:val="28"/>
        </w:rPr>
        <w:t>Проблемы интеграции в </w:t>
      </w:r>
      <w:r>
        <w:rPr>
          <w:i/>
          <w:sz w:val="28"/>
        </w:rPr>
        <w:t>мировой рынок винограда и вина</w:t>
      </w:r>
      <w:r>
        <w:rPr>
          <w:sz w:val="28"/>
        </w:rPr>
        <w:t>: </w:t>
      </w:r>
      <w:r>
        <w:rPr>
          <w:i/>
          <w:sz w:val="28"/>
        </w:rPr>
        <w:t>материалы международной научно- </w:t>
      </w:r>
      <w:r>
        <w:rPr>
          <w:i/>
          <w:sz w:val="28"/>
        </w:rPr>
        <w:t>практической конференции (10-11 ноября 2004 г. Новочеркаськ). </w:t>
      </w:r>
      <w:r>
        <w:rPr>
          <w:sz w:val="28"/>
        </w:rPr>
        <w:t>Новочеркаськ. 2005. С.</w:t>
      </w:r>
      <w:r>
        <w:rPr>
          <w:spacing w:val="7"/>
          <w:sz w:val="28"/>
        </w:rPr>
        <w:t> </w:t>
      </w:r>
      <w:r>
        <w:rPr>
          <w:sz w:val="28"/>
        </w:rPr>
        <w:t>18-25.</w:t>
      </w:r>
    </w:p>
    <w:p>
      <w:pPr>
        <w:pStyle w:val="ListParagraph"/>
        <w:numPr>
          <w:ilvl w:val="0"/>
          <w:numId w:val="29"/>
        </w:numPr>
        <w:tabs>
          <w:tab w:pos="1265" w:val="left" w:leader="none"/>
        </w:tabs>
        <w:spacing w:line="240" w:lineRule="auto" w:before="0" w:after="0"/>
        <w:ind w:left="193" w:right="625" w:firstLine="710"/>
        <w:jc w:val="both"/>
        <w:rPr>
          <w:sz w:val="28"/>
        </w:rPr>
      </w:pPr>
      <w:r>
        <w:rPr>
          <w:sz w:val="28"/>
        </w:rPr>
        <w:t>Власов В., Джабурія Л., Белоус І. Виноградарська галузь потребує перетворень. </w:t>
      </w:r>
      <w:r>
        <w:rPr>
          <w:i/>
          <w:sz w:val="28"/>
        </w:rPr>
        <w:t>Пропозиція. </w:t>
      </w:r>
      <w:r>
        <w:rPr>
          <w:sz w:val="28"/>
        </w:rPr>
        <w:t>2014. С.</w:t>
      </w:r>
      <w:r>
        <w:rPr>
          <w:spacing w:val="17"/>
          <w:sz w:val="28"/>
        </w:rPr>
        <w:t> </w:t>
      </w:r>
      <w:r>
        <w:rPr>
          <w:sz w:val="28"/>
        </w:rPr>
        <w:t>6-9.</w:t>
      </w:r>
    </w:p>
    <w:p>
      <w:pPr>
        <w:pStyle w:val="ListParagraph"/>
        <w:numPr>
          <w:ilvl w:val="0"/>
          <w:numId w:val="29"/>
        </w:numPr>
        <w:tabs>
          <w:tab w:pos="1326" w:val="left" w:leader="none"/>
        </w:tabs>
        <w:spacing w:line="240" w:lineRule="auto" w:before="0" w:after="0"/>
        <w:ind w:left="193" w:right="607" w:firstLine="710"/>
        <w:jc w:val="both"/>
        <w:rPr>
          <w:sz w:val="28"/>
        </w:rPr>
      </w:pPr>
      <w:r>
        <w:rPr>
          <w:sz w:val="28"/>
        </w:rPr>
        <w:t>Власов В.В., Власова О.Ю., Шапошнікова О.Ф. та </w:t>
      </w:r>
      <w:r>
        <w:rPr>
          <w:spacing w:val="-3"/>
          <w:sz w:val="28"/>
        </w:rPr>
        <w:t>ін. </w:t>
      </w:r>
      <w:r>
        <w:rPr>
          <w:sz w:val="28"/>
        </w:rPr>
        <w:t>Кадастр виноградників України –основа контролю якості виноградарсько-виноробної продукції. «</w:t>
      </w:r>
      <w:r>
        <w:rPr>
          <w:i/>
          <w:sz w:val="28"/>
        </w:rPr>
        <w:t>Биоразнообразие. Экология. Адаптация. Эволюция»: материалы VI </w:t>
      </w:r>
      <w:r>
        <w:rPr>
          <w:i/>
          <w:sz w:val="28"/>
        </w:rPr>
        <w:t>междунар. конф. молодых ученых (13-17 мая 2013 г., г. Одеса). </w:t>
      </w:r>
      <w:r>
        <w:rPr>
          <w:sz w:val="28"/>
        </w:rPr>
        <w:t>Одесса, 2013. С. 314-315.</w:t>
      </w:r>
    </w:p>
    <w:p>
      <w:pPr>
        <w:pStyle w:val="ListParagraph"/>
        <w:numPr>
          <w:ilvl w:val="0"/>
          <w:numId w:val="29"/>
        </w:numPr>
        <w:tabs>
          <w:tab w:pos="1201" w:val="left" w:leader="none"/>
        </w:tabs>
        <w:spacing w:line="242" w:lineRule="auto" w:before="0" w:after="0"/>
        <w:ind w:left="193" w:right="613" w:firstLine="710"/>
        <w:jc w:val="both"/>
        <w:rPr>
          <w:sz w:val="28"/>
        </w:rPr>
      </w:pPr>
      <w:r>
        <w:rPr>
          <w:sz w:val="28"/>
        </w:rPr>
        <w:t>Vlasov V.V., Belous I.V., Dzhaburiya L.V., Bulayeva Yu.Yu. Development Мodel of Winemaking Regions in Ukraine. </w:t>
      </w:r>
      <w:r>
        <w:rPr>
          <w:i/>
          <w:sz w:val="28"/>
        </w:rPr>
        <w:t>Agricultural Science and Practice. </w:t>
      </w:r>
      <w:r>
        <w:rPr>
          <w:sz w:val="28"/>
        </w:rPr>
        <w:t>2014. Vol. 1, № 1. P.</w:t>
      </w:r>
      <w:r>
        <w:rPr>
          <w:spacing w:val="14"/>
          <w:sz w:val="28"/>
        </w:rPr>
        <w:t> </w:t>
      </w:r>
      <w:r>
        <w:rPr>
          <w:sz w:val="28"/>
        </w:rPr>
        <w:t>53-61.</w:t>
      </w:r>
    </w:p>
    <w:p>
      <w:pPr>
        <w:pStyle w:val="BodyText"/>
        <w:spacing w:before="6"/>
        <w:ind w:left="0"/>
        <w:jc w:val="left"/>
        <w:rPr>
          <w:sz w:val="27"/>
        </w:rPr>
      </w:pPr>
    </w:p>
    <w:p>
      <w:pPr>
        <w:pStyle w:val="Heading1"/>
        <w:ind w:left="1139" w:right="698" w:hanging="135"/>
        <w:jc w:val="left"/>
      </w:pPr>
      <w:r>
        <w:rPr/>
        <w:t>РАЗВИТИЕ МАРКЕТИНГОВОЙ ТОВАРНО-АССОРТИМЕНТНОЙ ПОЛИТИКИ ВИНОГРАДА СТОЛОВОГО НАПРАВЛЕНИЯ</w:t>
      </w:r>
    </w:p>
    <w:p>
      <w:pPr>
        <w:pStyle w:val="BodyText"/>
        <w:spacing w:line="316" w:lineRule="exact"/>
        <w:ind w:left="3962"/>
      </w:pPr>
      <w:r>
        <w:rPr/>
        <w:t>Сахацкий Н., Белоус А.</w:t>
      </w:r>
    </w:p>
    <w:p>
      <w:pPr>
        <w:spacing w:before="0"/>
        <w:ind w:left="193" w:right="611" w:firstLine="710"/>
        <w:jc w:val="both"/>
        <w:rPr>
          <w:i/>
          <w:sz w:val="28"/>
        </w:rPr>
      </w:pPr>
      <w:r>
        <w:rPr>
          <w:i/>
          <w:sz w:val="28"/>
        </w:rPr>
        <w:t>Проанализированы состояния сортимента виноградных насаждений </w:t>
      </w:r>
      <w:r>
        <w:rPr>
          <w:i/>
          <w:sz w:val="28"/>
        </w:rPr>
        <w:t>Украины, а именно сортов винограда столового направления основных виноградарских</w:t>
      </w:r>
      <w:r>
        <w:rPr>
          <w:i/>
          <w:spacing w:val="-10"/>
          <w:sz w:val="28"/>
        </w:rPr>
        <w:t> </w:t>
      </w:r>
      <w:r>
        <w:rPr>
          <w:i/>
          <w:sz w:val="28"/>
        </w:rPr>
        <w:t>регионов</w:t>
      </w:r>
      <w:r>
        <w:rPr>
          <w:i/>
          <w:spacing w:val="-11"/>
          <w:sz w:val="28"/>
        </w:rPr>
        <w:t> </w:t>
      </w:r>
      <w:r>
        <w:rPr>
          <w:i/>
          <w:sz w:val="28"/>
        </w:rPr>
        <w:t>Украины</w:t>
      </w:r>
      <w:r>
        <w:rPr>
          <w:i/>
          <w:spacing w:val="-11"/>
          <w:sz w:val="28"/>
        </w:rPr>
        <w:t> </w:t>
      </w:r>
      <w:r>
        <w:rPr>
          <w:i/>
          <w:sz w:val="28"/>
        </w:rPr>
        <w:t>и</w:t>
      </w:r>
      <w:r>
        <w:rPr>
          <w:i/>
          <w:spacing w:val="-10"/>
          <w:sz w:val="28"/>
        </w:rPr>
        <w:t> </w:t>
      </w:r>
      <w:r>
        <w:rPr>
          <w:i/>
          <w:sz w:val="28"/>
        </w:rPr>
        <w:t>необходимости</w:t>
      </w:r>
      <w:r>
        <w:rPr>
          <w:i/>
          <w:spacing w:val="-9"/>
          <w:sz w:val="28"/>
        </w:rPr>
        <w:t> </w:t>
      </w:r>
      <w:r>
        <w:rPr>
          <w:i/>
          <w:sz w:val="28"/>
        </w:rPr>
        <w:t>его</w:t>
      </w:r>
      <w:r>
        <w:rPr>
          <w:i/>
          <w:spacing w:val="-10"/>
          <w:sz w:val="28"/>
        </w:rPr>
        <w:t> </w:t>
      </w:r>
      <w:r>
        <w:rPr>
          <w:i/>
          <w:sz w:val="28"/>
        </w:rPr>
        <w:t>совершенствования</w:t>
      </w:r>
      <w:r>
        <w:rPr>
          <w:i/>
          <w:spacing w:val="-9"/>
          <w:sz w:val="28"/>
        </w:rPr>
        <w:t> </w:t>
      </w:r>
      <w:r>
        <w:rPr>
          <w:i/>
          <w:spacing w:val="3"/>
          <w:sz w:val="28"/>
        </w:rPr>
        <w:t>при </w:t>
      </w:r>
      <w:r>
        <w:rPr>
          <w:i/>
          <w:sz w:val="28"/>
        </w:rPr>
        <w:t>интеграции в мировой рынок. Так что сортимент винограда является одним из основных факторов, который необходимо учитывать при интеграции отрасли в мировой рынок, он должен соответствовать вкусам потребителя традиционных сортов, а также привлекать их к </w:t>
      </w:r>
      <w:r>
        <w:rPr>
          <w:i/>
          <w:spacing w:val="2"/>
          <w:sz w:val="28"/>
        </w:rPr>
        <w:t>новым </w:t>
      </w:r>
      <w:r>
        <w:rPr>
          <w:i/>
          <w:sz w:val="28"/>
        </w:rPr>
        <w:t>сортам, которые</w:t>
      </w:r>
      <w:r>
        <w:rPr>
          <w:i/>
          <w:spacing w:val="-27"/>
          <w:sz w:val="28"/>
        </w:rPr>
        <w:t> </w:t>
      </w:r>
      <w:r>
        <w:rPr>
          <w:i/>
          <w:sz w:val="28"/>
        </w:rPr>
        <w:t>были</w:t>
      </w:r>
    </w:p>
    <w:p>
      <w:pPr>
        <w:spacing w:after="0"/>
        <w:jc w:val="both"/>
        <w:rPr>
          <w:sz w:val="28"/>
        </w:rPr>
        <w:sectPr>
          <w:pgSz w:w="11910" w:h="16840"/>
          <w:pgMar w:header="713" w:footer="778" w:top="1140" w:bottom="960" w:left="940" w:right="520"/>
        </w:sectPr>
      </w:pPr>
    </w:p>
    <w:p>
      <w:pPr>
        <w:spacing w:line="240" w:lineRule="auto" w:before="92"/>
        <w:ind w:left="193" w:right="618" w:firstLine="0"/>
        <w:jc w:val="both"/>
        <w:rPr>
          <w:i/>
          <w:sz w:val="28"/>
        </w:rPr>
      </w:pPr>
      <w:r>
        <w:rPr>
          <w:i/>
          <w:sz w:val="28"/>
        </w:rPr>
        <w:t>получены в последние десятилетия. Но следует отметить, что размножение</w:t>
      </w:r>
      <w:r>
        <w:rPr>
          <w:i/>
          <w:spacing w:val="-48"/>
          <w:sz w:val="28"/>
        </w:rPr>
        <w:t> </w:t>
      </w:r>
      <w:r>
        <w:rPr>
          <w:i/>
          <w:sz w:val="28"/>
        </w:rPr>
        <w:t>и </w:t>
      </w:r>
      <w:r>
        <w:rPr>
          <w:i/>
          <w:sz w:val="28"/>
        </w:rPr>
        <w:t>внедрение сортов новой селекции происходит очень медленно как через небольшие размере маточники, или даже их отсутствие, так и определенное недоверие к новому сортимента. К тому же формирование и реконструкция сортимента винограда осуществляется стихийно, не учитывается только рыночный спрос, не учитываются перспективы развития регионов, хозяйств и наличие питомнических</w:t>
      </w:r>
      <w:r>
        <w:rPr>
          <w:i/>
          <w:spacing w:val="3"/>
          <w:sz w:val="28"/>
        </w:rPr>
        <w:t> </w:t>
      </w:r>
      <w:r>
        <w:rPr>
          <w:i/>
          <w:sz w:val="28"/>
        </w:rPr>
        <w:t>базы.</w:t>
      </w:r>
    </w:p>
    <w:p>
      <w:pPr>
        <w:spacing w:before="2"/>
        <w:ind w:left="193" w:right="610" w:firstLine="710"/>
        <w:jc w:val="both"/>
        <w:rPr>
          <w:i/>
          <w:sz w:val="28"/>
        </w:rPr>
      </w:pPr>
      <w:r>
        <w:rPr>
          <w:b/>
          <w:i/>
          <w:sz w:val="28"/>
        </w:rPr>
        <w:t>Ключевые слова. </w:t>
      </w:r>
      <w:r>
        <w:rPr>
          <w:i/>
          <w:sz w:val="28"/>
        </w:rPr>
        <w:t>Столовые сорта винограда, сортимент сортов </w:t>
      </w:r>
      <w:r>
        <w:rPr>
          <w:i/>
          <w:sz w:val="28"/>
        </w:rPr>
        <w:t>винограда, анализ рынка столовых сортов, конвейер столовых сортов винограда, сорта новой селекции.</w:t>
      </w:r>
    </w:p>
    <w:p>
      <w:pPr>
        <w:pStyle w:val="BodyText"/>
        <w:spacing w:before="4"/>
        <w:ind w:left="0"/>
        <w:jc w:val="left"/>
        <w:rPr>
          <w:i/>
        </w:rPr>
      </w:pPr>
    </w:p>
    <w:p>
      <w:pPr>
        <w:pStyle w:val="Heading1"/>
        <w:spacing w:line="322" w:lineRule="exact"/>
        <w:ind w:left="285" w:right="5"/>
      </w:pPr>
      <w:r>
        <w:rPr/>
        <w:t>THE FORMATION OF THE TABLE DIRECTION GRAPE VARIETIES</w:t>
      </w:r>
    </w:p>
    <w:p>
      <w:pPr>
        <w:spacing w:line="319" w:lineRule="exact" w:before="0"/>
        <w:ind w:left="187" w:right="603" w:firstLine="0"/>
        <w:jc w:val="center"/>
        <w:rPr>
          <w:b/>
          <w:sz w:val="28"/>
        </w:rPr>
      </w:pPr>
      <w:r>
        <w:rPr>
          <w:b/>
          <w:sz w:val="28"/>
        </w:rPr>
        <w:t>ASSORTMENT</w:t>
      </w:r>
    </w:p>
    <w:p>
      <w:pPr>
        <w:pStyle w:val="BodyText"/>
        <w:spacing w:line="319" w:lineRule="exact"/>
        <w:ind w:left="3929"/>
      </w:pPr>
      <w:r>
        <w:rPr/>
        <w:t>Sakhatskyi M., Belous A.</w:t>
      </w:r>
    </w:p>
    <w:p>
      <w:pPr>
        <w:spacing w:line="240" w:lineRule="auto" w:before="0"/>
        <w:ind w:left="193" w:right="612" w:firstLine="710"/>
        <w:jc w:val="both"/>
        <w:rPr>
          <w:i/>
          <w:sz w:val="28"/>
        </w:rPr>
      </w:pPr>
      <w:r>
        <w:rPr>
          <w:i/>
          <w:sz w:val="28"/>
        </w:rPr>
        <w:t>The conditions of the assortment of grape plantations in Ukraine, namely, table </w:t>
      </w:r>
      <w:r>
        <w:rPr>
          <w:i/>
          <w:sz w:val="28"/>
        </w:rPr>
        <w:t>grape varieties of the main direction of the Ukraine viticulture regions and the need for</w:t>
      </w:r>
      <w:r>
        <w:rPr>
          <w:i/>
          <w:spacing w:val="-6"/>
          <w:sz w:val="28"/>
        </w:rPr>
        <w:t> </w:t>
      </w:r>
      <w:r>
        <w:rPr>
          <w:i/>
          <w:sz w:val="28"/>
        </w:rPr>
        <w:t>its</w:t>
      </w:r>
      <w:r>
        <w:rPr>
          <w:i/>
          <w:spacing w:val="-5"/>
          <w:sz w:val="28"/>
        </w:rPr>
        <w:t> </w:t>
      </w:r>
      <w:r>
        <w:rPr>
          <w:i/>
          <w:sz w:val="28"/>
        </w:rPr>
        <w:t>improvement</w:t>
      </w:r>
      <w:r>
        <w:rPr>
          <w:i/>
          <w:spacing w:val="-8"/>
          <w:sz w:val="28"/>
        </w:rPr>
        <w:t> </w:t>
      </w:r>
      <w:r>
        <w:rPr>
          <w:i/>
          <w:sz w:val="28"/>
        </w:rPr>
        <w:t>when</w:t>
      </w:r>
      <w:r>
        <w:rPr>
          <w:i/>
          <w:spacing w:val="-7"/>
          <w:sz w:val="28"/>
        </w:rPr>
        <w:t> </w:t>
      </w:r>
      <w:r>
        <w:rPr>
          <w:i/>
          <w:sz w:val="28"/>
        </w:rPr>
        <w:t>integrated</w:t>
      </w:r>
      <w:r>
        <w:rPr>
          <w:i/>
          <w:spacing w:val="-7"/>
          <w:sz w:val="28"/>
        </w:rPr>
        <w:t> </w:t>
      </w:r>
      <w:r>
        <w:rPr>
          <w:i/>
          <w:sz w:val="28"/>
        </w:rPr>
        <w:t>into</w:t>
      </w:r>
      <w:r>
        <w:rPr>
          <w:i/>
          <w:spacing w:val="-6"/>
          <w:sz w:val="28"/>
        </w:rPr>
        <w:t> </w:t>
      </w:r>
      <w:r>
        <w:rPr>
          <w:i/>
          <w:sz w:val="28"/>
        </w:rPr>
        <w:t>the</w:t>
      </w:r>
      <w:r>
        <w:rPr>
          <w:i/>
          <w:spacing w:val="-7"/>
          <w:sz w:val="28"/>
        </w:rPr>
        <w:t> </w:t>
      </w:r>
      <w:r>
        <w:rPr>
          <w:i/>
          <w:sz w:val="28"/>
        </w:rPr>
        <w:t>world</w:t>
      </w:r>
      <w:r>
        <w:rPr>
          <w:i/>
          <w:spacing w:val="-8"/>
          <w:sz w:val="28"/>
        </w:rPr>
        <w:t> </w:t>
      </w:r>
      <w:r>
        <w:rPr>
          <w:i/>
          <w:sz w:val="28"/>
        </w:rPr>
        <w:t>market,</w:t>
      </w:r>
      <w:r>
        <w:rPr>
          <w:i/>
          <w:spacing w:val="-6"/>
          <w:sz w:val="28"/>
        </w:rPr>
        <w:t> </w:t>
      </w:r>
      <w:r>
        <w:rPr>
          <w:i/>
          <w:sz w:val="28"/>
        </w:rPr>
        <w:t>are</w:t>
      </w:r>
      <w:r>
        <w:rPr>
          <w:i/>
          <w:spacing w:val="-7"/>
          <w:sz w:val="28"/>
        </w:rPr>
        <w:t> </w:t>
      </w:r>
      <w:r>
        <w:rPr>
          <w:i/>
          <w:sz w:val="28"/>
        </w:rPr>
        <w:t>analyzed.</w:t>
      </w:r>
      <w:r>
        <w:rPr>
          <w:i/>
          <w:spacing w:val="-9"/>
          <w:sz w:val="28"/>
        </w:rPr>
        <w:t> </w:t>
      </w:r>
      <w:r>
        <w:rPr>
          <w:i/>
          <w:sz w:val="28"/>
        </w:rPr>
        <w:t>So</w:t>
      </w:r>
      <w:r>
        <w:rPr>
          <w:i/>
          <w:spacing w:val="-7"/>
          <w:sz w:val="28"/>
        </w:rPr>
        <w:t> </w:t>
      </w:r>
      <w:r>
        <w:rPr>
          <w:i/>
          <w:sz w:val="28"/>
        </w:rPr>
        <w:t>the</w:t>
      </w:r>
      <w:r>
        <w:rPr>
          <w:i/>
          <w:spacing w:val="-7"/>
          <w:sz w:val="28"/>
        </w:rPr>
        <w:t> </w:t>
      </w:r>
      <w:r>
        <w:rPr>
          <w:i/>
          <w:sz w:val="28"/>
        </w:rPr>
        <w:t>grape assortment</w:t>
      </w:r>
      <w:r>
        <w:rPr>
          <w:i/>
          <w:spacing w:val="-7"/>
          <w:sz w:val="28"/>
        </w:rPr>
        <w:t> </w:t>
      </w:r>
      <w:r>
        <w:rPr>
          <w:i/>
          <w:sz w:val="28"/>
        </w:rPr>
        <w:t>is</w:t>
      </w:r>
      <w:r>
        <w:rPr>
          <w:i/>
          <w:spacing w:val="-5"/>
          <w:sz w:val="28"/>
        </w:rPr>
        <w:t> </w:t>
      </w:r>
      <w:r>
        <w:rPr>
          <w:i/>
          <w:sz w:val="28"/>
        </w:rPr>
        <w:t>one</w:t>
      </w:r>
      <w:r>
        <w:rPr>
          <w:i/>
          <w:spacing w:val="-6"/>
          <w:sz w:val="28"/>
        </w:rPr>
        <w:t> </w:t>
      </w:r>
      <w:r>
        <w:rPr>
          <w:i/>
          <w:sz w:val="28"/>
        </w:rPr>
        <w:t>of</w:t>
      </w:r>
      <w:r>
        <w:rPr>
          <w:i/>
          <w:spacing w:val="-7"/>
          <w:sz w:val="28"/>
        </w:rPr>
        <w:t> </w:t>
      </w:r>
      <w:r>
        <w:rPr>
          <w:i/>
          <w:sz w:val="28"/>
        </w:rPr>
        <w:t>the</w:t>
      </w:r>
      <w:r>
        <w:rPr>
          <w:i/>
          <w:spacing w:val="-6"/>
          <w:sz w:val="28"/>
        </w:rPr>
        <w:t> </w:t>
      </w:r>
      <w:r>
        <w:rPr>
          <w:i/>
          <w:sz w:val="28"/>
        </w:rPr>
        <w:t>main</w:t>
      </w:r>
      <w:r>
        <w:rPr>
          <w:i/>
          <w:spacing w:val="-6"/>
          <w:sz w:val="28"/>
        </w:rPr>
        <w:t> </w:t>
      </w:r>
      <w:r>
        <w:rPr>
          <w:i/>
          <w:sz w:val="28"/>
        </w:rPr>
        <w:t>factors</w:t>
      </w:r>
      <w:r>
        <w:rPr>
          <w:i/>
          <w:spacing w:val="-4"/>
          <w:sz w:val="28"/>
        </w:rPr>
        <w:t> </w:t>
      </w:r>
      <w:r>
        <w:rPr>
          <w:i/>
          <w:sz w:val="28"/>
        </w:rPr>
        <w:t>that</w:t>
      </w:r>
      <w:r>
        <w:rPr>
          <w:i/>
          <w:spacing w:val="-7"/>
          <w:sz w:val="28"/>
        </w:rPr>
        <w:t> </w:t>
      </w:r>
      <w:r>
        <w:rPr>
          <w:i/>
          <w:sz w:val="28"/>
        </w:rPr>
        <w:t>must</w:t>
      </w:r>
      <w:r>
        <w:rPr>
          <w:i/>
          <w:spacing w:val="-2"/>
          <w:sz w:val="28"/>
        </w:rPr>
        <w:t> </w:t>
      </w:r>
      <w:r>
        <w:rPr>
          <w:i/>
          <w:sz w:val="28"/>
        </w:rPr>
        <w:t>be</w:t>
      </w:r>
      <w:r>
        <w:rPr>
          <w:i/>
          <w:spacing w:val="-6"/>
          <w:sz w:val="28"/>
        </w:rPr>
        <w:t> </w:t>
      </w:r>
      <w:r>
        <w:rPr>
          <w:i/>
          <w:sz w:val="28"/>
        </w:rPr>
        <w:t>taken</w:t>
      </w:r>
      <w:r>
        <w:rPr>
          <w:i/>
          <w:spacing w:val="-6"/>
          <w:sz w:val="28"/>
        </w:rPr>
        <w:t> </w:t>
      </w:r>
      <w:r>
        <w:rPr>
          <w:i/>
          <w:sz w:val="28"/>
        </w:rPr>
        <w:t>into</w:t>
      </w:r>
      <w:r>
        <w:rPr>
          <w:i/>
          <w:spacing w:val="-6"/>
          <w:sz w:val="28"/>
        </w:rPr>
        <w:t> </w:t>
      </w:r>
      <w:r>
        <w:rPr>
          <w:i/>
          <w:sz w:val="28"/>
        </w:rPr>
        <w:t>account</w:t>
      </w:r>
      <w:r>
        <w:rPr>
          <w:i/>
          <w:spacing w:val="-2"/>
          <w:sz w:val="28"/>
        </w:rPr>
        <w:t> </w:t>
      </w:r>
      <w:r>
        <w:rPr>
          <w:i/>
          <w:sz w:val="28"/>
        </w:rPr>
        <w:t>when</w:t>
      </w:r>
      <w:r>
        <w:rPr>
          <w:i/>
          <w:spacing w:val="-6"/>
          <w:sz w:val="28"/>
        </w:rPr>
        <w:t> </w:t>
      </w:r>
      <w:r>
        <w:rPr>
          <w:i/>
          <w:sz w:val="28"/>
        </w:rPr>
        <w:t>integrating the industry into the world market, it must correspond to the tastes of consumers of traditional varieties, and also attract them </w:t>
      </w:r>
      <w:r>
        <w:rPr>
          <w:i/>
          <w:spacing w:val="-3"/>
          <w:sz w:val="28"/>
        </w:rPr>
        <w:t>to </w:t>
      </w:r>
      <w:r>
        <w:rPr>
          <w:i/>
          <w:sz w:val="28"/>
        </w:rPr>
        <w:t>new varieties that have been obtained in recent decades. But it should be noted </w:t>
      </w:r>
      <w:r>
        <w:rPr>
          <w:i/>
          <w:spacing w:val="2"/>
          <w:sz w:val="28"/>
        </w:rPr>
        <w:t>that </w:t>
      </w:r>
      <w:r>
        <w:rPr>
          <w:i/>
          <w:sz w:val="28"/>
        </w:rPr>
        <w:t>the propagation and introduction of varieties</w:t>
      </w:r>
      <w:r>
        <w:rPr>
          <w:i/>
          <w:spacing w:val="-5"/>
          <w:sz w:val="28"/>
        </w:rPr>
        <w:t> </w:t>
      </w:r>
      <w:r>
        <w:rPr>
          <w:i/>
          <w:sz w:val="28"/>
        </w:rPr>
        <w:t>of</w:t>
      </w:r>
      <w:r>
        <w:rPr>
          <w:i/>
          <w:spacing w:val="-8"/>
          <w:sz w:val="28"/>
        </w:rPr>
        <w:t> </w:t>
      </w:r>
      <w:r>
        <w:rPr>
          <w:i/>
          <w:sz w:val="28"/>
        </w:rPr>
        <w:t>new</w:t>
      </w:r>
      <w:r>
        <w:rPr>
          <w:i/>
          <w:spacing w:val="-14"/>
          <w:sz w:val="28"/>
        </w:rPr>
        <w:t> </w:t>
      </w:r>
      <w:r>
        <w:rPr>
          <w:i/>
          <w:sz w:val="28"/>
        </w:rPr>
        <w:t>selection</w:t>
      </w:r>
      <w:r>
        <w:rPr>
          <w:i/>
          <w:spacing w:val="-6"/>
          <w:sz w:val="28"/>
        </w:rPr>
        <w:t> </w:t>
      </w:r>
      <w:r>
        <w:rPr>
          <w:i/>
          <w:sz w:val="28"/>
        </w:rPr>
        <w:t>occurs</w:t>
      </w:r>
      <w:r>
        <w:rPr>
          <w:i/>
          <w:spacing w:val="-10"/>
          <w:sz w:val="28"/>
        </w:rPr>
        <w:t> </w:t>
      </w:r>
      <w:r>
        <w:rPr>
          <w:i/>
          <w:sz w:val="28"/>
        </w:rPr>
        <w:t>very</w:t>
      </w:r>
      <w:r>
        <w:rPr>
          <w:i/>
          <w:spacing w:val="-10"/>
          <w:sz w:val="28"/>
        </w:rPr>
        <w:t> </w:t>
      </w:r>
      <w:r>
        <w:rPr>
          <w:i/>
          <w:sz w:val="28"/>
        </w:rPr>
        <w:t>slowly,</w:t>
      </w:r>
      <w:r>
        <w:rPr>
          <w:i/>
          <w:spacing w:val="-4"/>
          <w:sz w:val="28"/>
        </w:rPr>
        <w:t> </w:t>
      </w:r>
      <w:r>
        <w:rPr>
          <w:i/>
          <w:sz w:val="28"/>
        </w:rPr>
        <w:t>both</w:t>
      </w:r>
      <w:r>
        <w:rPr>
          <w:i/>
          <w:spacing w:val="-8"/>
          <w:sz w:val="28"/>
        </w:rPr>
        <w:t> </w:t>
      </w:r>
      <w:r>
        <w:rPr>
          <w:i/>
          <w:sz w:val="28"/>
        </w:rPr>
        <w:t>through</w:t>
      </w:r>
      <w:r>
        <w:rPr>
          <w:i/>
          <w:spacing w:val="-6"/>
          <w:sz w:val="28"/>
        </w:rPr>
        <w:t> </w:t>
      </w:r>
      <w:r>
        <w:rPr>
          <w:i/>
          <w:sz w:val="28"/>
        </w:rPr>
        <w:t>the</w:t>
      </w:r>
      <w:r>
        <w:rPr>
          <w:i/>
          <w:spacing w:val="-12"/>
          <w:sz w:val="28"/>
        </w:rPr>
        <w:t> </w:t>
      </w:r>
      <w:r>
        <w:rPr>
          <w:i/>
          <w:sz w:val="28"/>
        </w:rPr>
        <w:t>small</w:t>
      </w:r>
      <w:r>
        <w:rPr>
          <w:i/>
          <w:spacing w:val="-12"/>
          <w:sz w:val="28"/>
        </w:rPr>
        <w:t> </w:t>
      </w:r>
      <w:r>
        <w:rPr>
          <w:i/>
          <w:sz w:val="28"/>
        </w:rPr>
        <w:t>size</w:t>
      </w:r>
      <w:r>
        <w:rPr>
          <w:i/>
          <w:spacing w:val="-10"/>
          <w:sz w:val="28"/>
        </w:rPr>
        <w:t> </w:t>
      </w:r>
      <w:r>
        <w:rPr>
          <w:i/>
          <w:sz w:val="28"/>
        </w:rPr>
        <w:t>of</w:t>
      </w:r>
      <w:r>
        <w:rPr>
          <w:i/>
          <w:spacing w:val="-8"/>
          <w:sz w:val="28"/>
        </w:rPr>
        <w:t> </w:t>
      </w:r>
      <w:r>
        <w:rPr>
          <w:i/>
          <w:sz w:val="28"/>
        </w:rPr>
        <w:t>the</w:t>
      </w:r>
      <w:r>
        <w:rPr>
          <w:i/>
          <w:spacing w:val="-11"/>
          <w:sz w:val="28"/>
        </w:rPr>
        <w:t> </w:t>
      </w:r>
      <w:r>
        <w:rPr>
          <w:i/>
          <w:sz w:val="28"/>
        </w:rPr>
        <w:t>mother liquors,</w:t>
      </w:r>
      <w:r>
        <w:rPr>
          <w:i/>
          <w:spacing w:val="-16"/>
          <w:sz w:val="28"/>
        </w:rPr>
        <w:t> </w:t>
      </w:r>
      <w:r>
        <w:rPr>
          <w:i/>
          <w:sz w:val="28"/>
        </w:rPr>
        <w:t>or</w:t>
      </w:r>
      <w:r>
        <w:rPr>
          <w:i/>
          <w:spacing w:val="-15"/>
          <w:sz w:val="28"/>
        </w:rPr>
        <w:t> </w:t>
      </w:r>
      <w:r>
        <w:rPr>
          <w:i/>
          <w:sz w:val="28"/>
        </w:rPr>
        <w:t>even</w:t>
      </w:r>
      <w:r>
        <w:rPr>
          <w:i/>
          <w:spacing w:val="-16"/>
          <w:sz w:val="28"/>
        </w:rPr>
        <w:t> </w:t>
      </w:r>
      <w:r>
        <w:rPr>
          <w:i/>
          <w:sz w:val="28"/>
        </w:rPr>
        <w:t>their</w:t>
      </w:r>
      <w:r>
        <w:rPr>
          <w:i/>
          <w:spacing w:val="-15"/>
          <w:sz w:val="28"/>
        </w:rPr>
        <w:t> </w:t>
      </w:r>
      <w:r>
        <w:rPr>
          <w:i/>
          <w:sz w:val="28"/>
        </w:rPr>
        <w:t>absence,</w:t>
      </w:r>
      <w:r>
        <w:rPr>
          <w:i/>
          <w:spacing w:val="-16"/>
          <w:sz w:val="28"/>
        </w:rPr>
        <w:t> </w:t>
      </w:r>
      <w:r>
        <w:rPr>
          <w:i/>
          <w:sz w:val="28"/>
        </w:rPr>
        <w:t>and</w:t>
      </w:r>
      <w:r>
        <w:rPr>
          <w:i/>
          <w:spacing w:val="-16"/>
          <w:sz w:val="28"/>
        </w:rPr>
        <w:t> </w:t>
      </w:r>
      <w:r>
        <w:rPr>
          <w:i/>
          <w:sz w:val="28"/>
        </w:rPr>
        <w:t>a</w:t>
      </w:r>
      <w:r>
        <w:rPr>
          <w:i/>
          <w:spacing w:val="-22"/>
          <w:sz w:val="28"/>
        </w:rPr>
        <w:t> </w:t>
      </w:r>
      <w:r>
        <w:rPr>
          <w:i/>
          <w:sz w:val="28"/>
        </w:rPr>
        <w:t>certain</w:t>
      </w:r>
      <w:r>
        <w:rPr>
          <w:i/>
          <w:spacing w:val="-22"/>
          <w:sz w:val="28"/>
        </w:rPr>
        <w:t> </w:t>
      </w:r>
      <w:r>
        <w:rPr>
          <w:i/>
          <w:sz w:val="28"/>
        </w:rPr>
        <w:t>distrust</w:t>
      </w:r>
      <w:r>
        <w:rPr>
          <w:i/>
          <w:spacing w:val="-16"/>
          <w:sz w:val="28"/>
        </w:rPr>
        <w:t> </w:t>
      </w:r>
      <w:r>
        <w:rPr>
          <w:i/>
          <w:sz w:val="28"/>
        </w:rPr>
        <w:t>of</w:t>
      </w:r>
      <w:r>
        <w:rPr>
          <w:i/>
          <w:spacing w:val="-17"/>
          <w:sz w:val="28"/>
        </w:rPr>
        <w:t> </w:t>
      </w:r>
      <w:r>
        <w:rPr>
          <w:i/>
          <w:sz w:val="28"/>
        </w:rPr>
        <w:t>the</w:t>
      </w:r>
      <w:r>
        <w:rPr>
          <w:i/>
          <w:spacing w:val="-16"/>
          <w:sz w:val="28"/>
        </w:rPr>
        <w:t> </w:t>
      </w:r>
      <w:r>
        <w:rPr>
          <w:i/>
          <w:sz w:val="28"/>
        </w:rPr>
        <w:t>new</w:t>
      </w:r>
      <w:r>
        <w:rPr>
          <w:i/>
          <w:spacing w:val="-25"/>
          <w:sz w:val="28"/>
        </w:rPr>
        <w:t> </w:t>
      </w:r>
      <w:r>
        <w:rPr>
          <w:i/>
          <w:sz w:val="28"/>
        </w:rPr>
        <w:t>assortment.</w:t>
      </w:r>
      <w:r>
        <w:rPr>
          <w:i/>
          <w:spacing w:val="-15"/>
          <w:sz w:val="28"/>
        </w:rPr>
        <w:t> </w:t>
      </w:r>
      <w:r>
        <w:rPr>
          <w:i/>
          <w:sz w:val="28"/>
        </w:rPr>
        <w:t>In</w:t>
      </w:r>
      <w:r>
        <w:rPr>
          <w:i/>
          <w:spacing w:val="-17"/>
          <w:sz w:val="28"/>
        </w:rPr>
        <w:t> </w:t>
      </w:r>
      <w:r>
        <w:rPr>
          <w:i/>
          <w:sz w:val="28"/>
        </w:rPr>
        <w:t>addition, the formation and reconstruction of </w:t>
      </w:r>
      <w:r>
        <w:rPr>
          <w:i/>
          <w:spacing w:val="3"/>
          <w:sz w:val="28"/>
        </w:rPr>
        <w:t>the </w:t>
      </w:r>
      <w:r>
        <w:rPr>
          <w:i/>
          <w:sz w:val="28"/>
        </w:rPr>
        <w:t>assortment of grapes is carried out spontaneously, only market demand is not taken into account, the prospects for the development of regions, farms and the presence of nursery facilities are not taken</w:t>
      </w:r>
      <w:r>
        <w:rPr>
          <w:i/>
          <w:spacing w:val="-49"/>
          <w:sz w:val="28"/>
        </w:rPr>
        <w:t> </w:t>
      </w:r>
      <w:r>
        <w:rPr>
          <w:i/>
          <w:sz w:val="28"/>
        </w:rPr>
        <w:t>into account.</w:t>
      </w:r>
    </w:p>
    <w:p>
      <w:pPr>
        <w:spacing w:line="240" w:lineRule="auto" w:before="1"/>
        <w:ind w:left="193" w:right="609" w:firstLine="710"/>
        <w:jc w:val="both"/>
        <w:rPr>
          <w:sz w:val="28"/>
        </w:rPr>
      </w:pPr>
      <w:r>
        <w:rPr>
          <w:i/>
          <w:sz w:val="28"/>
        </w:rPr>
        <w:t>The development of marketing commodity-assortment policy of table grapes </w:t>
      </w:r>
      <w:r>
        <w:rPr>
          <w:i/>
          <w:sz w:val="28"/>
        </w:rPr>
        <w:t>must be based on the properties of this product as high quality, healing, high</w:t>
      </w:r>
      <w:r>
        <w:rPr>
          <w:i/>
          <w:spacing w:val="-39"/>
          <w:sz w:val="28"/>
        </w:rPr>
        <w:t> </w:t>
      </w:r>
      <w:r>
        <w:rPr>
          <w:i/>
          <w:sz w:val="28"/>
        </w:rPr>
        <w:t>nutrient. The promotion of the production of new varieties of table grapes requires active informative advertising, in which it is advisable for potential consumers to convey the properties of these varieties, their peculiarities and advantages over similar products. When bringing table grapes to the world market, it is important to take into account the</w:t>
      </w:r>
      <w:r>
        <w:rPr>
          <w:i/>
          <w:spacing w:val="-7"/>
          <w:sz w:val="28"/>
        </w:rPr>
        <w:t> </w:t>
      </w:r>
      <w:r>
        <w:rPr>
          <w:i/>
          <w:sz w:val="28"/>
        </w:rPr>
        <w:t>specifics</w:t>
      </w:r>
      <w:r>
        <w:rPr>
          <w:i/>
          <w:spacing w:val="-5"/>
          <w:sz w:val="28"/>
        </w:rPr>
        <w:t> </w:t>
      </w:r>
      <w:r>
        <w:rPr>
          <w:i/>
          <w:sz w:val="28"/>
        </w:rPr>
        <w:t>of</w:t>
      </w:r>
      <w:r>
        <w:rPr>
          <w:i/>
          <w:spacing w:val="-8"/>
          <w:sz w:val="28"/>
        </w:rPr>
        <w:t> </w:t>
      </w:r>
      <w:r>
        <w:rPr>
          <w:i/>
          <w:sz w:val="28"/>
        </w:rPr>
        <w:t>each</w:t>
      </w:r>
      <w:r>
        <w:rPr>
          <w:i/>
          <w:spacing w:val="-6"/>
          <w:sz w:val="28"/>
        </w:rPr>
        <w:t> </w:t>
      </w:r>
      <w:r>
        <w:rPr>
          <w:i/>
          <w:sz w:val="28"/>
        </w:rPr>
        <w:t>national</w:t>
      </w:r>
      <w:r>
        <w:rPr>
          <w:i/>
          <w:spacing w:val="-8"/>
          <w:sz w:val="28"/>
        </w:rPr>
        <w:t> </w:t>
      </w:r>
      <w:r>
        <w:rPr>
          <w:i/>
          <w:sz w:val="28"/>
        </w:rPr>
        <w:t>economy</w:t>
      </w:r>
      <w:r>
        <w:rPr>
          <w:i/>
          <w:spacing w:val="-6"/>
          <w:sz w:val="28"/>
        </w:rPr>
        <w:t> </w:t>
      </w:r>
      <w:r>
        <w:rPr>
          <w:i/>
          <w:sz w:val="28"/>
        </w:rPr>
        <w:t>and</w:t>
      </w:r>
      <w:r>
        <w:rPr>
          <w:i/>
          <w:spacing w:val="-11"/>
          <w:sz w:val="28"/>
        </w:rPr>
        <w:t> </w:t>
      </w:r>
      <w:r>
        <w:rPr>
          <w:i/>
          <w:sz w:val="28"/>
        </w:rPr>
        <w:t>the</w:t>
      </w:r>
      <w:r>
        <w:rPr>
          <w:i/>
          <w:spacing w:val="-7"/>
          <w:sz w:val="28"/>
        </w:rPr>
        <w:t> </w:t>
      </w:r>
      <w:r>
        <w:rPr>
          <w:i/>
          <w:sz w:val="28"/>
        </w:rPr>
        <w:t>culture</w:t>
      </w:r>
      <w:r>
        <w:rPr>
          <w:i/>
          <w:spacing w:val="-6"/>
          <w:sz w:val="28"/>
        </w:rPr>
        <w:t> </w:t>
      </w:r>
      <w:r>
        <w:rPr>
          <w:i/>
          <w:sz w:val="28"/>
        </w:rPr>
        <w:t>of</w:t>
      </w:r>
      <w:r>
        <w:rPr>
          <w:i/>
          <w:spacing w:val="-8"/>
          <w:sz w:val="28"/>
        </w:rPr>
        <w:t> </w:t>
      </w:r>
      <w:r>
        <w:rPr>
          <w:i/>
          <w:sz w:val="28"/>
        </w:rPr>
        <w:t>consumption</w:t>
      </w:r>
      <w:r>
        <w:rPr>
          <w:i/>
          <w:spacing w:val="-8"/>
          <w:sz w:val="28"/>
        </w:rPr>
        <w:t> </w:t>
      </w:r>
      <w:r>
        <w:rPr>
          <w:i/>
          <w:sz w:val="28"/>
        </w:rPr>
        <w:t>of</w:t>
      </w:r>
      <w:r>
        <w:rPr>
          <w:i/>
          <w:spacing w:val="-7"/>
          <w:sz w:val="28"/>
        </w:rPr>
        <w:t> </w:t>
      </w:r>
      <w:r>
        <w:rPr>
          <w:i/>
          <w:sz w:val="28"/>
        </w:rPr>
        <w:t>table</w:t>
      </w:r>
      <w:r>
        <w:rPr>
          <w:i/>
          <w:spacing w:val="-7"/>
          <w:sz w:val="28"/>
        </w:rPr>
        <w:t> </w:t>
      </w:r>
      <w:r>
        <w:rPr>
          <w:i/>
          <w:sz w:val="28"/>
        </w:rPr>
        <w:t>grapes. Marketing of the commodity-assortment policy of table grapes implies paying due attention to the timing of reaching the grapes. The assortment should combine table grape varieties analogous to the conveyor - from very early varieties to late ripening d</w:t>
      </w:r>
      <w:r>
        <w:rPr>
          <w:sz w:val="28"/>
        </w:rPr>
        <w:t>ates to extend the market delivery and fresh consumption of</w:t>
      </w:r>
      <w:r>
        <w:rPr>
          <w:spacing w:val="-3"/>
          <w:sz w:val="28"/>
        </w:rPr>
        <w:t> </w:t>
      </w:r>
      <w:r>
        <w:rPr>
          <w:sz w:val="28"/>
        </w:rPr>
        <w:t>grapes.</w:t>
      </w:r>
    </w:p>
    <w:p>
      <w:pPr>
        <w:spacing w:before="2"/>
        <w:ind w:left="193" w:right="610" w:firstLine="710"/>
        <w:jc w:val="both"/>
        <w:rPr>
          <w:i/>
          <w:sz w:val="28"/>
        </w:rPr>
      </w:pPr>
      <w:r>
        <w:rPr>
          <w:b/>
          <w:i/>
          <w:sz w:val="28"/>
        </w:rPr>
        <w:t>Key</w:t>
      </w:r>
      <w:r>
        <w:rPr>
          <w:b/>
          <w:i/>
          <w:spacing w:val="-12"/>
          <w:sz w:val="28"/>
        </w:rPr>
        <w:t> </w:t>
      </w:r>
      <w:r>
        <w:rPr>
          <w:b/>
          <w:i/>
          <w:sz w:val="28"/>
        </w:rPr>
        <w:t>words.</w:t>
      </w:r>
      <w:r>
        <w:rPr>
          <w:b/>
          <w:i/>
          <w:spacing w:val="-12"/>
          <w:sz w:val="28"/>
        </w:rPr>
        <w:t> </w:t>
      </w:r>
      <w:r>
        <w:rPr>
          <w:i/>
          <w:sz w:val="28"/>
        </w:rPr>
        <w:t>Table</w:t>
      </w:r>
      <w:r>
        <w:rPr>
          <w:i/>
          <w:spacing w:val="-12"/>
          <w:sz w:val="28"/>
        </w:rPr>
        <w:t> </w:t>
      </w:r>
      <w:r>
        <w:rPr>
          <w:i/>
          <w:sz w:val="28"/>
        </w:rPr>
        <w:t>grape</w:t>
      </w:r>
      <w:r>
        <w:rPr>
          <w:i/>
          <w:spacing w:val="-16"/>
          <w:sz w:val="28"/>
        </w:rPr>
        <w:t> </w:t>
      </w:r>
      <w:r>
        <w:rPr>
          <w:i/>
          <w:sz w:val="28"/>
        </w:rPr>
        <w:t>varieties,</w:t>
      </w:r>
      <w:r>
        <w:rPr>
          <w:i/>
          <w:spacing w:val="-14"/>
          <w:sz w:val="28"/>
        </w:rPr>
        <w:t> </w:t>
      </w:r>
      <w:r>
        <w:rPr>
          <w:i/>
          <w:sz w:val="28"/>
        </w:rPr>
        <w:t>assortment</w:t>
      </w:r>
      <w:r>
        <w:rPr>
          <w:i/>
          <w:spacing w:val="-13"/>
          <w:sz w:val="28"/>
        </w:rPr>
        <w:t> </w:t>
      </w:r>
      <w:r>
        <w:rPr>
          <w:i/>
          <w:sz w:val="28"/>
        </w:rPr>
        <w:t>of</w:t>
      </w:r>
      <w:r>
        <w:rPr>
          <w:i/>
          <w:spacing w:val="-13"/>
          <w:sz w:val="28"/>
        </w:rPr>
        <w:t> </w:t>
      </w:r>
      <w:r>
        <w:rPr>
          <w:i/>
          <w:sz w:val="28"/>
        </w:rPr>
        <w:t>grape</w:t>
      </w:r>
      <w:r>
        <w:rPr>
          <w:i/>
          <w:spacing w:val="-16"/>
          <w:sz w:val="28"/>
        </w:rPr>
        <w:t> </w:t>
      </w:r>
      <w:r>
        <w:rPr>
          <w:i/>
          <w:sz w:val="28"/>
        </w:rPr>
        <w:t>varieties,</w:t>
      </w:r>
      <w:r>
        <w:rPr>
          <w:i/>
          <w:spacing w:val="-15"/>
          <w:sz w:val="28"/>
        </w:rPr>
        <w:t> </w:t>
      </w:r>
      <w:r>
        <w:rPr>
          <w:i/>
          <w:sz w:val="28"/>
        </w:rPr>
        <w:t>market</w:t>
      </w:r>
      <w:r>
        <w:rPr>
          <w:i/>
          <w:spacing w:val="-17"/>
          <w:sz w:val="28"/>
        </w:rPr>
        <w:t> </w:t>
      </w:r>
      <w:r>
        <w:rPr>
          <w:i/>
          <w:sz w:val="28"/>
        </w:rPr>
        <w:t>analysis </w:t>
      </w:r>
      <w:r>
        <w:rPr>
          <w:i/>
          <w:sz w:val="28"/>
        </w:rPr>
        <w:t>of table varieties, conveyor of table grape varieties, new selection</w:t>
      </w:r>
      <w:r>
        <w:rPr>
          <w:i/>
          <w:spacing w:val="3"/>
          <w:sz w:val="28"/>
        </w:rPr>
        <w:t> </w:t>
      </w:r>
      <w:r>
        <w:rPr>
          <w:i/>
          <w:sz w:val="28"/>
        </w:rPr>
        <w:t>varieties.</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right="0"/>
        <w:jc w:val="both"/>
      </w:pPr>
      <w:r>
        <w:rPr/>
        <w:t>УДК</w:t>
      </w:r>
      <w:r>
        <w:rPr>
          <w:spacing w:val="-2"/>
        </w:rPr>
        <w:t> </w:t>
      </w:r>
      <w:r>
        <w:rPr/>
        <w:t>330.341.1:338.432(477)</w:t>
        <w:tab/>
        <w:t>DOI:</w:t>
      </w:r>
      <w:r>
        <w:rPr>
          <w:spacing w:val="-1"/>
        </w:rPr>
        <w:t> </w:t>
      </w:r>
      <w:r>
        <w:rPr/>
        <w:t>10.37000/abbsl.2020.96.19</w:t>
      </w:r>
    </w:p>
    <w:p>
      <w:pPr>
        <w:pStyle w:val="BodyText"/>
        <w:spacing w:before="11"/>
        <w:ind w:left="0"/>
        <w:jc w:val="left"/>
        <w:rPr>
          <w:b/>
          <w:sz w:val="27"/>
        </w:rPr>
      </w:pPr>
    </w:p>
    <w:p>
      <w:pPr>
        <w:spacing w:before="0"/>
        <w:ind w:left="3934" w:right="1020" w:hanging="3324"/>
        <w:jc w:val="left"/>
        <w:rPr>
          <w:b/>
          <w:sz w:val="28"/>
        </w:rPr>
      </w:pPr>
      <w:r>
        <w:rPr>
          <w:b/>
          <w:sz w:val="28"/>
        </w:rPr>
        <w:t>АГРОІННОВАЦІЇ ЯК ПЕРСПЕКТИВА ДО РОЗВИТКУ АГРАРНИХ ПІДПРИЄМСТВ</w:t>
      </w:r>
    </w:p>
    <w:p>
      <w:pPr>
        <w:spacing w:line="322" w:lineRule="exact" w:before="0"/>
        <w:ind w:left="889" w:right="603" w:firstLine="0"/>
        <w:jc w:val="center"/>
        <w:rPr>
          <w:b/>
          <w:sz w:val="28"/>
        </w:rPr>
      </w:pPr>
      <w:r>
        <w:rPr>
          <w:b/>
          <w:sz w:val="28"/>
        </w:rPr>
        <w:t>А. Шевченко, К. Данкогло</w:t>
      </w:r>
    </w:p>
    <w:p>
      <w:pPr>
        <w:spacing w:before="0"/>
        <w:ind w:left="886" w:right="603" w:firstLine="0"/>
        <w:jc w:val="center"/>
        <w:rPr>
          <w:i/>
          <w:sz w:val="28"/>
        </w:rPr>
      </w:pPr>
      <w:r>
        <w:rPr>
          <w:i/>
          <w:sz w:val="28"/>
        </w:rPr>
        <w:t>Одеський державний аграрний університет</w:t>
      </w:r>
    </w:p>
    <w:p>
      <w:pPr>
        <w:pStyle w:val="Heading1"/>
        <w:spacing w:line="319" w:lineRule="exact" w:before="4"/>
        <w:ind w:left="891"/>
      </w:pPr>
      <w:r>
        <w:rPr/>
        <w:t>Н. Згадова</w:t>
      </w:r>
    </w:p>
    <w:p>
      <w:pPr>
        <w:tabs>
          <w:tab w:pos="2313" w:val="left" w:leader="none"/>
          <w:tab w:pos="3599" w:val="left" w:leader="none"/>
          <w:tab w:pos="5441" w:val="left" w:leader="none"/>
          <w:tab w:pos="6827" w:val="left" w:leader="none"/>
          <w:tab w:pos="8740" w:val="left" w:leader="none"/>
        </w:tabs>
        <w:spacing w:line="240" w:lineRule="auto" w:before="0"/>
        <w:ind w:left="903" w:right="621" w:firstLine="8"/>
        <w:jc w:val="center"/>
        <w:rPr>
          <w:i/>
          <w:sz w:val="28"/>
        </w:rPr>
      </w:pPr>
      <w:r>
        <w:rPr>
          <w:i/>
          <w:sz w:val="28"/>
        </w:rPr>
        <w:t>Одеська державна академія технічного регулювання та якості  </w:t>
      </w:r>
      <w:r>
        <w:rPr>
          <w:i/>
          <w:sz w:val="28"/>
        </w:rPr>
        <w:t>Уточнено</w:t>
        <w:tab/>
        <w:t>поняття</w:t>
        <w:tab/>
        <w:t>інноваційного</w:t>
        <w:tab/>
        <w:t>розвитку.</w:t>
        <w:tab/>
        <w:t>Обґрунтовано</w:t>
        <w:tab/>
      </w:r>
      <w:r>
        <w:rPr>
          <w:i/>
          <w:spacing w:val="-3"/>
          <w:sz w:val="28"/>
        </w:rPr>
        <w:t>поняття</w:t>
      </w:r>
    </w:p>
    <w:p>
      <w:pPr>
        <w:spacing w:before="0"/>
        <w:ind w:left="193" w:right="614" w:firstLine="0"/>
        <w:jc w:val="both"/>
        <w:rPr>
          <w:i/>
          <w:sz w:val="28"/>
        </w:rPr>
      </w:pPr>
      <w:r>
        <w:rPr>
          <w:i/>
          <w:sz w:val="28"/>
        </w:rPr>
        <w:t>агроінновація</w:t>
      </w:r>
      <w:r>
        <w:rPr>
          <w:i/>
          <w:spacing w:val="-18"/>
          <w:sz w:val="28"/>
        </w:rPr>
        <w:t> </w:t>
      </w:r>
      <w:r>
        <w:rPr>
          <w:i/>
          <w:sz w:val="28"/>
        </w:rPr>
        <w:t>як</w:t>
      </w:r>
      <w:r>
        <w:rPr>
          <w:i/>
          <w:spacing w:val="-18"/>
          <w:sz w:val="28"/>
        </w:rPr>
        <w:t> </w:t>
      </w:r>
      <w:r>
        <w:rPr>
          <w:i/>
          <w:sz w:val="28"/>
        </w:rPr>
        <w:t>вектор</w:t>
      </w:r>
      <w:r>
        <w:rPr>
          <w:i/>
          <w:spacing w:val="-17"/>
          <w:sz w:val="28"/>
        </w:rPr>
        <w:t> </w:t>
      </w:r>
      <w:r>
        <w:rPr>
          <w:i/>
          <w:sz w:val="28"/>
        </w:rPr>
        <w:t>ефективного</w:t>
      </w:r>
      <w:r>
        <w:rPr>
          <w:i/>
          <w:spacing w:val="-17"/>
          <w:sz w:val="28"/>
        </w:rPr>
        <w:t> </w:t>
      </w:r>
      <w:r>
        <w:rPr>
          <w:i/>
          <w:sz w:val="28"/>
        </w:rPr>
        <w:t>функціонування</w:t>
      </w:r>
      <w:r>
        <w:rPr>
          <w:i/>
          <w:spacing w:val="-17"/>
          <w:sz w:val="28"/>
        </w:rPr>
        <w:t> </w:t>
      </w:r>
      <w:r>
        <w:rPr>
          <w:i/>
          <w:sz w:val="28"/>
        </w:rPr>
        <w:t>суб’єктів</w:t>
      </w:r>
      <w:r>
        <w:rPr>
          <w:i/>
          <w:spacing w:val="-18"/>
          <w:sz w:val="28"/>
        </w:rPr>
        <w:t> </w:t>
      </w:r>
      <w:r>
        <w:rPr>
          <w:i/>
          <w:sz w:val="28"/>
        </w:rPr>
        <w:t>господарювання </w:t>
      </w:r>
      <w:r>
        <w:rPr>
          <w:i/>
          <w:sz w:val="28"/>
        </w:rPr>
        <w:t>в</w:t>
      </w:r>
      <w:r>
        <w:rPr>
          <w:i/>
          <w:spacing w:val="-11"/>
          <w:sz w:val="28"/>
        </w:rPr>
        <w:t> </w:t>
      </w:r>
      <w:r>
        <w:rPr>
          <w:i/>
          <w:sz w:val="28"/>
        </w:rPr>
        <w:t>напрямі</w:t>
      </w:r>
      <w:r>
        <w:rPr>
          <w:i/>
          <w:spacing w:val="-6"/>
          <w:sz w:val="28"/>
        </w:rPr>
        <w:t> </w:t>
      </w:r>
      <w:r>
        <w:rPr>
          <w:i/>
          <w:sz w:val="28"/>
        </w:rPr>
        <w:t>дотримання</w:t>
      </w:r>
      <w:r>
        <w:rPr>
          <w:i/>
          <w:spacing w:val="-9"/>
          <w:sz w:val="28"/>
        </w:rPr>
        <w:t> </w:t>
      </w:r>
      <w:r>
        <w:rPr>
          <w:i/>
          <w:sz w:val="28"/>
        </w:rPr>
        <w:t>місії</w:t>
      </w:r>
      <w:r>
        <w:rPr>
          <w:i/>
          <w:spacing w:val="-10"/>
          <w:sz w:val="28"/>
        </w:rPr>
        <w:t> </w:t>
      </w:r>
      <w:r>
        <w:rPr>
          <w:i/>
          <w:sz w:val="28"/>
        </w:rPr>
        <w:t>існування</w:t>
      </w:r>
      <w:r>
        <w:rPr>
          <w:i/>
          <w:spacing w:val="-10"/>
          <w:sz w:val="28"/>
        </w:rPr>
        <w:t> </w:t>
      </w:r>
      <w:r>
        <w:rPr>
          <w:i/>
          <w:sz w:val="28"/>
        </w:rPr>
        <w:t>їх.</w:t>
      </w:r>
      <w:r>
        <w:rPr>
          <w:i/>
          <w:spacing w:val="-3"/>
          <w:sz w:val="28"/>
        </w:rPr>
        <w:t> </w:t>
      </w:r>
      <w:r>
        <w:rPr>
          <w:i/>
          <w:sz w:val="28"/>
        </w:rPr>
        <w:t>Проаналізовано</w:t>
      </w:r>
      <w:r>
        <w:rPr>
          <w:i/>
          <w:spacing w:val="-3"/>
          <w:sz w:val="28"/>
        </w:rPr>
        <w:t> </w:t>
      </w:r>
      <w:r>
        <w:rPr>
          <w:i/>
          <w:sz w:val="28"/>
        </w:rPr>
        <w:t>результати</w:t>
      </w:r>
      <w:r>
        <w:rPr>
          <w:i/>
          <w:spacing w:val="-9"/>
          <w:sz w:val="28"/>
        </w:rPr>
        <w:t> </w:t>
      </w:r>
      <w:r>
        <w:rPr>
          <w:i/>
          <w:sz w:val="28"/>
        </w:rPr>
        <w:t>діяльності аграрних</w:t>
      </w:r>
      <w:r>
        <w:rPr>
          <w:i/>
          <w:spacing w:val="-8"/>
          <w:sz w:val="28"/>
        </w:rPr>
        <w:t> </w:t>
      </w:r>
      <w:r>
        <w:rPr>
          <w:i/>
          <w:sz w:val="28"/>
        </w:rPr>
        <w:t>підприємств</w:t>
      </w:r>
      <w:r>
        <w:rPr>
          <w:i/>
          <w:spacing w:val="-8"/>
          <w:sz w:val="28"/>
        </w:rPr>
        <w:t> </w:t>
      </w:r>
      <w:r>
        <w:rPr>
          <w:i/>
          <w:sz w:val="28"/>
        </w:rPr>
        <w:t>в</w:t>
      </w:r>
      <w:r>
        <w:rPr>
          <w:i/>
          <w:spacing w:val="-6"/>
          <w:sz w:val="28"/>
        </w:rPr>
        <w:t> </w:t>
      </w:r>
      <w:r>
        <w:rPr>
          <w:i/>
          <w:sz w:val="28"/>
        </w:rPr>
        <w:t>Україні</w:t>
      </w:r>
      <w:r>
        <w:rPr>
          <w:i/>
          <w:spacing w:val="-8"/>
          <w:sz w:val="28"/>
        </w:rPr>
        <w:t> </w:t>
      </w:r>
      <w:r>
        <w:rPr>
          <w:i/>
          <w:sz w:val="28"/>
        </w:rPr>
        <w:t>та</w:t>
      </w:r>
      <w:r>
        <w:rPr>
          <w:i/>
          <w:spacing w:val="-8"/>
          <w:sz w:val="28"/>
        </w:rPr>
        <w:t> </w:t>
      </w:r>
      <w:r>
        <w:rPr>
          <w:i/>
          <w:sz w:val="28"/>
        </w:rPr>
        <w:t>в</w:t>
      </w:r>
      <w:r>
        <w:rPr>
          <w:i/>
          <w:spacing w:val="-8"/>
          <w:sz w:val="28"/>
        </w:rPr>
        <w:t> </w:t>
      </w:r>
      <w:r>
        <w:rPr>
          <w:i/>
          <w:sz w:val="28"/>
        </w:rPr>
        <w:t>Одеській</w:t>
      </w:r>
      <w:r>
        <w:rPr>
          <w:i/>
          <w:spacing w:val="-8"/>
          <w:sz w:val="28"/>
        </w:rPr>
        <w:t> </w:t>
      </w:r>
      <w:r>
        <w:rPr>
          <w:i/>
          <w:sz w:val="28"/>
        </w:rPr>
        <w:t>області</w:t>
      </w:r>
      <w:r>
        <w:rPr>
          <w:i/>
          <w:spacing w:val="-7"/>
          <w:sz w:val="28"/>
        </w:rPr>
        <w:t> </w:t>
      </w:r>
      <w:r>
        <w:rPr>
          <w:i/>
          <w:sz w:val="28"/>
        </w:rPr>
        <w:t>за</w:t>
      </w:r>
      <w:r>
        <w:rPr>
          <w:i/>
          <w:spacing w:val="-8"/>
          <w:sz w:val="28"/>
        </w:rPr>
        <w:t> </w:t>
      </w:r>
      <w:r>
        <w:rPr>
          <w:i/>
          <w:sz w:val="28"/>
        </w:rPr>
        <w:t>2015-2017</w:t>
      </w:r>
      <w:r>
        <w:rPr>
          <w:i/>
          <w:spacing w:val="-7"/>
          <w:sz w:val="28"/>
        </w:rPr>
        <w:t> </w:t>
      </w:r>
      <w:r>
        <w:rPr>
          <w:i/>
          <w:sz w:val="28"/>
        </w:rPr>
        <w:t>рр.</w:t>
      </w:r>
      <w:r>
        <w:rPr>
          <w:i/>
          <w:spacing w:val="-6"/>
          <w:sz w:val="28"/>
        </w:rPr>
        <w:t> </w:t>
      </w:r>
      <w:r>
        <w:rPr>
          <w:i/>
          <w:sz w:val="28"/>
        </w:rPr>
        <w:t>з</w:t>
      </w:r>
      <w:r>
        <w:rPr>
          <w:i/>
          <w:spacing w:val="-7"/>
          <w:sz w:val="28"/>
        </w:rPr>
        <w:t> </w:t>
      </w:r>
      <w:r>
        <w:rPr>
          <w:i/>
          <w:sz w:val="28"/>
        </w:rPr>
        <w:t>метою виявлення тенденцій їх функціонування та можливостей подальшого інноваційного розвитку. Обґрунтувано інноваційні чинники розвитку аграрних підприємств на</w:t>
      </w:r>
      <w:r>
        <w:rPr>
          <w:i/>
          <w:spacing w:val="1"/>
          <w:sz w:val="28"/>
        </w:rPr>
        <w:t> </w:t>
      </w:r>
      <w:r>
        <w:rPr>
          <w:i/>
          <w:sz w:val="28"/>
        </w:rPr>
        <w:t>перспективу.</w:t>
      </w:r>
    </w:p>
    <w:p>
      <w:pPr>
        <w:spacing w:before="0"/>
        <w:ind w:left="193" w:right="618" w:firstLine="710"/>
        <w:jc w:val="both"/>
        <w:rPr>
          <w:i/>
          <w:sz w:val="28"/>
        </w:rPr>
      </w:pPr>
      <w:r>
        <w:rPr>
          <w:b/>
          <w:i/>
          <w:sz w:val="28"/>
        </w:rPr>
        <w:t>Ключові</w:t>
      </w:r>
      <w:r>
        <w:rPr>
          <w:b/>
          <w:i/>
          <w:spacing w:val="-11"/>
          <w:sz w:val="28"/>
        </w:rPr>
        <w:t> </w:t>
      </w:r>
      <w:r>
        <w:rPr>
          <w:b/>
          <w:i/>
          <w:sz w:val="28"/>
        </w:rPr>
        <w:t>слова:</w:t>
      </w:r>
      <w:r>
        <w:rPr>
          <w:b/>
          <w:i/>
          <w:spacing w:val="-10"/>
          <w:sz w:val="28"/>
        </w:rPr>
        <w:t> </w:t>
      </w:r>
      <w:r>
        <w:rPr>
          <w:i/>
          <w:sz w:val="28"/>
        </w:rPr>
        <w:t>інновація,</w:t>
      </w:r>
      <w:r>
        <w:rPr>
          <w:i/>
          <w:spacing w:val="-10"/>
          <w:sz w:val="28"/>
        </w:rPr>
        <w:t> </w:t>
      </w:r>
      <w:r>
        <w:rPr>
          <w:i/>
          <w:sz w:val="28"/>
        </w:rPr>
        <w:t>агроінновація,</w:t>
      </w:r>
      <w:r>
        <w:rPr>
          <w:i/>
          <w:spacing w:val="-10"/>
          <w:sz w:val="28"/>
        </w:rPr>
        <w:t> </w:t>
      </w:r>
      <w:r>
        <w:rPr>
          <w:i/>
          <w:sz w:val="28"/>
        </w:rPr>
        <w:t>розвиток,</w:t>
      </w:r>
      <w:r>
        <w:rPr>
          <w:i/>
          <w:spacing w:val="-9"/>
          <w:sz w:val="28"/>
        </w:rPr>
        <w:t> </w:t>
      </w:r>
      <w:r>
        <w:rPr>
          <w:i/>
          <w:sz w:val="28"/>
        </w:rPr>
        <w:t>аграрне</w:t>
      </w:r>
      <w:r>
        <w:rPr>
          <w:i/>
          <w:spacing w:val="-10"/>
          <w:sz w:val="28"/>
        </w:rPr>
        <w:t> </w:t>
      </w:r>
      <w:r>
        <w:rPr>
          <w:i/>
          <w:sz w:val="28"/>
        </w:rPr>
        <w:t>підприємство, </w:t>
      </w:r>
      <w:r>
        <w:rPr>
          <w:i/>
          <w:sz w:val="28"/>
        </w:rPr>
        <w:t>валова продукція, виробництво, рентабельність,</w:t>
      </w:r>
      <w:r>
        <w:rPr>
          <w:i/>
          <w:spacing w:val="5"/>
          <w:sz w:val="28"/>
        </w:rPr>
        <w:t> </w:t>
      </w:r>
      <w:r>
        <w:rPr>
          <w:i/>
          <w:sz w:val="28"/>
        </w:rPr>
        <w:t>ефективність.</w:t>
      </w:r>
    </w:p>
    <w:p>
      <w:pPr>
        <w:pStyle w:val="BodyText"/>
        <w:spacing w:before="11"/>
        <w:ind w:left="0"/>
        <w:jc w:val="left"/>
        <w:rPr>
          <w:i/>
          <w:sz w:val="27"/>
        </w:rPr>
      </w:pPr>
    </w:p>
    <w:p>
      <w:pPr>
        <w:pStyle w:val="BodyText"/>
        <w:ind w:right="606" w:firstLine="710"/>
      </w:pPr>
      <w:r>
        <w:rPr>
          <w:b/>
        </w:rPr>
        <w:t>Вступ. </w:t>
      </w:r>
      <w:r>
        <w:rPr/>
        <w:t>Сучасний розвиток будь - якого підприємства, галузі, країни неможливий без впровадження та використання інновацій та техніко- технологічних рішень, оскільки рівень активізації останніх визначають загальний рівень конкурентоспроможності на ринках. Адже всеохоплююче впровадження інновацій сприяє підвищенню продуктивності праці, економії різних видів ресурсів, скороченню витрат та зниженню собівартості агропродовольчої продукції, нарощуванню обсягів і підвищенню ефективності сільськогосподарського виробництва, що впливає на залучення інвестицій. Нині основним викликом світових інноваційно - технологічних процесів є розвиток сільського господарства, який спрямований на динамічність агровиробництва за рахунок використання передових технологій.</w:t>
      </w:r>
    </w:p>
    <w:p>
      <w:pPr>
        <w:pStyle w:val="BodyText"/>
        <w:ind w:right="611" w:firstLine="710"/>
      </w:pPr>
      <w:r>
        <w:rPr>
          <w:b/>
        </w:rPr>
        <w:t>Аналіз останніх досліджень </w:t>
      </w:r>
      <w:r>
        <w:rPr/>
        <w:t>свідчить, що грунтовне дослідження різних аспектів інновацій та інноваційного розвитку здійснили у своїх працях іноземні та вітчизняні вчені: Бездудный Ф. Ф, Височан О.С. , Вініченко І.І., Грицаєнко М.І., </w:t>
      </w:r>
      <w:hyperlink r:id="rId111">
        <w:r>
          <w:rPr/>
          <w:t>Халатур С. М.</w:t>
        </w:r>
      </w:hyperlink>
      <w:r>
        <w:rPr/>
        <w:t>, Шпикуляк О.Г. та ін. Але питання інноваційного розвитку аграрної сфери виявилися недостатньо розробленими. Отже, тема досліджень є актуальною.</w:t>
      </w:r>
    </w:p>
    <w:p>
      <w:pPr>
        <w:pStyle w:val="BodyText"/>
        <w:ind w:right="615" w:firstLine="710"/>
      </w:pPr>
      <w:r>
        <w:rPr>
          <w:b/>
        </w:rPr>
        <w:t>Метою досліджень </w:t>
      </w:r>
      <w:r>
        <w:rPr/>
        <w:t>є виявлення основних тенденцій діяльності аграрних підприємств та обґрунтування сучасних підходів в їх агроінноваційному розвитку.</w:t>
      </w:r>
    </w:p>
    <w:p>
      <w:pPr>
        <w:pStyle w:val="BodyText"/>
        <w:ind w:right="612" w:firstLine="710"/>
      </w:pPr>
      <w:r>
        <w:rPr>
          <w:b/>
        </w:rPr>
        <w:t>Результати досліджень. </w:t>
      </w:r>
      <w:r>
        <w:rPr/>
        <w:t>Фундаментом стабільного та ефективного економічного зростання як окремої галузі, так економіки України загалом на сучасному етапі повинен бути інноваційний розвиток. Поняття «інновація» вперше з'явилося в наукових дослідженнях в XIX столітті, хоча спочатку означало введення деяких елементів однієї культури (зазвичай, європейських звичаїв і способів організації) в іншу (в традиційні азіатські і африканські</w:t>
      </w:r>
    </w:p>
    <w:p>
      <w:pPr>
        <w:spacing w:after="0"/>
        <w:sectPr>
          <w:pgSz w:w="11910" w:h="16840"/>
          <w:pgMar w:header="713" w:footer="778" w:top="1140" w:bottom="960" w:left="940" w:right="520"/>
        </w:sectPr>
      </w:pPr>
    </w:p>
    <w:p>
      <w:pPr>
        <w:pStyle w:val="BodyText"/>
        <w:spacing w:before="92"/>
        <w:ind w:right="612"/>
      </w:pPr>
      <w:r>
        <w:rPr/>
        <w:t>суспільства). І лише на початку ХХ століття стали вивчатися закономірності технічних нововведень [1] і як результат цього явища – розвиток підприємств. Отже,</w:t>
      </w:r>
      <w:r>
        <w:rPr>
          <w:spacing w:val="-11"/>
        </w:rPr>
        <w:t> </w:t>
      </w:r>
      <w:r>
        <w:rPr/>
        <w:t>слід</w:t>
      </w:r>
      <w:r>
        <w:rPr>
          <w:spacing w:val="-12"/>
        </w:rPr>
        <w:t> </w:t>
      </w:r>
      <w:r>
        <w:rPr/>
        <w:t>уточнити</w:t>
      </w:r>
      <w:r>
        <w:rPr>
          <w:spacing w:val="-13"/>
        </w:rPr>
        <w:t> </w:t>
      </w:r>
      <w:r>
        <w:rPr/>
        <w:t>як</w:t>
      </w:r>
      <w:r>
        <w:rPr>
          <w:spacing w:val="-15"/>
        </w:rPr>
        <w:t> </w:t>
      </w:r>
      <w:r>
        <w:rPr/>
        <w:t>ми</w:t>
      </w:r>
      <w:r>
        <w:rPr>
          <w:spacing w:val="-13"/>
        </w:rPr>
        <w:t> </w:t>
      </w:r>
      <w:r>
        <w:rPr/>
        <w:t>розуміємо</w:t>
      </w:r>
      <w:r>
        <w:rPr>
          <w:spacing w:val="-14"/>
        </w:rPr>
        <w:t> </w:t>
      </w:r>
      <w:r>
        <w:rPr/>
        <w:t>поняття</w:t>
      </w:r>
      <w:r>
        <w:rPr>
          <w:spacing w:val="-12"/>
        </w:rPr>
        <w:t> </w:t>
      </w:r>
      <w:r>
        <w:rPr/>
        <w:t>«інноваційний</w:t>
      </w:r>
      <w:r>
        <w:rPr>
          <w:spacing w:val="-14"/>
        </w:rPr>
        <w:t> </w:t>
      </w:r>
      <w:r>
        <w:rPr/>
        <w:t>розвиток».</w:t>
      </w:r>
      <w:r>
        <w:rPr>
          <w:spacing w:val="-11"/>
        </w:rPr>
        <w:t> </w:t>
      </w:r>
      <w:r>
        <w:rPr>
          <w:spacing w:val="-3"/>
        </w:rPr>
        <w:t>На</w:t>
      </w:r>
      <w:r>
        <w:rPr>
          <w:spacing w:val="-13"/>
        </w:rPr>
        <w:t> </w:t>
      </w:r>
      <w:r>
        <w:rPr/>
        <w:t>нашу думку інноваційний розвиток аграрних підприємств - це комплексне використання наукоємних факторів виробництва в технологічній, організаційній, економічній та управлінській діяльності для забезпечення стійковисокої конкурентоспроможності продукції аграрних підприємств на внутрішніх</w:t>
      </w:r>
      <w:r>
        <w:rPr>
          <w:spacing w:val="-22"/>
        </w:rPr>
        <w:t> </w:t>
      </w:r>
      <w:r>
        <w:rPr/>
        <w:t>та</w:t>
      </w:r>
      <w:r>
        <w:rPr>
          <w:spacing w:val="-21"/>
        </w:rPr>
        <w:t> </w:t>
      </w:r>
      <w:r>
        <w:rPr/>
        <w:t>зовнішніх</w:t>
      </w:r>
      <w:r>
        <w:rPr>
          <w:spacing w:val="-26"/>
        </w:rPr>
        <w:t> </w:t>
      </w:r>
      <w:r>
        <w:rPr/>
        <w:t>ринках.</w:t>
      </w:r>
      <w:r>
        <w:rPr>
          <w:spacing w:val="-15"/>
        </w:rPr>
        <w:t> </w:t>
      </w:r>
      <w:r>
        <w:rPr/>
        <w:t>Підкреслимо,</w:t>
      </w:r>
      <w:r>
        <w:rPr>
          <w:spacing w:val="-19"/>
        </w:rPr>
        <w:t> </w:t>
      </w:r>
      <w:r>
        <w:rPr/>
        <w:t>що</w:t>
      </w:r>
      <w:r>
        <w:rPr>
          <w:spacing w:val="-19"/>
        </w:rPr>
        <w:t> </w:t>
      </w:r>
      <w:r>
        <w:rPr/>
        <w:t>ми</w:t>
      </w:r>
      <w:r>
        <w:rPr>
          <w:spacing w:val="-22"/>
        </w:rPr>
        <w:t> </w:t>
      </w:r>
      <w:r>
        <w:rPr/>
        <w:t>наголошуємо</w:t>
      </w:r>
      <w:r>
        <w:rPr>
          <w:spacing w:val="-21"/>
        </w:rPr>
        <w:t> </w:t>
      </w:r>
      <w:r>
        <w:rPr/>
        <w:t>на</w:t>
      </w:r>
      <w:r>
        <w:rPr>
          <w:spacing w:val="-21"/>
        </w:rPr>
        <w:t> </w:t>
      </w:r>
      <w:r>
        <w:rPr/>
        <w:t>виключній ролі інноваційного розвитку лише для забезпечення конкурентоспроможності продукції [2]. В наших дослідженнях суб’єктом є саме аграрне підприємство, тому необхідно визначитись із поняттям аграрної інновації. В сучасній економічній літературі не існує погодження щодо тлумачення поняття агроінновація, тому слід розглянути деякі з них з метою власного його обґрунтування (табл.</w:t>
      </w:r>
      <w:r>
        <w:rPr>
          <w:spacing w:val="5"/>
        </w:rPr>
        <w:t> </w:t>
      </w:r>
      <w:r>
        <w:rPr/>
        <w:t>1).</w:t>
      </w:r>
    </w:p>
    <w:p>
      <w:pPr>
        <w:pStyle w:val="BodyText"/>
        <w:ind w:right="610" w:firstLine="710"/>
      </w:pPr>
      <w:r>
        <w:rPr/>
        <w:t>Отже, узагальнюючи різні підходи, ми вважаємо, що агроінновація – це сучасні передові трансформації в аграрному виробництві, які здійснюються з метою отримання економічного ефекту на основі задоволення зростаючих потреб суспільства та забезпечення продовольчої безпеки країни. Наступним кроком у визначенні чинників агроінноваційного розвитку на перспективу, на нашу думку, є питання кількості підприємств в Україні, що займаються виробництвом сільськогосподарської продукції і забезпечують потреби в ній в Україні.</w:t>
      </w:r>
      <w:r>
        <w:rPr>
          <w:spacing w:val="-5"/>
        </w:rPr>
        <w:t> </w:t>
      </w:r>
      <w:r>
        <w:rPr/>
        <w:t>Як</w:t>
      </w:r>
      <w:r>
        <w:rPr>
          <w:spacing w:val="-2"/>
        </w:rPr>
        <w:t> </w:t>
      </w:r>
      <w:r>
        <w:rPr/>
        <w:t>видно</w:t>
      </w:r>
      <w:r>
        <w:rPr>
          <w:spacing w:val="-6"/>
        </w:rPr>
        <w:t> </w:t>
      </w:r>
      <w:r>
        <w:rPr/>
        <w:t>з</w:t>
      </w:r>
      <w:r>
        <w:rPr>
          <w:spacing w:val="-6"/>
        </w:rPr>
        <w:t> </w:t>
      </w:r>
      <w:r>
        <w:rPr/>
        <w:t>показників</w:t>
      </w:r>
      <w:r>
        <w:rPr>
          <w:spacing w:val="-8"/>
        </w:rPr>
        <w:t> </w:t>
      </w:r>
      <w:r>
        <w:rPr/>
        <w:t>таблиці</w:t>
      </w:r>
      <w:r>
        <w:rPr>
          <w:spacing w:val="-12"/>
        </w:rPr>
        <w:t> </w:t>
      </w:r>
      <w:r>
        <w:rPr/>
        <w:t>2,</w:t>
      </w:r>
      <w:r>
        <w:rPr>
          <w:spacing w:val="-4"/>
        </w:rPr>
        <w:t> </w:t>
      </w:r>
      <w:r>
        <w:rPr/>
        <w:t>в</w:t>
      </w:r>
      <w:r>
        <w:rPr>
          <w:spacing w:val="-8"/>
        </w:rPr>
        <w:t> </w:t>
      </w:r>
      <w:r>
        <w:rPr/>
        <w:t>Україні</w:t>
      </w:r>
      <w:r>
        <w:rPr>
          <w:spacing w:val="-7"/>
        </w:rPr>
        <w:t> </w:t>
      </w:r>
      <w:r>
        <w:rPr/>
        <w:t>в</w:t>
      </w:r>
      <w:r>
        <w:rPr>
          <w:spacing w:val="-8"/>
        </w:rPr>
        <w:t> </w:t>
      </w:r>
      <w:r>
        <w:rPr/>
        <w:t>середньому</w:t>
      </w:r>
      <w:r>
        <w:rPr>
          <w:spacing w:val="-11"/>
        </w:rPr>
        <w:t> </w:t>
      </w:r>
      <w:r>
        <w:rPr/>
        <w:t>за період</w:t>
      </w:r>
      <w:r>
        <w:rPr>
          <w:spacing w:val="-4"/>
        </w:rPr>
        <w:t> </w:t>
      </w:r>
      <w:r>
        <w:rPr>
          <w:spacing w:val="3"/>
        </w:rPr>
        <w:t>2013- </w:t>
      </w:r>
      <w:r>
        <w:rPr/>
        <w:t>2017 рр. сільськогосподарською діяльністю займались 46776 підприємств. У 2017 році на 7,1 % зменшилась кількість зазначених підприємств в розрізі усіх організаційно – правових форм</w:t>
      </w:r>
      <w:r>
        <w:rPr>
          <w:spacing w:val="2"/>
        </w:rPr>
        <w:t> </w:t>
      </w:r>
      <w:r>
        <w:rPr/>
        <w:t>господарювання.</w:t>
      </w:r>
    </w:p>
    <w:p>
      <w:pPr>
        <w:pStyle w:val="BodyText"/>
        <w:spacing w:before="2" w:after="7"/>
        <w:ind w:left="903"/>
      </w:pPr>
      <w:r>
        <w:rPr/>
        <w:t>Таблиця 1. Сучасне трактування категорії «агроінновація»</w:t>
      </w:r>
    </w:p>
    <w:tbl>
      <w:tblPr>
        <w:tblW w:w="0" w:type="auto"/>
        <w:jc w:val="left"/>
        <w:tblInd w:w="2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1"/>
        <w:gridCol w:w="7645"/>
      </w:tblGrid>
      <w:tr>
        <w:trPr>
          <w:trHeight w:val="254" w:hRule="atLeast"/>
        </w:trPr>
        <w:tc>
          <w:tcPr>
            <w:tcW w:w="1911" w:type="dxa"/>
          </w:tcPr>
          <w:p>
            <w:pPr>
              <w:pStyle w:val="TableParagraph"/>
              <w:spacing w:line="234" w:lineRule="exact"/>
              <w:ind w:left="883"/>
              <w:rPr>
                <w:sz w:val="22"/>
              </w:rPr>
            </w:pPr>
            <w:r>
              <w:rPr>
                <w:sz w:val="22"/>
              </w:rPr>
              <w:t>Автори</w:t>
            </w:r>
          </w:p>
        </w:tc>
        <w:tc>
          <w:tcPr>
            <w:tcW w:w="7645" w:type="dxa"/>
          </w:tcPr>
          <w:p>
            <w:pPr>
              <w:pStyle w:val="TableParagraph"/>
              <w:spacing w:line="234" w:lineRule="exact"/>
              <w:ind w:left="3523" w:right="2959"/>
              <w:jc w:val="center"/>
              <w:rPr>
                <w:sz w:val="22"/>
              </w:rPr>
            </w:pPr>
            <w:r>
              <w:rPr>
                <w:sz w:val="22"/>
              </w:rPr>
              <w:t>Визначення</w:t>
            </w:r>
          </w:p>
        </w:tc>
      </w:tr>
      <w:tr>
        <w:trPr>
          <w:trHeight w:val="1012" w:hRule="atLeast"/>
        </w:trPr>
        <w:tc>
          <w:tcPr>
            <w:tcW w:w="1911" w:type="dxa"/>
          </w:tcPr>
          <w:p>
            <w:pPr>
              <w:pStyle w:val="TableParagraph"/>
              <w:spacing w:line="249" w:lineRule="exact"/>
              <w:ind w:left="105"/>
              <w:rPr>
                <w:sz w:val="22"/>
              </w:rPr>
            </w:pPr>
            <w:r>
              <w:rPr>
                <w:sz w:val="22"/>
              </w:rPr>
              <w:t>Бухвостов Ю.</w:t>
            </w:r>
          </w:p>
        </w:tc>
        <w:tc>
          <w:tcPr>
            <w:tcW w:w="7645" w:type="dxa"/>
          </w:tcPr>
          <w:p>
            <w:pPr>
              <w:pStyle w:val="TableParagraph"/>
              <w:ind w:left="105" w:right="96"/>
              <w:jc w:val="both"/>
              <w:rPr>
                <w:sz w:val="22"/>
              </w:rPr>
            </w:pPr>
            <w:r>
              <w:rPr>
                <w:sz w:val="22"/>
              </w:rPr>
              <w:t>результат праці, отриманий завдяки застосуванню нових наукових знань, що перетворюють процес функціонування та розвитку виробничо-господарської системи АПК у напрямі підвищення її ефективності, стійкості та системної</w:t>
            </w:r>
          </w:p>
          <w:p>
            <w:pPr>
              <w:pStyle w:val="TableParagraph"/>
              <w:spacing w:line="237" w:lineRule="exact"/>
              <w:ind w:left="105"/>
              <w:jc w:val="both"/>
              <w:rPr>
                <w:sz w:val="22"/>
              </w:rPr>
            </w:pPr>
            <w:r>
              <w:rPr>
                <w:sz w:val="22"/>
              </w:rPr>
              <w:t>якості відносин</w:t>
            </w:r>
          </w:p>
        </w:tc>
      </w:tr>
      <w:tr>
        <w:trPr>
          <w:trHeight w:val="758" w:hRule="atLeast"/>
        </w:trPr>
        <w:tc>
          <w:tcPr>
            <w:tcW w:w="1911" w:type="dxa"/>
          </w:tcPr>
          <w:p>
            <w:pPr>
              <w:pStyle w:val="TableParagraph"/>
              <w:spacing w:line="249" w:lineRule="exact"/>
              <w:ind w:left="105"/>
              <w:rPr>
                <w:sz w:val="22"/>
              </w:rPr>
            </w:pPr>
            <w:r>
              <w:rPr>
                <w:sz w:val="22"/>
              </w:rPr>
              <w:t>Кот О.</w:t>
            </w:r>
          </w:p>
        </w:tc>
        <w:tc>
          <w:tcPr>
            <w:tcW w:w="7645" w:type="dxa"/>
          </w:tcPr>
          <w:p>
            <w:pPr>
              <w:pStyle w:val="TableParagraph"/>
              <w:spacing w:line="237" w:lineRule="auto"/>
              <w:ind w:left="105"/>
              <w:rPr>
                <w:sz w:val="22"/>
              </w:rPr>
            </w:pPr>
            <w:r>
              <w:rPr>
                <w:sz w:val="22"/>
              </w:rPr>
              <w:t>системні впровадження в аграрну сферу результатів науково-дослідницької роботи, що призводять до позитивних якісних та кількісних змін у</w:t>
            </w:r>
          </w:p>
          <w:p>
            <w:pPr>
              <w:pStyle w:val="TableParagraph"/>
              <w:spacing w:line="238" w:lineRule="exact"/>
              <w:ind w:left="105"/>
              <w:rPr>
                <w:sz w:val="22"/>
              </w:rPr>
            </w:pPr>
            <w:r>
              <w:rPr>
                <w:sz w:val="22"/>
              </w:rPr>
              <w:t>характеристиці взаємозв’язків між біосферою та техносферою....</w:t>
            </w:r>
          </w:p>
        </w:tc>
      </w:tr>
      <w:tr>
        <w:trPr>
          <w:trHeight w:val="1012" w:hRule="atLeast"/>
        </w:trPr>
        <w:tc>
          <w:tcPr>
            <w:tcW w:w="1911" w:type="dxa"/>
          </w:tcPr>
          <w:p>
            <w:pPr>
              <w:pStyle w:val="TableParagraph"/>
              <w:spacing w:line="249" w:lineRule="exact"/>
              <w:ind w:left="105"/>
              <w:rPr>
                <w:sz w:val="22"/>
              </w:rPr>
            </w:pPr>
            <w:r>
              <w:rPr>
                <w:sz w:val="22"/>
              </w:rPr>
              <w:t>Кравченко Н.</w:t>
            </w:r>
          </w:p>
        </w:tc>
        <w:tc>
          <w:tcPr>
            <w:tcW w:w="7645" w:type="dxa"/>
          </w:tcPr>
          <w:p>
            <w:pPr>
              <w:pStyle w:val="TableParagraph"/>
              <w:ind w:left="105" w:right="97"/>
              <w:jc w:val="both"/>
              <w:rPr>
                <w:sz w:val="22"/>
              </w:rPr>
            </w:pPr>
            <w:r>
              <w:rPr>
                <w:sz w:val="22"/>
              </w:rPr>
              <w:t>кінцевий</w:t>
            </w:r>
            <w:r>
              <w:rPr>
                <w:spacing w:val="-11"/>
                <w:sz w:val="22"/>
              </w:rPr>
              <w:t> </w:t>
            </w:r>
            <w:r>
              <w:rPr>
                <w:sz w:val="22"/>
              </w:rPr>
              <w:t>результат</w:t>
            </w:r>
            <w:r>
              <w:rPr>
                <w:spacing w:val="-17"/>
                <w:sz w:val="22"/>
              </w:rPr>
              <w:t> </w:t>
            </w:r>
            <w:r>
              <w:rPr>
                <w:sz w:val="22"/>
              </w:rPr>
              <w:t>впровадження</w:t>
            </w:r>
            <w:r>
              <w:rPr>
                <w:spacing w:val="-17"/>
                <w:sz w:val="22"/>
              </w:rPr>
              <w:t> </w:t>
            </w:r>
            <w:r>
              <w:rPr>
                <w:sz w:val="22"/>
              </w:rPr>
              <w:t>нової</w:t>
            </w:r>
            <w:r>
              <w:rPr>
                <w:spacing w:val="-15"/>
                <w:sz w:val="22"/>
              </w:rPr>
              <w:t> </w:t>
            </w:r>
            <w:r>
              <w:rPr>
                <w:sz w:val="22"/>
              </w:rPr>
              <w:t>або</w:t>
            </w:r>
            <w:r>
              <w:rPr>
                <w:spacing w:val="-15"/>
                <w:sz w:val="22"/>
              </w:rPr>
              <w:t> </w:t>
            </w:r>
            <w:r>
              <w:rPr>
                <w:sz w:val="22"/>
              </w:rPr>
              <w:t>вдосконаленої</w:t>
            </w:r>
            <w:r>
              <w:rPr>
                <w:spacing w:val="-15"/>
                <w:sz w:val="22"/>
              </w:rPr>
              <w:t> </w:t>
            </w:r>
            <w:r>
              <w:rPr>
                <w:sz w:val="22"/>
              </w:rPr>
              <w:t>продукції</w:t>
            </w:r>
            <w:r>
              <w:rPr>
                <w:spacing w:val="-15"/>
                <w:sz w:val="22"/>
              </w:rPr>
              <w:t> </w:t>
            </w:r>
            <w:r>
              <w:rPr>
                <w:sz w:val="22"/>
              </w:rPr>
              <w:t>(послуги), техніки, технології, </w:t>
            </w:r>
            <w:r>
              <w:rPr>
                <w:spacing w:val="-3"/>
                <w:sz w:val="22"/>
              </w:rPr>
              <w:t>сорту, </w:t>
            </w:r>
            <w:r>
              <w:rPr>
                <w:sz w:val="22"/>
              </w:rPr>
              <w:t>породи, організації виробництва, системи його управління</w:t>
            </w:r>
            <w:r>
              <w:rPr>
                <w:spacing w:val="37"/>
                <w:sz w:val="22"/>
              </w:rPr>
              <w:t> </w:t>
            </w:r>
            <w:r>
              <w:rPr>
                <w:sz w:val="22"/>
              </w:rPr>
              <w:t>з</w:t>
            </w:r>
            <w:r>
              <w:rPr>
                <w:spacing w:val="37"/>
                <w:sz w:val="22"/>
              </w:rPr>
              <w:t> </w:t>
            </w:r>
            <w:r>
              <w:rPr>
                <w:sz w:val="22"/>
              </w:rPr>
              <w:t>метою</w:t>
            </w:r>
            <w:r>
              <w:rPr>
                <w:spacing w:val="40"/>
                <w:sz w:val="22"/>
              </w:rPr>
              <w:t> </w:t>
            </w:r>
            <w:r>
              <w:rPr>
                <w:sz w:val="22"/>
              </w:rPr>
              <w:t>отримання</w:t>
            </w:r>
            <w:r>
              <w:rPr>
                <w:spacing w:val="38"/>
                <w:sz w:val="22"/>
              </w:rPr>
              <w:t> </w:t>
            </w:r>
            <w:r>
              <w:rPr>
                <w:sz w:val="22"/>
              </w:rPr>
              <w:t>різних</w:t>
            </w:r>
            <w:r>
              <w:rPr>
                <w:spacing w:val="37"/>
                <w:sz w:val="22"/>
              </w:rPr>
              <w:t> </w:t>
            </w:r>
            <w:r>
              <w:rPr>
                <w:sz w:val="22"/>
              </w:rPr>
              <w:t>видів</w:t>
            </w:r>
            <w:r>
              <w:rPr>
                <w:spacing w:val="39"/>
                <w:sz w:val="22"/>
              </w:rPr>
              <w:t> </w:t>
            </w:r>
            <w:r>
              <w:rPr>
                <w:sz w:val="22"/>
              </w:rPr>
              <w:t>ефекту</w:t>
            </w:r>
            <w:r>
              <w:rPr>
                <w:spacing w:val="38"/>
                <w:sz w:val="22"/>
              </w:rPr>
              <w:t> </w:t>
            </w:r>
            <w:r>
              <w:rPr>
                <w:sz w:val="22"/>
              </w:rPr>
              <w:t>і</w:t>
            </w:r>
            <w:r>
              <w:rPr>
                <w:spacing w:val="45"/>
                <w:sz w:val="22"/>
              </w:rPr>
              <w:t> </w:t>
            </w:r>
            <w:r>
              <w:rPr>
                <w:sz w:val="22"/>
              </w:rPr>
              <w:t>забезпечення</w:t>
            </w:r>
            <w:r>
              <w:rPr>
                <w:spacing w:val="42"/>
                <w:sz w:val="22"/>
              </w:rPr>
              <w:t> </w:t>
            </w:r>
            <w:r>
              <w:rPr>
                <w:sz w:val="22"/>
              </w:rPr>
              <w:t>процесу</w:t>
            </w:r>
          </w:p>
          <w:p>
            <w:pPr>
              <w:pStyle w:val="TableParagraph"/>
              <w:spacing w:line="237" w:lineRule="exact"/>
              <w:ind w:left="105"/>
              <w:jc w:val="both"/>
              <w:rPr>
                <w:sz w:val="22"/>
              </w:rPr>
            </w:pPr>
            <w:r>
              <w:rPr>
                <w:sz w:val="22"/>
              </w:rPr>
              <w:t>розширеного відтворення</w:t>
            </w:r>
          </w:p>
        </w:tc>
      </w:tr>
      <w:tr>
        <w:trPr>
          <w:trHeight w:val="1516" w:hRule="atLeast"/>
        </w:trPr>
        <w:tc>
          <w:tcPr>
            <w:tcW w:w="1911" w:type="dxa"/>
          </w:tcPr>
          <w:p>
            <w:pPr>
              <w:pStyle w:val="TableParagraph"/>
              <w:spacing w:line="249" w:lineRule="exact"/>
              <w:ind w:left="105"/>
              <w:rPr>
                <w:sz w:val="22"/>
              </w:rPr>
            </w:pPr>
            <w:r>
              <w:rPr>
                <w:sz w:val="22"/>
              </w:rPr>
              <w:t>Попова О.</w:t>
            </w:r>
          </w:p>
        </w:tc>
        <w:tc>
          <w:tcPr>
            <w:tcW w:w="7645" w:type="dxa"/>
          </w:tcPr>
          <w:p>
            <w:pPr>
              <w:pStyle w:val="TableParagraph"/>
              <w:ind w:left="105" w:right="97"/>
              <w:jc w:val="both"/>
              <w:rPr>
                <w:sz w:val="22"/>
              </w:rPr>
            </w:pPr>
            <w:r>
              <w:rPr>
                <w:sz w:val="22"/>
              </w:rPr>
              <w:t>інновація, яка зачіпає безпосередньо (або опосередковано, в межах технологічного ланцюга) процеси, учасниками яких є людина, машина (обладнання, інструмент тощо) та компонент навколишнього середовища (тварина, рослина тощо) існування яких у природному середовищі (без участі людини) неможливе або можливе з втратою базових функціональних</w:t>
            </w:r>
          </w:p>
          <w:p>
            <w:pPr>
              <w:pStyle w:val="TableParagraph"/>
              <w:spacing w:line="236" w:lineRule="exact"/>
              <w:ind w:left="105"/>
              <w:rPr>
                <w:sz w:val="22"/>
              </w:rPr>
            </w:pPr>
            <w:r>
              <w:rPr>
                <w:sz w:val="22"/>
              </w:rPr>
              <w:t>характеристик</w:t>
            </w:r>
          </w:p>
        </w:tc>
      </w:tr>
      <w:tr>
        <w:trPr>
          <w:trHeight w:val="1012" w:hRule="atLeast"/>
        </w:trPr>
        <w:tc>
          <w:tcPr>
            <w:tcW w:w="1911" w:type="dxa"/>
          </w:tcPr>
          <w:p>
            <w:pPr>
              <w:pStyle w:val="TableParagraph"/>
              <w:spacing w:line="249" w:lineRule="exact"/>
              <w:ind w:left="105"/>
              <w:rPr>
                <w:sz w:val="22"/>
              </w:rPr>
            </w:pPr>
            <w:r>
              <w:rPr>
                <w:sz w:val="22"/>
              </w:rPr>
              <w:t>Янковська О.</w:t>
            </w:r>
          </w:p>
        </w:tc>
        <w:tc>
          <w:tcPr>
            <w:tcW w:w="7645" w:type="dxa"/>
          </w:tcPr>
          <w:p>
            <w:pPr>
              <w:pStyle w:val="TableParagraph"/>
              <w:ind w:left="105" w:right="107"/>
              <w:jc w:val="both"/>
              <w:rPr>
                <w:sz w:val="22"/>
              </w:rPr>
            </w:pPr>
            <w:r>
              <w:rPr>
                <w:sz w:val="22"/>
              </w:rPr>
              <w:t>кінцевий результат впровадження новації у галузі сільського господарства (сорту рослин, порід тварин, засобів захисту рослин або тварин, технологій вирощування тощо), який призвів до отримання економічного, соціального,</w:t>
            </w:r>
          </w:p>
          <w:p>
            <w:pPr>
              <w:pStyle w:val="TableParagraph"/>
              <w:spacing w:line="238" w:lineRule="exact"/>
              <w:ind w:left="105"/>
              <w:jc w:val="both"/>
              <w:rPr>
                <w:sz w:val="22"/>
              </w:rPr>
            </w:pPr>
            <w:r>
              <w:rPr>
                <w:sz w:val="22"/>
              </w:rPr>
              <w:t>екологічного та інших видів ефекту</w:t>
            </w:r>
          </w:p>
        </w:tc>
      </w:tr>
    </w:tbl>
    <w:p>
      <w:pPr>
        <w:spacing w:before="0"/>
        <w:ind w:left="193" w:right="0" w:firstLine="0"/>
        <w:jc w:val="both"/>
        <w:rPr>
          <w:i/>
          <w:sz w:val="24"/>
        </w:rPr>
      </w:pPr>
      <w:r>
        <w:rPr>
          <w:i/>
          <w:sz w:val="24"/>
        </w:rPr>
        <w:t>Джерело [4]</w:t>
      </w:r>
    </w:p>
    <w:p>
      <w:pPr>
        <w:spacing w:after="0"/>
        <w:jc w:val="both"/>
        <w:rPr>
          <w:sz w:val="24"/>
        </w:rPr>
        <w:sectPr>
          <w:pgSz w:w="11910" w:h="16840"/>
          <w:pgMar w:header="713" w:footer="778" w:top="1140" w:bottom="960" w:left="940" w:right="520"/>
        </w:sectPr>
      </w:pPr>
    </w:p>
    <w:p>
      <w:pPr>
        <w:pStyle w:val="BodyText"/>
        <w:spacing w:before="4"/>
        <w:ind w:left="0"/>
        <w:jc w:val="left"/>
        <w:rPr>
          <w:i/>
        </w:rPr>
      </w:pPr>
    </w:p>
    <w:p>
      <w:pPr>
        <w:pStyle w:val="BodyText"/>
        <w:spacing w:before="87"/>
        <w:ind w:right="610" w:firstLine="710"/>
      </w:pPr>
      <w:r>
        <w:rPr/>
        <w:t>Таке скорочення кількості підприємств пов’язано із труднощами подальшого інноваційного розвитку в аграрній сфері, низьким рівнем проінформованості аграріїв щодо сучасних перспективних світових підходів розвитку, існуючими проблемами та ризиками. Слід відмітити, що в Україні також розвиток агроінноваційної діяльності занепадає в результаті кризи, що спричинена військовими діями, зменшенням ринків збуту продукції, недосконалості законодавчої бази, недостатності державного стимулювання інноваційної діяльності, обмеженості внутрішніх і зовнішніх джерел фінансування інновацій та неможливості їх швидкої мобілізації, низького рівня інвестиційної привабливості галузі, а, особливо, відсутності інновацій та сучасних технологій виробництва і вирощування сільськогосподарської продукції.</w:t>
      </w:r>
    </w:p>
    <w:p>
      <w:pPr>
        <w:pStyle w:val="BodyText"/>
        <w:spacing w:before="2"/>
        <w:ind w:left="903"/>
      </w:pPr>
      <w:r>
        <w:rPr/>
        <w:t>Таблиця 2. Кількість підприємств в Україні, які здійснювали с.-г.</w:t>
      </w:r>
    </w:p>
    <w:p>
      <w:pPr>
        <w:pStyle w:val="Heading1"/>
        <w:spacing w:before="4" w:after="2"/>
        <w:ind w:right="0"/>
        <w:jc w:val="left"/>
      </w:pPr>
      <w:r>
        <w:rPr/>
        <w:t>діяльність</w:t>
      </w:r>
    </w:p>
    <w:tbl>
      <w:tblPr>
        <w:tblW w:w="0" w:type="auto"/>
        <w:jc w:val="left"/>
        <w:tblInd w:w="2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08"/>
        <w:gridCol w:w="965"/>
        <w:gridCol w:w="946"/>
        <w:gridCol w:w="950"/>
        <w:gridCol w:w="946"/>
        <w:gridCol w:w="951"/>
        <w:gridCol w:w="946"/>
        <w:gridCol w:w="1066"/>
      </w:tblGrid>
      <w:tr>
        <w:trPr>
          <w:trHeight w:val="254" w:hRule="atLeast"/>
        </w:trPr>
        <w:tc>
          <w:tcPr>
            <w:tcW w:w="2708" w:type="dxa"/>
            <w:vMerge w:val="restart"/>
          </w:tcPr>
          <w:p>
            <w:pPr>
              <w:pStyle w:val="TableParagraph"/>
              <w:spacing w:line="250" w:lineRule="atLeast" w:before="1"/>
              <w:ind w:left="431" w:right="190" w:hanging="212"/>
              <w:rPr>
                <w:sz w:val="22"/>
              </w:rPr>
            </w:pPr>
            <w:r>
              <w:rPr>
                <w:sz w:val="22"/>
              </w:rPr>
              <w:t>Організаційно – правові форми підприємств</w:t>
            </w:r>
          </w:p>
        </w:tc>
        <w:tc>
          <w:tcPr>
            <w:tcW w:w="965" w:type="dxa"/>
            <w:vMerge w:val="restart"/>
          </w:tcPr>
          <w:p>
            <w:pPr>
              <w:pStyle w:val="TableParagraph"/>
              <w:spacing w:before="126"/>
              <w:ind w:left="182"/>
              <w:rPr>
                <w:sz w:val="22"/>
              </w:rPr>
            </w:pPr>
            <w:r>
              <w:rPr>
                <w:sz w:val="22"/>
              </w:rPr>
              <w:t>2013р.</w:t>
            </w:r>
          </w:p>
        </w:tc>
        <w:tc>
          <w:tcPr>
            <w:tcW w:w="946" w:type="dxa"/>
            <w:vMerge w:val="restart"/>
          </w:tcPr>
          <w:p>
            <w:pPr>
              <w:pStyle w:val="TableParagraph"/>
              <w:spacing w:before="126"/>
              <w:ind w:left="168"/>
              <w:rPr>
                <w:sz w:val="22"/>
              </w:rPr>
            </w:pPr>
            <w:r>
              <w:rPr>
                <w:sz w:val="22"/>
              </w:rPr>
              <w:t>2014р.</w:t>
            </w:r>
          </w:p>
        </w:tc>
        <w:tc>
          <w:tcPr>
            <w:tcW w:w="950" w:type="dxa"/>
            <w:vMerge w:val="restart"/>
          </w:tcPr>
          <w:p>
            <w:pPr>
              <w:pStyle w:val="TableParagraph"/>
              <w:spacing w:before="126"/>
              <w:ind w:left="173"/>
              <w:rPr>
                <w:sz w:val="22"/>
              </w:rPr>
            </w:pPr>
            <w:r>
              <w:rPr>
                <w:sz w:val="22"/>
              </w:rPr>
              <w:t>2015р.</w:t>
            </w:r>
          </w:p>
        </w:tc>
        <w:tc>
          <w:tcPr>
            <w:tcW w:w="946" w:type="dxa"/>
            <w:vMerge w:val="restart"/>
          </w:tcPr>
          <w:p>
            <w:pPr>
              <w:pStyle w:val="TableParagraph"/>
              <w:spacing w:before="126"/>
              <w:ind w:left="169"/>
              <w:rPr>
                <w:sz w:val="22"/>
              </w:rPr>
            </w:pPr>
            <w:r>
              <w:rPr>
                <w:sz w:val="22"/>
              </w:rPr>
              <w:t>2016р.</w:t>
            </w:r>
          </w:p>
        </w:tc>
        <w:tc>
          <w:tcPr>
            <w:tcW w:w="951" w:type="dxa"/>
            <w:vMerge w:val="restart"/>
          </w:tcPr>
          <w:p>
            <w:pPr>
              <w:pStyle w:val="TableParagraph"/>
              <w:spacing w:before="126"/>
              <w:ind w:left="173"/>
              <w:rPr>
                <w:sz w:val="22"/>
              </w:rPr>
            </w:pPr>
            <w:r>
              <w:rPr>
                <w:sz w:val="22"/>
              </w:rPr>
              <w:t>2017р.</w:t>
            </w:r>
          </w:p>
        </w:tc>
        <w:tc>
          <w:tcPr>
            <w:tcW w:w="2012" w:type="dxa"/>
            <w:gridSpan w:val="2"/>
          </w:tcPr>
          <w:p>
            <w:pPr>
              <w:pStyle w:val="TableParagraph"/>
              <w:spacing w:line="235" w:lineRule="exact"/>
              <w:ind w:left="235"/>
              <w:rPr>
                <w:sz w:val="22"/>
              </w:rPr>
            </w:pPr>
            <w:r>
              <w:rPr>
                <w:sz w:val="22"/>
              </w:rPr>
              <w:t>2017р. до 2013р.</w:t>
            </w:r>
          </w:p>
        </w:tc>
      </w:tr>
      <w:tr>
        <w:trPr>
          <w:trHeight w:val="253" w:hRule="atLeast"/>
        </w:trPr>
        <w:tc>
          <w:tcPr>
            <w:tcW w:w="2708" w:type="dxa"/>
            <w:vMerge/>
            <w:tcBorders>
              <w:top w:val="nil"/>
            </w:tcBorders>
          </w:tcPr>
          <w:p>
            <w:pPr>
              <w:rPr>
                <w:sz w:val="2"/>
                <w:szCs w:val="2"/>
              </w:rPr>
            </w:pPr>
          </w:p>
        </w:tc>
        <w:tc>
          <w:tcPr>
            <w:tcW w:w="965" w:type="dxa"/>
            <w:vMerge/>
            <w:tcBorders>
              <w:top w:val="nil"/>
            </w:tcBorders>
          </w:tcPr>
          <w:p>
            <w:pPr>
              <w:rPr>
                <w:sz w:val="2"/>
                <w:szCs w:val="2"/>
              </w:rPr>
            </w:pPr>
          </w:p>
        </w:tc>
        <w:tc>
          <w:tcPr>
            <w:tcW w:w="946" w:type="dxa"/>
            <w:vMerge/>
            <w:tcBorders>
              <w:top w:val="nil"/>
            </w:tcBorders>
          </w:tcPr>
          <w:p>
            <w:pPr>
              <w:rPr>
                <w:sz w:val="2"/>
                <w:szCs w:val="2"/>
              </w:rPr>
            </w:pPr>
          </w:p>
        </w:tc>
        <w:tc>
          <w:tcPr>
            <w:tcW w:w="950" w:type="dxa"/>
            <w:vMerge/>
            <w:tcBorders>
              <w:top w:val="nil"/>
            </w:tcBorders>
          </w:tcPr>
          <w:p>
            <w:pPr>
              <w:rPr>
                <w:sz w:val="2"/>
                <w:szCs w:val="2"/>
              </w:rPr>
            </w:pPr>
          </w:p>
        </w:tc>
        <w:tc>
          <w:tcPr>
            <w:tcW w:w="946" w:type="dxa"/>
            <w:vMerge/>
            <w:tcBorders>
              <w:top w:val="nil"/>
            </w:tcBorders>
          </w:tcPr>
          <w:p>
            <w:pPr>
              <w:rPr>
                <w:sz w:val="2"/>
                <w:szCs w:val="2"/>
              </w:rPr>
            </w:pPr>
          </w:p>
        </w:tc>
        <w:tc>
          <w:tcPr>
            <w:tcW w:w="951" w:type="dxa"/>
            <w:vMerge/>
            <w:tcBorders>
              <w:top w:val="nil"/>
            </w:tcBorders>
          </w:tcPr>
          <w:p>
            <w:pPr>
              <w:rPr>
                <w:sz w:val="2"/>
                <w:szCs w:val="2"/>
              </w:rPr>
            </w:pPr>
          </w:p>
        </w:tc>
        <w:tc>
          <w:tcPr>
            <w:tcW w:w="946" w:type="dxa"/>
          </w:tcPr>
          <w:p>
            <w:pPr>
              <w:pStyle w:val="TableParagraph"/>
              <w:spacing w:line="234" w:lineRule="exact"/>
              <w:ind w:left="178" w:right="166"/>
              <w:jc w:val="center"/>
              <w:rPr>
                <w:sz w:val="22"/>
              </w:rPr>
            </w:pPr>
            <w:r>
              <w:rPr>
                <w:sz w:val="22"/>
              </w:rPr>
              <w:t>(+,-)</w:t>
            </w:r>
          </w:p>
        </w:tc>
        <w:tc>
          <w:tcPr>
            <w:tcW w:w="1066" w:type="dxa"/>
          </w:tcPr>
          <w:p>
            <w:pPr>
              <w:pStyle w:val="TableParagraph"/>
              <w:spacing w:line="234" w:lineRule="exact"/>
              <w:ind w:left="12"/>
              <w:jc w:val="center"/>
              <w:rPr>
                <w:sz w:val="22"/>
              </w:rPr>
            </w:pPr>
            <w:r>
              <w:rPr>
                <w:w w:val="100"/>
                <w:sz w:val="22"/>
              </w:rPr>
              <w:t>%</w:t>
            </w:r>
          </w:p>
        </w:tc>
      </w:tr>
      <w:tr>
        <w:trPr>
          <w:trHeight w:val="253" w:hRule="atLeast"/>
        </w:trPr>
        <w:tc>
          <w:tcPr>
            <w:tcW w:w="2708" w:type="dxa"/>
          </w:tcPr>
          <w:p>
            <w:pPr>
              <w:pStyle w:val="TableParagraph"/>
              <w:spacing w:line="234" w:lineRule="exact"/>
              <w:ind w:left="110"/>
              <w:rPr>
                <w:sz w:val="22"/>
              </w:rPr>
            </w:pPr>
            <w:r>
              <w:rPr>
                <w:sz w:val="22"/>
              </w:rPr>
              <w:t>Всього</w:t>
            </w:r>
          </w:p>
        </w:tc>
        <w:tc>
          <w:tcPr>
            <w:tcW w:w="965" w:type="dxa"/>
          </w:tcPr>
          <w:p>
            <w:pPr>
              <w:pStyle w:val="TableParagraph"/>
              <w:spacing w:line="234" w:lineRule="exact"/>
              <w:ind w:left="206"/>
              <w:rPr>
                <w:sz w:val="22"/>
              </w:rPr>
            </w:pPr>
            <w:r>
              <w:rPr>
                <w:sz w:val="22"/>
              </w:rPr>
              <w:t>49046</w:t>
            </w:r>
          </w:p>
        </w:tc>
        <w:tc>
          <w:tcPr>
            <w:tcW w:w="946" w:type="dxa"/>
          </w:tcPr>
          <w:p>
            <w:pPr>
              <w:pStyle w:val="TableParagraph"/>
              <w:spacing w:line="234" w:lineRule="exact"/>
              <w:ind w:left="178" w:right="168"/>
              <w:jc w:val="center"/>
              <w:rPr>
                <w:sz w:val="22"/>
              </w:rPr>
            </w:pPr>
            <w:r>
              <w:rPr>
                <w:sz w:val="22"/>
              </w:rPr>
              <w:t>46199</w:t>
            </w:r>
          </w:p>
        </w:tc>
        <w:tc>
          <w:tcPr>
            <w:tcW w:w="950" w:type="dxa"/>
          </w:tcPr>
          <w:p>
            <w:pPr>
              <w:pStyle w:val="TableParagraph"/>
              <w:spacing w:line="234" w:lineRule="exact"/>
              <w:ind w:right="184"/>
              <w:jc w:val="right"/>
              <w:rPr>
                <w:sz w:val="22"/>
              </w:rPr>
            </w:pPr>
            <w:r>
              <w:rPr>
                <w:sz w:val="22"/>
              </w:rPr>
              <w:t>45379</w:t>
            </w:r>
          </w:p>
        </w:tc>
        <w:tc>
          <w:tcPr>
            <w:tcW w:w="946" w:type="dxa"/>
          </w:tcPr>
          <w:p>
            <w:pPr>
              <w:pStyle w:val="TableParagraph"/>
              <w:spacing w:line="234" w:lineRule="exact"/>
              <w:ind w:left="197"/>
              <w:rPr>
                <w:sz w:val="22"/>
              </w:rPr>
            </w:pPr>
            <w:r>
              <w:rPr>
                <w:sz w:val="22"/>
              </w:rPr>
              <w:t>47697</w:t>
            </w:r>
          </w:p>
        </w:tc>
        <w:tc>
          <w:tcPr>
            <w:tcW w:w="951" w:type="dxa"/>
          </w:tcPr>
          <w:p>
            <w:pPr>
              <w:pStyle w:val="TableParagraph"/>
              <w:spacing w:line="234" w:lineRule="exact"/>
              <w:ind w:left="202"/>
              <w:rPr>
                <w:sz w:val="22"/>
              </w:rPr>
            </w:pPr>
            <w:r>
              <w:rPr>
                <w:sz w:val="22"/>
              </w:rPr>
              <w:t>45558</w:t>
            </w:r>
          </w:p>
        </w:tc>
        <w:tc>
          <w:tcPr>
            <w:tcW w:w="946" w:type="dxa"/>
          </w:tcPr>
          <w:p>
            <w:pPr>
              <w:pStyle w:val="TableParagraph"/>
              <w:spacing w:line="234" w:lineRule="exact"/>
              <w:ind w:left="178" w:right="167"/>
              <w:jc w:val="center"/>
              <w:rPr>
                <w:sz w:val="22"/>
              </w:rPr>
            </w:pPr>
            <w:r>
              <w:rPr>
                <w:sz w:val="22"/>
              </w:rPr>
              <w:t>-3488</w:t>
            </w:r>
          </w:p>
        </w:tc>
        <w:tc>
          <w:tcPr>
            <w:tcW w:w="1066" w:type="dxa"/>
          </w:tcPr>
          <w:p>
            <w:pPr>
              <w:pStyle w:val="TableParagraph"/>
              <w:spacing w:line="234" w:lineRule="exact"/>
              <w:ind w:left="323" w:right="308"/>
              <w:jc w:val="center"/>
              <w:rPr>
                <w:sz w:val="22"/>
              </w:rPr>
            </w:pPr>
            <w:r>
              <w:rPr>
                <w:sz w:val="22"/>
              </w:rPr>
              <w:t>92,9</w:t>
            </w:r>
          </w:p>
        </w:tc>
      </w:tr>
      <w:tr>
        <w:trPr>
          <w:trHeight w:val="249" w:hRule="atLeast"/>
        </w:trPr>
        <w:tc>
          <w:tcPr>
            <w:tcW w:w="2708" w:type="dxa"/>
          </w:tcPr>
          <w:p>
            <w:pPr>
              <w:pStyle w:val="TableParagraph"/>
              <w:spacing w:line="229" w:lineRule="exact"/>
              <w:ind w:left="110"/>
              <w:rPr>
                <w:sz w:val="22"/>
              </w:rPr>
            </w:pPr>
            <w:r>
              <w:rPr>
                <w:sz w:val="22"/>
              </w:rPr>
              <w:t>Господарські товариства</w:t>
            </w:r>
          </w:p>
        </w:tc>
        <w:tc>
          <w:tcPr>
            <w:tcW w:w="965" w:type="dxa"/>
          </w:tcPr>
          <w:p>
            <w:pPr>
              <w:pStyle w:val="TableParagraph"/>
              <w:spacing w:line="229" w:lineRule="exact"/>
              <w:ind w:left="263"/>
              <w:rPr>
                <w:sz w:val="22"/>
              </w:rPr>
            </w:pPr>
            <w:r>
              <w:rPr>
                <w:sz w:val="22"/>
              </w:rPr>
              <w:t>8245</w:t>
            </w:r>
          </w:p>
        </w:tc>
        <w:tc>
          <w:tcPr>
            <w:tcW w:w="946" w:type="dxa"/>
          </w:tcPr>
          <w:p>
            <w:pPr>
              <w:pStyle w:val="TableParagraph"/>
              <w:spacing w:line="229" w:lineRule="exact"/>
              <w:ind w:left="173" w:right="168"/>
              <w:jc w:val="center"/>
              <w:rPr>
                <w:sz w:val="22"/>
              </w:rPr>
            </w:pPr>
            <w:r>
              <w:rPr>
                <w:sz w:val="22"/>
              </w:rPr>
              <w:t>7750</w:t>
            </w:r>
          </w:p>
        </w:tc>
        <w:tc>
          <w:tcPr>
            <w:tcW w:w="950" w:type="dxa"/>
          </w:tcPr>
          <w:p>
            <w:pPr>
              <w:pStyle w:val="TableParagraph"/>
              <w:spacing w:line="229" w:lineRule="exact"/>
              <w:ind w:right="241"/>
              <w:jc w:val="right"/>
              <w:rPr>
                <w:sz w:val="22"/>
              </w:rPr>
            </w:pPr>
            <w:r>
              <w:rPr>
                <w:sz w:val="22"/>
              </w:rPr>
              <w:t>7721</w:t>
            </w:r>
          </w:p>
        </w:tc>
        <w:tc>
          <w:tcPr>
            <w:tcW w:w="946" w:type="dxa"/>
          </w:tcPr>
          <w:p>
            <w:pPr>
              <w:pStyle w:val="TableParagraph"/>
              <w:spacing w:line="229" w:lineRule="exact"/>
              <w:ind w:left="250"/>
              <w:rPr>
                <w:sz w:val="22"/>
              </w:rPr>
            </w:pPr>
            <w:r>
              <w:rPr>
                <w:sz w:val="22"/>
              </w:rPr>
              <w:t>8700</w:t>
            </w:r>
          </w:p>
        </w:tc>
        <w:tc>
          <w:tcPr>
            <w:tcW w:w="951" w:type="dxa"/>
          </w:tcPr>
          <w:p>
            <w:pPr>
              <w:pStyle w:val="TableParagraph"/>
              <w:spacing w:line="229" w:lineRule="exact"/>
              <w:ind w:left="255"/>
              <w:rPr>
                <w:sz w:val="22"/>
              </w:rPr>
            </w:pPr>
            <w:r>
              <w:rPr>
                <w:sz w:val="22"/>
              </w:rPr>
              <w:t>6967</w:t>
            </w:r>
          </w:p>
        </w:tc>
        <w:tc>
          <w:tcPr>
            <w:tcW w:w="946" w:type="dxa"/>
          </w:tcPr>
          <w:p>
            <w:pPr>
              <w:pStyle w:val="TableParagraph"/>
              <w:spacing w:line="229" w:lineRule="exact"/>
              <w:ind w:left="178" w:right="167"/>
              <w:jc w:val="center"/>
              <w:rPr>
                <w:sz w:val="22"/>
              </w:rPr>
            </w:pPr>
            <w:r>
              <w:rPr>
                <w:sz w:val="22"/>
              </w:rPr>
              <w:t>-1278</w:t>
            </w:r>
          </w:p>
        </w:tc>
        <w:tc>
          <w:tcPr>
            <w:tcW w:w="1066" w:type="dxa"/>
          </w:tcPr>
          <w:p>
            <w:pPr>
              <w:pStyle w:val="TableParagraph"/>
              <w:spacing w:line="229" w:lineRule="exact"/>
              <w:ind w:left="323" w:right="308"/>
              <w:jc w:val="center"/>
              <w:rPr>
                <w:sz w:val="22"/>
              </w:rPr>
            </w:pPr>
            <w:r>
              <w:rPr>
                <w:sz w:val="22"/>
              </w:rPr>
              <w:t>84,5</w:t>
            </w:r>
          </w:p>
        </w:tc>
      </w:tr>
      <w:tr>
        <w:trPr>
          <w:trHeight w:val="253" w:hRule="atLeast"/>
        </w:trPr>
        <w:tc>
          <w:tcPr>
            <w:tcW w:w="2708" w:type="dxa"/>
          </w:tcPr>
          <w:p>
            <w:pPr>
              <w:pStyle w:val="TableParagraph"/>
              <w:spacing w:line="234" w:lineRule="exact"/>
              <w:ind w:left="110"/>
              <w:rPr>
                <w:sz w:val="22"/>
              </w:rPr>
            </w:pPr>
            <w:r>
              <w:rPr>
                <w:sz w:val="22"/>
              </w:rPr>
              <w:t>Приватні підприємства</w:t>
            </w:r>
          </w:p>
        </w:tc>
        <w:tc>
          <w:tcPr>
            <w:tcW w:w="965" w:type="dxa"/>
          </w:tcPr>
          <w:p>
            <w:pPr>
              <w:pStyle w:val="TableParagraph"/>
              <w:spacing w:line="234" w:lineRule="exact"/>
              <w:ind w:left="263"/>
              <w:rPr>
                <w:sz w:val="22"/>
              </w:rPr>
            </w:pPr>
            <w:r>
              <w:rPr>
                <w:sz w:val="22"/>
              </w:rPr>
              <w:t>4095</w:t>
            </w:r>
          </w:p>
        </w:tc>
        <w:tc>
          <w:tcPr>
            <w:tcW w:w="946" w:type="dxa"/>
          </w:tcPr>
          <w:p>
            <w:pPr>
              <w:pStyle w:val="TableParagraph"/>
              <w:spacing w:line="234" w:lineRule="exact"/>
              <w:ind w:left="173" w:right="168"/>
              <w:jc w:val="center"/>
              <w:rPr>
                <w:sz w:val="22"/>
              </w:rPr>
            </w:pPr>
            <w:r>
              <w:rPr>
                <w:sz w:val="22"/>
              </w:rPr>
              <w:t>3772</w:t>
            </w:r>
          </w:p>
        </w:tc>
        <w:tc>
          <w:tcPr>
            <w:tcW w:w="950" w:type="dxa"/>
          </w:tcPr>
          <w:p>
            <w:pPr>
              <w:pStyle w:val="TableParagraph"/>
              <w:spacing w:line="234" w:lineRule="exact"/>
              <w:ind w:right="241"/>
              <w:jc w:val="right"/>
              <w:rPr>
                <w:sz w:val="22"/>
              </w:rPr>
            </w:pPr>
            <w:r>
              <w:rPr>
                <w:sz w:val="22"/>
              </w:rPr>
              <w:t>3627</w:t>
            </w:r>
          </w:p>
        </w:tc>
        <w:tc>
          <w:tcPr>
            <w:tcW w:w="946" w:type="dxa"/>
          </w:tcPr>
          <w:p>
            <w:pPr>
              <w:pStyle w:val="TableParagraph"/>
              <w:spacing w:line="234" w:lineRule="exact"/>
              <w:ind w:left="250"/>
              <w:rPr>
                <w:sz w:val="22"/>
              </w:rPr>
            </w:pPr>
            <w:r>
              <w:rPr>
                <w:sz w:val="22"/>
              </w:rPr>
              <w:t>3752</w:t>
            </w:r>
          </w:p>
        </w:tc>
        <w:tc>
          <w:tcPr>
            <w:tcW w:w="951" w:type="dxa"/>
          </w:tcPr>
          <w:p>
            <w:pPr>
              <w:pStyle w:val="TableParagraph"/>
              <w:spacing w:line="234" w:lineRule="exact"/>
              <w:ind w:left="255"/>
              <w:rPr>
                <w:sz w:val="22"/>
              </w:rPr>
            </w:pPr>
            <w:r>
              <w:rPr>
                <w:sz w:val="22"/>
              </w:rPr>
              <w:t>3215</w:t>
            </w:r>
          </w:p>
        </w:tc>
        <w:tc>
          <w:tcPr>
            <w:tcW w:w="946" w:type="dxa"/>
          </w:tcPr>
          <w:p>
            <w:pPr>
              <w:pStyle w:val="TableParagraph"/>
              <w:spacing w:line="234" w:lineRule="exact"/>
              <w:ind w:left="174" w:right="168"/>
              <w:jc w:val="center"/>
              <w:rPr>
                <w:sz w:val="22"/>
              </w:rPr>
            </w:pPr>
            <w:r>
              <w:rPr>
                <w:sz w:val="22"/>
              </w:rPr>
              <w:t>-880</w:t>
            </w:r>
          </w:p>
        </w:tc>
        <w:tc>
          <w:tcPr>
            <w:tcW w:w="1066" w:type="dxa"/>
          </w:tcPr>
          <w:p>
            <w:pPr>
              <w:pStyle w:val="TableParagraph"/>
              <w:spacing w:line="234" w:lineRule="exact"/>
              <w:ind w:left="323" w:right="308"/>
              <w:jc w:val="center"/>
              <w:rPr>
                <w:sz w:val="22"/>
              </w:rPr>
            </w:pPr>
            <w:r>
              <w:rPr>
                <w:sz w:val="22"/>
              </w:rPr>
              <w:t>78,5</w:t>
            </w:r>
          </w:p>
        </w:tc>
      </w:tr>
      <w:tr>
        <w:trPr>
          <w:trHeight w:val="254" w:hRule="atLeast"/>
        </w:trPr>
        <w:tc>
          <w:tcPr>
            <w:tcW w:w="2708" w:type="dxa"/>
          </w:tcPr>
          <w:p>
            <w:pPr>
              <w:pStyle w:val="TableParagraph"/>
              <w:spacing w:line="234" w:lineRule="exact"/>
              <w:ind w:left="110"/>
              <w:rPr>
                <w:sz w:val="22"/>
              </w:rPr>
            </w:pPr>
            <w:r>
              <w:rPr>
                <w:sz w:val="22"/>
              </w:rPr>
              <w:t>Кооперативи</w:t>
            </w:r>
          </w:p>
        </w:tc>
        <w:tc>
          <w:tcPr>
            <w:tcW w:w="965" w:type="dxa"/>
          </w:tcPr>
          <w:p>
            <w:pPr>
              <w:pStyle w:val="TableParagraph"/>
              <w:spacing w:line="234" w:lineRule="exact"/>
              <w:ind w:left="316"/>
              <w:rPr>
                <w:sz w:val="22"/>
              </w:rPr>
            </w:pPr>
            <w:r>
              <w:rPr>
                <w:sz w:val="22"/>
              </w:rPr>
              <w:t>809</w:t>
            </w:r>
          </w:p>
        </w:tc>
        <w:tc>
          <w:tcPr>
            <w:tcW w:w="946" w:type="dxa"/>
          </w:tcPr>
          <w:p>
            <w:pPr>
              <w:pStyle w:val="TableParagraph"/>
              <w:spacing w:line="234" w:lineRule="exact"/>
              <w:ind w:left="178" w:right="168"/>
              <w:jc w:val="center"/>
              <w:rPr>
                <w:sz w:val="22"/>
              </w:rPr>
            </w:pPr>
            <w:r>
              <w:rPr>
                <w:sz w:val="22"/>
              </w:rPr>
              <w:t>674</w:t>
            </w:r>
          </w:p>
        </w:tc>
        <w:tc>
          <w:tcPr>
            <w:tcW w:w="950" w:type="dxa"/>
          </w:tcPr>
          <w:p>
            <w:pPr>
              <w:pStyle w:val="TableParagraph"/>
              <w:spacing w:line="234" w:lineRule="exact"/>
              <w:ind w:left="312"/>
              <w:rPr>
                <w:sz w:val="22"/>
              </w:rPr>
            </w:pPr>
            <w:r>
              <w:rPr>
                <w:sz w:val="22"/>
              </w:rPr>
              <w:t>596</w:t>
            </w:r>
          </w:p>
        </w:tc>
        <w:tc>
          <w:tcPr>
            <w:tcW w:w="946" w:type="dxa"/>
          </w:tcPr>
          <w:p>
            <w:pPr>
              <w:pStyle w:val="TableParagraph"/>
              <w:spacing w:line="234" w:lineRule="exact"/>
              <w:ind w:left="308"/>
              <w:rPr>
                <w:sz w:val="22"/>
              </w:rPr>
            </w:pPr>
            <w:r>
              <w:rPr>
                <w:sz w:val="22"/>
              </w:rPr>
              <w:t>738</w:t>
            </w:r>
          </w:p>
        </w:tc>
        <w:tc>
          <w:tcPr>
            <w:tcW w:w="951" w:type="dxa"/>
          </w:tcPr>
          <w:p>
            <w:pPr>
              <w:pStyle w:val="TableParagraph"/>
              <w:spacing w:line="234" w:lineRule="exact"/>
              <w:ind w:left="312"/>
              <w:rPr>
                <w:sz w:val="22"/>
              </w:rPr>
            </w:pPr>
            <w:r>
              <w:rPr>
                <w:sz w:val="22"/>
              </w:rPr>
              <w:t>448</w:t>
            </w:r>
          </w:p>
        </w:tc>
        <w:tc>
          <w:tcPr>
            <w:tcW w:w="946" w:type="dxa"/>
          </w:tcPr>
          <w:p>
            <w:pPr>
              <w:pStyle w:val="TableParagraph"/>
              <w:spacing w:line="234" w:lineRule="exact"/>
              <w:ind w:left="174" w:right="168"/>
              <w:jc w:val="center"/>
              <w:rPr>
                <w:sz w:val="22"/>
              </w:rPr>
            </w:pPr>
            <w:r>
              <w:rPr>
                <w:sz w:val="22"/>
              </w:rPr>
              <w:t>-361</w:t>
            </w:r>
          </w:p>
        </w:tc>
        <w:tc>
          <w:tcPr>
            <w:tcW w:w="1066" w:type="dxa"/>
          </w:tcPr>
          <w:p>
            <w:pPr>
              <w:pStyle w:val="TableParagraph"/>
              <w:spacing w:line="234" w:lineRule="exact"/>
              <w:ind w:left="323" w:right="308"/>
              <w:jc w:val="center"/>
              <w:rPr>
                <w:sz w:val="22"/>
              </w:rPr>
            </w:pPr>
            <w:r>
              <w:rPr>
                <w:sz w:val="22"/>
              </w:rPr>
              <w:t>55,4</w:t>
            </w:r>
          </w:p>
        </w:tc>
      </w:tr>
      <w:tr>
        <w:trPr>
          <w:trHeight w:val="253" w:hRule="atLeast"/>
        </w:trPr>
        <w:tc>
          <w:tcPr>
            <w:tcW w:w="2708" w:type="dxa"/>
          </w:tcPr>
          <w:p>
            <w:pPr>
              <w:pStyle w:val="TableParagraph"/>
              <w:spacing w:line="234" w:lineRule="exact"/>
              <w:ind w:left="110"/>
              <w:rPr>
                <w:sz w:val="22"/>
              </w:rPr>
            </w:pPr>
            <w:r>
              <w:rPr>
                <w:sz w:val="22"/>
              </w:rPr>
              <w:t>Фермерські господарства</w:t>
            </w:r>
          </w:p>
        </w:tc>
        <w:tc>
          <w:tcPr>
            <w:tcW w:w="965" w:type="dxa"/>
          </w:tcPr>
          <w:p>
            <w:pPr>
              <w:pStyle w:val="TableParagraph"/>
              <w:spacing w:line="234" w:lineRule="exact"/>
              <w:ind w:left="206"/>
              <w:rPr>
                <w:sz w:val="22"/>
              </w:rPr>
            </w:pPr>
            <w:r>
              <w:rPr>
                <w:sz w:val="22"/>
              </w:rPr>
              <w:t>34168</w:t>
            </w:r>
          </w:p>
        </w:tc>
        <w:tc>
          <w:tcPr>
            <w:tcW w:w="946" w:type="dxa"/>
          </w:tcPr>
          <w:p>
            <w:pPr>
              <w:pStyle w:val="TableParagraph"/>
              <w:spacing w:line="234" w:lineRule="exact"/>
              <w:ind w:left="178" w:right="168"/>
              <w:jc w:val="center"/>
              <w:rPr>
                <w:sz w:val="22"/>
              </w:rPr>
            </w:pPr>
            <w:r>
              <w:rPr>
                <w:sz w:val="22"/>
              </w:rPr>
              <w:t>33084</w:t>
            </w:r>
          </w:p>
        </w:tc>
        <w:tc>
          <w:tcPr>
            <w:tcW w:w="950" w:type="dxa"/>
          </w:tcPr>
          <w:p>
            <w:pPr>
              <w:pStyle w:val="TableParagraph"/>
              <w:spacing w:line="234" w:lineRule="exact"/>
              <w:ind w:right="184"/>
              <w:jc w:val="right"/>
              <w:rPr>
                <w:sz w:val="22"/>
              </w:rPr>
            </w:pPr>
            <w:r>
              <w:rPr>
                <w:sz w:val="22"/>
              </w:rPr>
              <w:t>32303</w:t>
            </w:r>
          </w:p>
        </w:tc>
        <w:tc>
          <w:tcPr>
            <w:tcW w:w="946" w:type="dxa"/>
          </w:tcPr>
          <w:p>
            <w:pPr>
              <w:pStyle w:val="TableParagraph"/>
              <w:spacing w:line="234" w:lineRule="exact"/>
              <w:ind w:left="197"/>
              <w:rPr>
                <w:sz w:val="22"/>
              </w:rPr>
            </w:pPr>
            <w:r>
              <w:rPr>
                <w:sz w:val="22"/>
              </w:rPr>
              <w:t>33682</w:t>
            </w:r>
          </w:p>
        </w:tc>
        <w:tc>
          <w:tcPr>
            <w:tcW w:w="951" w:type="dxa"/>
          </w:tcPr>
          <w:p>
            <w:pPr>
              <w:pStyle w:val="TableParagraph"/>
              <w:spacing w:line="234" w:lineRule="exact"/>
              <w:ind w:left="202"/>
              <w:rPr>
                <w:sz w:val="22"/>
              </w:rPr>
            </w:pPr>
            <w:r>
              <w:rPr>
                <w:sz w:val="22"/>
              </w:rPr>
              <w:t>34137</w:t>
            </w:r>
          </w:p>
        </w:tc>
        <w:tc>
          <w:tcPr>
            <w:tcW w:w="946" w:type="dxa"/>
          </w:tcPr>
          <w:p>
            <w:pPr>
              <w:pStyle w:val="TableParagraph"/>
              <w:spacing w:line="234" w:lineRule="exact"/>
              <w:ind w:left="178" w:right="167"/>
              <w:jc w:val="center"/>
              <w:rPr>
                <w:sz w:val="22"/>
              </w:rPr>
            </w:pPr>
            <w:r>
              <w:rPr>
                <w:sz w:val="22"/>
              </w:rPr>
              <w:t>-31</w:t>
            </w:r>
          </w:p>
        </w:tc>
        <w:tc>
          <w:tcPr>
            <w:tcW w:w="1066" w:type="dxa"/>
          </w:tcPr>
          <w:p>
            <w:pPr>
              <w:pStyle w:val="TableParagraph"/>
              <w:spacing w:line="234" w:lineRule="exact"/>
              <w:ind w:left="323" w:right="308"/>
              <w:jc w:val="center"/>
              <w:rPr>
                <w:sz w:val="22"/>
              </w:rPr>
            </w:pPr>
            <w:r>
              <w:rPr>
                <w:sz w:val="22"/>
              </w:rPr>
              <w:t>99,9</w:t>
            </w:r>
          </w:p>
        </w:tc>
      </w:tr>
      <w:tr>
        <w:trPr>
          <w:trHeight w:val="254" w:hRule="atLeast"/>
        </w:trPr>
        <w:tc>
          <w:tcPr>
            <w:tcW w:w="2708" w:type="dxa"/>
          </w:tcPr>
          <w:p>
            <w:pPr>
              <w:pStyle w:val="TableParagraph"/>
              <w:spacing w:line="234" w:lineRule="exact"/>
              <w:ind w:left="110"/>
              <w:rPr>
                <w:sz w:val="22"/>
              </w:rPr>
            </w:pPr>
            <w:r>
              <w:rPr>
                <w:sz w:val="22"/>
              </w:rPr>
              <w:t>Державні піджприємства</w:t>
            </w:r>
          </w:p>
        </w:tc>
        <w:tc>
          <w:tcPr>
            <w:tcW w:w="965" w:type="dxa"/>
          </w:tcPr>
          <w:p>
            <w:pPr>
              <w:pStyle w:val="TableParagraph"/>
              <w:spacing w:line="234" w:lineRule="exact"/>
              <w:ind w:left="316"/>
              <w:rPr>
                <w:sz w:val="22"/>
              </w:rPr>
            </w:pPr>
            <w:r>
              <w:rPr>
                <w:sz w:val="22"/>
              </w:rPr>
              <w:t>269</w:t>
            </w:r>
          </w:p>
        </w:tc>
        <w:tc>
          <w:tcPr>
            <w:tcW w:w="946" w:type="dxa"/>
          </w:tcPr>
          <w:p>
            <w:pPr>
              <w:pStyle w:val="TableParagraph"/>
              <w:spacing w:line="234" w:lineRule="exact"/>
              <w:ind w:left="178" w:right="168"/>
              <w:jc w:val="center"/>
              <w:rPr>
                <w:sz w:val="22"/>
              </w:rPr>
            </w:pPr>
            <w:r>
              <w:rPr>
                <w:sz w:val="22"/>
              </w:rPr>
              <w:t>228</w:t>
            </w:r>
          </w:p>
        </w:tc>
        <w:tc>
          <w:tcPr>
            <w:tcW w:w="950" w:type="dxa"/>
          </w:tcPr>
          <w:p>
            <w:pPr>
              <w:pStyle w:val="TableParagraph"/>
              <w:spacing w:line="234" w:lineRule="exact"/>
              <w:ind w:left="312"/>
              <w:rPr>
                <w:sz w:val="22"/>
              </w:rPr>
            </w:pPr>
            <w:r>
              <w:rPr>
                <w:sz w:val="22"/>
              </w:rPr>
              <w:t>241</w:t>
            </w:r>
          </w:p>
        </w:tc>
        <w:tc>
          <w:tcPr>
            <w:tcW w:w="946" w:type="dxa"/>
          </w:tcPr>
          <w:p>
            <w:pPr>
              <w:pStyle w:val="TableParagraph"/>
              <w:spacing w:line="234" w:lineRule="exact"/>
              <w:ind w:left="308"/>
              <w:rPr>
                <w:sz w:val="22"/>
              </w:rPr>
            </w:pPr>
            <w:r>
              <w:rPr>
                <w:sz w:val="22"/>
              </w:rPr>
              <w:t>222</w:t>
            </w:r>
          </w:p>
        </w:tc>
        <w:tc>
          <w:tcPr>
            <w:tcW w:w="951" w:type="dxa"/>
          </w:tcPr>
          <w:p>
            <w:pPr>
              <w:pStyle w:val="TableParagraph"/>
              <w:spacing w:line="234" w:lineRule="exact"/>
              <w:ind w:left="312"/>
              <w:rPr>
                <w:sz w:val="22"/>
              </w:rPr>
            </w:pPr>
            <w:r>
              <w:rPr>
                <w:sz w:val="22"/>
              </w:rPr>
              <w:t>199</w:t>
            </w:r>
          </w:p>
        </w:tc>
        <w:tc>
          <w:tcPr>
            <w:tcW w:w="946" w:type="dxa"/>
          </w:tcPr>
          <w:p>
            <w:pPr>
              <w:pStyle w:val="TableParagraph"/>
              <w:spacing w:line="234" w:lineRule="exact"/>
              <w:ind w:left="178" w:right="167"/>
              <w:jc w:val="center"/>
              <w:rPr>
                <w:sz w:val="22"/>
              </w:rPr>
            </w:pPr>
            <w:r>
              <w:rPr>
                <w:sz w:val="22"/>
              </w:rPr>
              <w:t>-70</w:t>
            </w:r>
          </w:p>
        </w:tc>
        <w:tc>
          <w:tcPr>
            <w:tcW w:w="1066" w:type="dxa"/>
          </w:tcPr>
          <w:p>
            <w:pPr>
              <w:pStyle w:val="TableParagraph"/>
              <w:spacing w:line="234" w:lineRule="exact"/>
              <w:ind w:left="323" w:right="308"/>
              <w:jc w:val="center"/>
              <w:rPr>
                <w:sz w:val="22"/>
              </w:rPr>
            </w:pPr>
            <w:r>
              <w:rPr>
                <w:sz w:val="22"/>
              </w:rPr>
              <w:t>74,0</w:t>
            </w:r>
          </w:p>
        </w:tc>
      </w:tr>
      <w:tr>
        <w:trPr>
          <w:trHeight w:val="249" w:hRule="atLeast"/>
        </w:trPr>
        <w:tc>
          <w:tcPr>
            <w:tcW w:w="2708" w:type="dxa"/>
          </w:tcPr>
          <w:p>
            <w:pPr>
              <w:pStyle w:val="TableParagraph"/>
              <w:spacing w:line="229" w:lineRule="exact"/>
              <w:ind w:left="110"/>
              <w:rPr>
                <w:sz w:val="22"/>
              </w:rPr>
            </w:pPr>
            <w:r>
              <w:rPr>
                <w:sz w:val="22"/>
              </w:rPr>
              <w:t>Інші підприємства</w:t>
            </w:r>
          </w:p>
        </w:tc>
        <w:tc>
          <w:tcPr>
            <w:tcW w:w="965" w:type="dxa"/>
          </w:tcPr>
          <w:p>
            <w:pPr>
              <w:pStyle w:val="TableParagraph"/>
              <w:spacing w:line="229" w:lineRule="exact"/>
              <w:ind w:left="263"/>
              <w:rPr>
                <w:sz w:val="22"/>
              </w:rPr>
            </w:pPr>
            <w:r>
              <w:rPr>
                <w:sz w:val="22"/>
              </w:rPr>
              <w:t>1460</w:t>
            </w:r>
          </w:p>
        </w:tc>
        <w:tc>
          <w:tcPr>
            <w:tcW w:w="946" w:type="dxa"/>
          </w:tcPr>
          <w:p>
            <w:pPr>
              <w:pStyle w:val="TableParagraph"/>
              <w:spacing w:line="229" w:lineRule="exact"/>
              <w:ind w:left="178" w:right="168"/>
              <w:jc w:val="center"/>
              <w:rPr>
                <w:sz w:val="22"/>
              </w:rPr>
            </w:pPr>
            <w:r>
              <w:rPr>
                <w:sz w:val="22"/>
              </w:rPr>
              <w:t>691</w:t>
            </w:r>
          </w:p>
        </w:tc>
        <w:tc>
          <w:tcPr>
            <w:tcW w:w="950" w:type="dxa"/>
          </w:tcPr>
          <w:p>
            <w:pPr>
              <w:pStyle w:val="TableParagraph"/>
              <w:spacing w:line="229" w:lineRule="exact"/>
              <w:ind w:left="312"/>
              <w:rPr>
                <w:sz w:val="22"/>
              </w:rPr>
            </w:pPr>
            <w:r>
              <w:rPr>
                <w:sz w:val="22"/>
              </w:rPr>
              <w:t>891</w:t>
            </w:r>
          </w:p>
        </w:tc>
        <w:tc>
          <w:tcPr>
            <w:tcW w:w="946" w:type="dxa"/>
          </w:tcPr>
          <w:p>
            <w:pPr>
              <w:pStyle w:val="TableParagraph"/>
              <w:spacing w:line="229" w:lineRule="exact"/>
              <w:ind w:left="308"/>
              <w:rPr>
                <w:sz w:val="22"/>
              </w:rPr>
            </w:pPr>
            <w:r>
              <w:rPr>
                <w:sz w:val="22"/>
              </w:rPr>
              <w:t>603</w:t>
            </w:r>
          </w:p>
        </w:tc>
        <w:tc>
          <w:tcPr>
            <w:tcW w:w="951" w:type="dxa"/>
          </w:tcPr>
          <w:p>
            <w:pPr>
              <w:pStyle w:val="TableParagraph"/>
              <w:spacing w:line="229" w:lineRule="exact"/>
              <w:ind w:left="312"/>
              <w:rPr>
                <w:sz w:val="22"/>
              </w:rPr>
            </w:pPr>
            <w:r>
              <w:rPr>
                <w:sz w:val="22"/>
              </w:rPr>
              <w:t>592</w:t>
            </w:r>
          </w:p>
        </w:tc>
        <w:tc>
          <w:tcPr>
            <w:tcW w:w="946" w:type="dxa"/>
          </w:tcPr>
          <w:p>
            <w:pPr>
              <w:pStyle w:val="TableParagraph"/>
              <w:spacing w:line="229" w:lineRule="exact"/>
              <w:ind w:left="174" w:right="168"/>
              <w:jc w:val="center"/>
              <w:rPr>
                <w:sz w:val="22"/>
              </w:rPr>
            </w:pPr>
            <w:r>
              <w:rPr>
                <w:sz w:val="22"/>
              </w:rPr>
              <w:t>-868</w:t>
            </w:r>
          </w:p>
        </w:tc>
        <w:tc>
          <w:tcPr>
            <w:tcW w:w="1066" w:type="dxa"/>
          </w:tcPr>
          <w:p>
            <w:pPr>
              <w:pStyle w:val="TableParagraph"/>
              <w:spacing w:line="229" w:lineRule="exact"/>
              <w:ind w:left="323" w:right="308"/>
              <w:jc w:val="center"/>
              <w:rPr>
                <w:sz w:val="22"/>
              </w:rPr>
            </w:pPr>
            <w:r>
              <w:rPr>
                <w:sz w:val="22"/>
              </w:rPr>
              <w:t>40,5</w:t>
            </w:r>
          </w:p>
        </w:tc>
      </w:tr>
    </w:tbl>
    <w:p>
      <w:pPr>
        <w:spacing w:before="0"/>
        <w:ind w:left="193" w:right="0" w:firstLine="0"/>
        <w:jc w:val="left"/>
        <w:rPr>
          <w:i/>
          <w:sz w:val="24"/>
        </w:rPr>
      </w:pPr>
      <w:r>
        <w:rPr>
          <w:i/>
          <w:sz w:val="24"/>
        </w:rPr>
        <w:t>Складено автором на основі джерела [5]</w:t>
      </w:r>
    </w:p>
    <w:p>
      <w:pPr>
        <w:pStyle w:val="BodyText"/>
        <w:spacing w:before="3"/>
        <w:ind w:left="0"/>
        <w:jc w:val="left"/>
        <w:rPr>
          <w:i/>
        </w:rPr>
      </w:pPr>
    </w:p>
    <w:p>
      <w:pPr>
        <w:pStyle w:val="BodyText"/>
        <w:ind w:right="607" w:firstLine="710"/>
      </w:pPr>
      <w:r>
        <w:rPr/>
        <w:t>Найбільшу питому вагу займають серед усіх організаційно – правових форм господарювання фермерські господарства: у 2017 році 74,9 %; на другому місці</w:t>
      </w:r>
      <w:r>
        <w:rPr>
          <w:spacing w:val="-9"/>
        </w:rPr>
        <w:t> </w:t>
      </w:r>
      <w:r>
        <w:rPr/>
        <w:t>господарські</w:t>
      </w:r>
      <w:r>
        <w:rPr>
          <w:spacing w:val="-8"/>
        </w:rPr>
        <w:t> </w:t>
      </w:r>
      <w:r>
        <w:rPr/>
        <w:t>товариства</w:t>
      </w:r>
      <w:r>
        <w:rPr>
          <w:spacing w:val="3"/>
        </w:rPr>
        <w:t> </w:t>
      </w:r>
      <w:r>
        <w:rPr/>
        <w:t>–</w:t>
      </w:r>
      <w:r>
        <w:rPr>
          <w:spacing w:val="-3"/>
        </w:rPr>
        <w:t> </w:t>
      </w:r>
      <w:r>
        <w:rPr/>
        <w:t>15,3</w:t>
      </w:r>
      <w:r>
        <w:rPr>
          <w:spacing w:val="-3"/>
        </w:rPr>
        <w:t> </w:t>
      </w:r>
      <w:r>
        <w:rPr/>
        <w:t>%,</w:t>
      </w:r>
      <w:r>
        <w:rPr>
          <w:spacing w:val="-11"/>
        </w:rPr>
        <w:t> </w:t>
      </w:r>
      <w:r>
        <w:rPr/>
        <w:t>а</w:t>
      </w:r>
      <w:r>
        <w:rPr>
          <w:spacing w:val="-2"/>
        </w:rPr>
        <w:t> </w:t>
      </w:r>
      <w:r>
        <w:rPr/>
        <w:t>на</w:t>
      </w:r>
      <w:r>
        <w:rPr>
          <w:spacing w:val="-7"/>
        </w:rPr>
        <w:t> </w:t>
      </w:r>
      <w:r>
        <w:rPr/>
        <w:t>третьому</w:t>
      </w:r>
      <w:r>
        <w:rPr>
          <w:spacing w:val="-5"/>
        </w:rPr>
        <w:t> </w:t>
      </w:r>
      <w:r>
        <w:rPr/>
        <w:t>–</w:t>
      </w:r>
      <w:r>
        <w:rPr>
          <w:spacing w:val="-3"/>
        </w:rPr>
        <w:t> </w:t>
      </w:r>
      <w:r>
        <w:rPr/>
        <w:t>приватні</w:t>
      </w:r>
      <w:r>
        <w:rPr>
          <w:spacing w:val="-8"/>
        </w:rPr>
        <w:t> </w:t>
      </w:r>
      <w:r>
        <w:rPr/>
        <w:t>підприємства</w:t>
      </w:r>
      <w:r>
        <w:rPr>
          <w:spacing w:val="-2"/>
        </w:rPr>
        <w:t> </w:t>
      </w:r>
      <w:r>
        <w:rPr/>
        <w:t>– 7,1 %. У 2017 році проти 2015 року спостерігається збільшення кількості фермерських господарств на 1834 або </w:t>
      </w:r>
      <w:r>
        <w:rPr>
          <w:spacing w:val="2"/>
        </w:rPr>
        <w:t>5,7 </w:t>
      </w:r>
      <w:r>
        <w:rPr/>
        <w:t>%. В Одеській області у 2017 році в порівнянні</w:t>
      </w:r>
      <w:r>
        <w:rPr>
          <w:spacing w:val="14"/>
        </w:rPr>
        <w:t> </w:t>
      </w:r>
      <w:r>
        <w:rPr/>
        <w:t>з</w:t>
      </w:r>
      <w:r>
        <w:rPr>
          <w:spacing w:val="21"/>
        </w:rPr>
        <w:t> </w:t>
      </w:r>
      <w:r>
        <w:rPr/>
        <w:t>2015</w:t>
      </w:r>
      <w:r>
        <w:rPr>
          <w:spacing w:val="19"/>
        </w:rPr>
        <w:t> </w:t>
      </w:r>
      <w:r>
        <w:rPr/>
        <w:t>роком</w:t>
      </w:r>
      <w:r>
        <w:rPr>
          <w:spacing w:val="20"/>
        </w:rPr>
        <w:t> </w:t>
      </w:r>
      <w:r>
        <w:rPr/>
        <w:t>також</w:t>
      </w:r>
      <w:r>
        <w:rPr>
          <w:spacing w:val="20"/>
        </w:rPr>
        <w:t> </w:t>
      </w:r>
      <w:r>
        <w:rPr/>
        <w:t>відбулось</w:t>
      </w:r>
      <w:r>
        <w:rPr>
          <w:spacing w:val="17"/>
        </w:rPr>
        <w:t> </w:t>
      </w:r>
      <w:r>
        <w:rPr/>
        <w:t>скорочення</w:t>
      </w:r>
      <w:r>
        <w:rPr>
          <w:spacing w:val="21"/>
        </w:rPr>
        <w:t> </w:t>
      </w:r>
      <w:r>
        <w:rPr/>
        <w:t>кількості</w:t>
      </w:r>
      <w:r>
        <w:rPr>
          <w:spacing w:val="14"/>
        </w:rPr>
        <w:t> </w:t>
      </w:r>
      <w:r>
        <w:rPr/>
        <w:t>підприємств</w:t>
      </w:r>
      <w:r>
        <w:rPr>
          <w:spacing w:val="19"/>
        </w:rPr>
        <w:t> </w:t>
      </w:r>
      <w:r>
        <w:rPr/>
        <w:t>на</w:t>
      </w:r>
    </w:p>
    <w:p>
      <w:pPr>
        <w:pStyle w:val="BodyText"/>
        <w:spacing w:before="3"/>
        <w:ind w:right="615"/>
      </w:pPr>
      <w:r>
        <w:rPr/>
        <w:t>172 і становило 4813 усіх, що займались сільськогосподарською діяльністю (табл.3). Слід зазначити, що прослідковується тенденція збільшення кількості фермерських господарств в Одеській області на 38, а частка їх в загальній кількості зросла з 79,5 % до 83,1%.</w:t>
      </w:r>
    </w:p>
    <w:p>
      <w:pPr>
        <w:pStyle w:val="BodyText"/>
        <w:spacing w:after="5"/>
        <w:ind w:right="609" w:firstLine="710"/>
      </w:pPr>
      <w:r>
        <w:rPr/>
        <w:t>Таблиця 3. Кількість підприємств в Одеській області, які здійснювали с.-г. діяльність</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72"/>
        <w:gridCol w:w="1484"/>
        <w:gridCol w:w="1278"/>
        <w:gridCol w:w="1134"/>
        <w:gridCol w:w="1561"/>
      </w:tblGrid>
      <w:tr>
        <w:trPr>
          <w:trHeight w:val="504" w:hRule="atLeast"/>
        </w:trPr>
        <w:tc>
          <w:tcPr>
            <w:tcW w:w="4072" w:type="dxa"/>
          </w:tcPr>
          <w:p>
            <w:pPr>
              <w:pStyle w:val="TableParagraph"/>
              <w:spacing w:before="4"/>
              <w:rPr>
                <w:sz w:val="21"/>
              </w:rPr>
            </w:pPr>
          </w:p>
          <w:p>
            <w:pPr>
              <w:pStyle w:val="TableParagraph"/>
              <w:spacing w:line="238" w:lineRule="exact"/>
              <w:ind w:left="110"/>
              <w:rPr>
                <w:sz w:val="22"/>
              </w:rPr>
            </w:pPr>
            <w:r>
              <w:rPr>
                <w:sz w:val="22"/>
              </w:rPr>
              <w:t>Показники</w:t>
            </w:r>
          </w:p>
        </w:tc>
        <w:tc>
          <w:tcPr>
            <w:tcW w:w="1484" w:type="dxa"/>
          </w:tcPr>
          <w:p>
            <w:pPr>
              <w:pStyle w:val="TableParagraph"/>
              <w:spacing w:before="121"/>
              <w:ind w:left="422" w:right="407"/>
              <w:jc w:val="center"/>
              <w:rPr>
                <w:sz w:val="22"/>
              </w:rPr>
            </w:pPr>
            <w:r>
              <w:rPr>
                <w:sz w:val="22"/>
              </w:rPr>
              <w:t>2015р.</w:t>
            </w:r>
          </w:p>
        </w:tc>
        <w:tc>
          <w:tcPr>
            <w:tcW w:w="1278" w:type="dxa"/>
          </w:tcPr>
          <w:p>
            <w:pPr>
              <w:pStyle w:val="TableParagraph"/>
              <w:spacing w:before="121"/>
              <w:ind w:left="316" w:right="306"/>
              <w:jc w:val="center"/>
              <w:rPr>
                <w:sz w:val="22"/>
              </w:rPr>
            </w:pPr>
            <w:r>
              <w:rPr>
                <w:sz w:val="22"/>
              </w:rPr>
              <w:t>2016р.</w:t>
            </w:r>
          </w:p>
        </w:tc>
        <w:tc>
          <w:tcPr>
            <w:tcW w:w="1134" w:type="dxa"/>
          </w:tcPr>
          <w:p>
            <w:pPr>
              <w:pStyle w:val="TableParagraph"/>
              <w:spacing w:before="121"/>
              <w:ind w:left="244" w:right="235"/>
              <w:jc w:val="center"/>
              <w:rPr>
                <w:sz w:val="22"/>
              </w:rPr>
            </w:pPr>
            <w:r>
              <w:rPr>
                <w:sz w:val="22"/>
              </w:rPr>
              <w:t>2017р.</w:t>
            </w:r>
          </w:p>
        </w:tc>
        <w:tc>
          <w:tcPr>
            <w:tcW w:w="1561" w:type="dxa"/>
          </w:tcPr>
          <w:p>
            <w:pPr>
              <w:pStyle w:val="TableParagraph"/>
              <w:spacing w:line="250" w:lineRule="exact" w:before="1"/>
              <w:ind w:left="247" w:right="225" w:firstLine="91"/>
              <w:rPr>
                <w:sz w:val="22"/>
              </w:rPr>
            </w:pPr>
            <w:r>
              <w:rPr>
                <w:sz w:val="22"/>
              </w:rPr>
              <w:t>2017р. до 2015р. (+,-)</w:t>
            </w:r>
          </w:p>
        </w:tc>
      </w:tr>
      <w:tr>
        <w:trPr>
          <w:trHeight w:val="253" w:hRule="atLeast"/>
        </w:trPr>
        <w:tc>
          <w:tcPr>
            <w:tcW w:w="4072" w:type="dxa"/>
          </w:tcPr>
          <w:p>
            <w:pPr>
              <w:pStyle w:val="TableParagraph"/>
              <w:spacing w:line="234" w:lineRule="exact"/>
              <w:ind w:left="110"/>
              <w:rPr>
                <w:sz w:val="22"/>
              </w:rPr>
            </w:pPr>
            <w:r>
              <w:rPr>
                <w:sz w:val="22"/>
              </w:rPr>
              <w:t>Всього підприємств</w:t>
            </w:r>
          </w:p>
        </w:tc>
        <w:tc>
          <w:tcPr>
            <w:tcW w:w="1484" w:type="dxa"/>
          </w:tcPr>
          <w:p>
            <w:pPr>
              <w:pStyle w:val="TableParagraph"/>
              <w:spacing w:line="234" w:lineRule="exact"/>
              <w:ind w:left="421" w:right="407"/>
              <w:jc w:val="center"/>
              <w:rPr>
                <w:sz w:val="22"/>
              </w:rPr>
            </w:pPr>
            <w:r>
              <w:rPr>
                <w:sz w:val="22"/>
              </w:rPr>
              <w:t>4985</w:t>
            </w:r>
          </w:p>
        </w:tc>
        <w:tc>
          <w:tcPr>
            <w:tcW w:w="1278" w:type="dxa"/>
          </w:tcPr>
          <w:p>
            <w:pPr>
              <w:pStyle w:val="TableParagraph"/>
              <w:spacing w:line="234" w:lineRule="exact"/>
              <w:ind w:left="314" w:right="306"/>
              <w:jc w:val="center"/>
              <w:rPr>
                <w:sz w:val="22"/>
              </w:rPr>
            </w:pPr>
            <w:r>
              <w:rPr>
                <w:sz w:val="22"/>
              </w:rPr>
              <w:t>5107</w:t>
            </w:r>
          </w:p>
        </w:tc>
        <w:tc>
          <w:tcPr>
            <w:tcW w:w="1134" w:type="dxa"/>
          </w:tcPr>
          <w:p>
            <w:pPr>
              <w:pStyle w:val="TableParagraph"/>
              <w:spacing w:line="234" w:lineRule="exact"/>
              <w:ind w:left="242" w:right="235"/>
              <w:jc w:val="center"/>
              <w:rPr>
                <w:sz w:val="22"/>
              </w:rPr>
            </w:pPr>
            <w:r>
              <w:rPr>
                <w:sz w:val="22"/>
              </w:rPr>
              <w:t>4813</w:t>
            </w:r>
          </w:p>
        </w:tc>
        <w:tc>
          <w:tcPr>
            <w:tcW w:w="1561" w:type="dxa"/>
          </w:tcPr>
          <w:p>
            <w:pPr>
              <w:pStyle w:val="TableParagraph"/>
              <w:spacing w:line="234" w:lineRule="exact"/>
              <w:ind w:left="531" w:right="521"/>
              <w:jc w:val="center"/>
              <w:rPr>
                <w:sz w:val="22"/>
              </w:rPr>
            </w:pPr>
            <w:r>
              <w:rPr>
                <w:sz w:val="22"/>
              </w:rPr>
              <w:t>-172</w:t>
            </w:r>
          </w:p>
        </w:tc>
      </w:tr>
      <w:tr>
        <w:trPr>
          <w:trHeight w:val="253" w:hRule="atLeast"/>
        </w:trPr>
        <w:tc>
          <w:tcPr>
            <w:tcW w:w="4072" w:type="dxa"/>
          </w:tcPr>
          <w:p>
            <w:pPr>
              <w:pStyle w:val="TableParagraph"/>
              <w:spacing w:line="234" w:lineRule="exact"/>
              <w:ind w:left="110"/>
              <w:rPr>
                <w:sz w:val="22"/>
              </w:rPr>
            </w:pPr>
            <w:r>
              <w:rPr>
                <w:sz w:val="22"/>
              </w:rPr>
              <w:t>З них фермерські господарства</w:t>
            </w:r>
          </w:p>
        </w:tc>
        <w:tc>
          <w:tcPr>
            <w:tcW w:w="1484" w:type="dxa"/>
          </w:tcPr>
          <w:p>
            <w:pPr>
              <w:pStyle w:val="TableParagraph"/>
              <w:spacing w:line="234" w:lineRule="exact"/>
              <w:ind w:left="421" w:right="407"/>
              <w:jc w:val="center"/>
              <w:rPr>
                <w:sz w:val="22"/>
              </w:rPr>
            </w:pPr>
            <w:r>
              <w:rPr>
                <w:sz w:val="22"/>
              </w:rPr>
              <w:t>3963</w:t>
            </w:r>
          </w:p>
        </w:tc>
        <w:tc>
          <w:tcPr>
            <w:tcW w:w="1278" w:type="dxa"/>
          </w:tcPr>
          <w:p>
            <w:pPr>
              <w:pStyle w:val="TableParagraph"/>
              <w:spacing w:line="234" w:lineRule="exact"/>
              <w:ind w:left="314" w:right="306"/>
              <w:jc w:val="center"/>
              <w:rPr>
                <w:sz w:val="22"/>
              </w:rPr>
            </w:pPr>
            <w:r>
              <w:rPr>
                <w:sz w:val="22"/>
              </w:rPr>
              <w:t>3966</w:t>
            </w:r>
          </w:p>
        </w:tc>
        <w:tc>
          <w:tcPr>
            <w:tcW w:w="1134" w:type="dxa"/>
          </w:tcPr>
          <w:p>
            <w:pPr>
              <w:pStyle w:val="TableParagraph"/>
              <w:spacing w:line="234" w:lineRule="exact"/>
              <w:ind w:left="242" w:right="235"/>
              <w:jc w:val="center"/>
              <w:rPr>
                <w:sz w:val="22"/>
              </w:rPr>
            </w:pPr>
            <w:r>
              <w:rPr>
                <w:sz w:val="22"/>
              </w:rPr>
              <w:t>4001</w:t>
            </w:r>
          </w:p>
        </w:tc>
        <w:tc>
          <w:tcPr>
            <w:tcW w:w="1561" w:type="dxa"/>
          </w:tcPr>
          <w:p>
            <w:pPr>
              <w:pStyle w:val="TableParagraph"/>
              <w:spacing w:line="234" w:lineRule="exact"/>
              <w:ind w:left="531" w:right="521"/>
              <w:jc w:val="center"/>
              <w:rPr>
                <w:sz w:val="22"/>
              </w:rPr>
            </w:pPr>
            <w:r>
              <w:rPr>
                <w:sz w:val="22"/>
              </w:rPr>
              <w:t>38</w:t>
            </w:r>
          </w:p>
        </w:tc>
      </w:tr>
      <w:tr>
        <w:trPr>
          <w:trHeight w:val="254" w:hRule="atLeast"/>
        </w:trPr>
        <w:tc>
          <w:tcPr>
            <w:tcW w:w="4072" w:type="dxa"/>
          </w:tcPr>
          <w:p>
            <w:pPr>
              <w:pStyle w:val="TableParagraph"/>
              <w:spacing w:line="234" w:lineRule="exact"/>
              <w:ind w:left="110"/>
              <w:rPr>
                <w:sz w:val="22"/>
              </w:rPr>
            </w:pPr>
            <w:r>
              <w:rPr>
                <w:sz w:val="22"/>
              </w:rPr>
              <w:t>Частка фермерських господарств, %</w:t>
            </w:r>
          </w:p>
        </w:tc>
        <w:tc>
          <w:tcPr>
            <w:tcW w:w="1484" w:type="dxa"/>
          </w:tcPr>
          <w:p>
            <w:pPr>
              <w:pStyle w:val="TableParagraph"/>
              <w:spacing w:line="234" w:lineRule="exact"/>
              <w:ind w:left="422" w:right="404"/>
              <w:jc w:val="center"/>
              <w:rPr>
                <w:sz w:val="22"/>
              </w:rPr>
            </w:pPr>
            <w:r>
              <w:rPr>
                <w:sz w:val="22"/>
              </w:rPr>
              <w:t>79,5</w:t>
            </w:r>
          </w:p>
        </w:tc>
        <w:tc>
          <w:tcPr>
            <w:tcW w:w="1278" w:type="dxa"/>
          </w:tcPr>
          <w:p>
            <w:pPr>
              <w:pStyle w:val="TableParagraph"/>
              <w:spacing w:line="234" w:lineRule="exact"/>
              <w:ind w:left="316" w:right="304"/>
              <w:jc w:val="center"/>
              <w:rPr>
                <w:sz w:val="22"/>
              </w:rPr>
            </w:pPr>
            <w:r>
              <w:rPr>
                <w:sz w:val="22"/>
              </w:rPr>
              <w:t>77,7</w:t>
            </w:r>
          </w:p>
        </w:tc>
        <w:tc>
          <w:tcPr>
            <w:tcW w:w="1134" w:type="dxa"/>
          </w:tcPr>
          <w:p>
            <w:pPr>
              <w:pStyle w:val="TableParagraph"/>
              <w:spacing w:line="234" w:lineRule="exact"/>
              <w:ind w:left="244" w:right="233"/>
              <w:jc w:val="center"/>
              <w:rPr>
                <w:sz w:val="22"/>
              </w:rPr>
            </w:pPr>
            <w:r>
              <w:rPr>
                <w:sz w:val="22"/>
              </w:rPr>
              <w:t>83,1</w:t>
            </w:r>
          </w:p>
        </w:tc>
        <w:tc>
          <w:tcPr>
            <w:tcW w:w="1561" w:type="dxa"/>
          </w:tcPr>
          <w:p>
            <w:pPr>
              <w:pStyle w:val="TableParagraph"/>
              <w:spacing w:line="234" w:lineRule="exact"/>
              <w:ind w:left="531" w:right="521"/>
              <w:jc w:val="center"/>
              <w:rPr>
                <w:sz w:val="22"/>
              </w:rPr>
            </w:pPr>
            <w:r>
              <w:rPr>
                <w:sz w:val="22"/>
              </w:rPr>
              <w:t>-22,1</w:t>
            </w:r>
          </w:p>
        </w:tc>
      </w:tr>
    </w:tbl>
    <w:p>
      <w:pPr>
        <w:spacing w:before="0"/>
        <w:ind w:left="193" w:right="0" w:firstLine="0"/>
        <w:jc w:val="left"/>
        <w:rPr>
          <w:i/>
          <w:sz w:val="24"/>
        </w:rPr>
      </w:pPr>
      <w:r>
        <w:rPr>
          <w:i/>
          <w:sz w:val="24"/>
        </w:rPr>
        <w:t>Складено автором на основі джерела [5]</w:t>
      </w:r>
    </w:p>
    <w:p>
      <w:pPr>
        <w:pStyle w:val="BodyText"/>
        <w:spacing w:before="9"/>
        <w:ind w:left="0"/>
        <w:jc w:val="left"/>
        <w:rPr>
          <w:i/>
          <w:sz w:val="27"/>
        </w:rPr>
      </w:pPr>
    </w:p>
    <w:p>
      <w:pPr>
        <w:pStyle w:val="BodyText"/>
        <w:spacing w:line="244" w:lineRule="auto" w:before="1"/>
        <w:ind w:right="620" w:firstLine="710"/>
      </w:pPr>
      <w:r>
        <w:rPr/>
        <w:t>Валова</w:t>
      </w:r>
      <w:r>
        <w:rPr>
          <w:spacing w:val="-22"/>
        </w:rPr>
        <w:t> </w:t>
      </w:r>
      <w:r>
        <w:rPr/>
        <w:t>продукція</w:t>
      </w:r>
      <w:r>
        <w:rPr>
          <w:spacing w:val="-20"/>
        </w:rPr>
        <w:t> </w:t>
      </w:r>
      <w:r>
        <w:rPr/>
        <w:t>є</w:t>
      </w:r>
      <w:r>
        <w:rPr>
          <w:spacing w:val="-22"/>
        </w:rPr>
        <w:t> </w:t>
      </w:r>
      <w:r>
        <w:rPr/>
        <w:t>кінцевим</w:t>
      </w:r>
      <w:r>
        <w:rPr>
          <w:spacing w:val="-21"/>
        </w:rPr>
        <w:t> </w:t>
      </w:r>
      <w:r>
        <w:rPr/>
        <w:t>показником</w:t>
      </w:r>
      <w:r>
        <w:rPr>
          <w:spacing w:val="-18"/>
        </w:rPr>
        <w:t> </w:t>
      </w:r>
      <w:r>
        <w:rPr/>
        <w:t>діяльності</w:t>
      </w:r>
      <w:r>
        <w:rPr>
          <w:spacing w:val="-26"/>
        </w:rPr>
        <w:t> </w:t>
      </w:r>
      <w:r>
        <w:rPr/>
        <w:t>аграрних</w:t>
      </w:r>
      <w:r>
        <w:rPr>
          <w:spacing w:val="-27"/>
        </w:rPr>
        <w:t> </w:t>
      </w:r>
      <w:r>
        <w:rPr/>
        <w:t>підприємств. За</w:t>
      </w:r>
      <w:r>
        <w:rPr>
          <w:spacing w:val="11"/>
        </w:rPr>
        <w:t> </w:t>
      </w:r>
      <w:r>
        <w:rPr/>
        <w:t>останні</w:t>
      </w:r>
      <w:r>
        <w:rPr>
          <w:spacing w:val="7"/>
        </w:rPr>
        <w:t> </w:t>
      </w:r>
      <w:r>
        <w:rPr/>
        <w:t>17</w:t>
      </w:r>
      <w:r>
        <w:rPr>
          <w:spacing w:val="11"/>
        </w:rPr>
        <w:t> </w:t>
      </w:r>
      <w:r>
        <w:rPr/>
        <w:t>років</w:t>
      </w:r>
      <w:r>
        <w:rPr>
          <w:spacing w:val="10"/>
        </w:rPr>
        <w:t> </w:t>
      </w:r>
      <w:r>
        <w:rPr/>
        <w:t>в</w:t>
      </w:r>
      <w:r>
        <w:rPr>
          <w:spacing w:val="10"/>
        </w:rPr>
        <w:t> </w:t>
      </w:r>
      <w:r>
        <w:rPr/>
        <w:t>Україні</w:t>
      </w:r>
      <w:r>
        <w:rPr>
          <w:spacing w:val="7"/>
        </w:rPr>
        <w:t> </w:t>
      </w:r>
      <w:r>
        <w:rPr/>
        <w:t>спостерігається</w:t>
      </w:r>
      <w:r>
        <w:rPr>
          <w:spacing w:val="12"/>
        </w:rPr>
        <w:t> </w:t>
      </w:r>
      <w:r>
        <w:rPr/>
        <w:t>зростання</w:t>
      </w:r>
      <w:r>
        <w:rPr>
          <w:spacing w:val="12"/>
        </w:rPr>
        <w:t> </w:t>
      </w:r>
      <w:r>
        <w:rPr/>
        <w:t>отриманої</w:t>
      </w:r>
      <w:r>
        <w:rPr>
          <w:spacing w:val="11"/>
        </w:rPr>
        <w:t> </w:t>
      </w:r>
      <w:r>
        <w:rPr/>
        <w:t>усієї</w:t>
      </w:r>
      <w:r>
        <w:rPr>
          <w:spacing w:val="6"/>
        </w:rPr>
        <w:t> </w:t>
      </w:r>
      <w:r>
        <w:rPr/>
        <w:t>валової</w:t>
      </w:r>
    </w:p>
    <w:p>
      <w:pPr>
        <w:spacing w:after="0" w:line="244" w:lineRule="auto"/>
        <w:sectPr>
          <w:pgSz w:w="11910" w:h="16840"/>
          <w:pgMar w:header="713" w:footer="778" w:top="1140" w:bottom="960" w:left="940" w:right="520"/>
        </w:sectPr>
      </w:pPr>
    </w:p>
    <w:p>
      <w:pPr>
        <w:pStyle w:val="BodyText"/>
        <w:spacing w:before="92"/>
        <w:ind w:right="616"/>
      </w:pPr>
      <w:r>
        <w:rPr/>
        <w:t>продукції</w:t>
      </w:r>
      <w:r>
        <w:rPr>
          <w:spacing w:val="-17"/>
        </w:rPr>
        <w:t> </w:t>
      </w:r>
      <w:r>
        <w:rPr/>
        <w:t>сільського</w:t>
      </w:r>
      <w:r>
        <w:rPr>
          <w:spacing w:val="-11"/>
        </w:rPr>
        <w:t> </w:t>
      </w:r>
      <w:r>
        <w:rPr/>
        <w:t>господарства</w:t>
      </w:r>
      <w:r>
        <w:rPr>
          <w:spacing w:val="-10"/>
        </w:rPr>
        <w:t> </w:t>
      </w:r>
      <w:r>
        <w:rPr/>
        <w:t>в</w:t>
      </w:r>
      <w:r>
        <w:rPr>
          <w:spacing w:val="-13"/>
        </w:rPr>
        <w:t> </w:t>
      </w:r>
      <w:r>
        <w:rPr/>
        <w:t>співставних</w:t>
      </w:r>
      <w:r>
        <w:rPr>
          <w:spacing w:val="-16"/>
        </w:rPr>
        <w:t> </w:t>
      </w:r>
      <w:r>
        <w:rPr/>
        <w:t>цінах</w:t>
      </w:r>
      <w:r>
        <w:rPr>
          <w:spacing w:val="-16"/>
        </w:rPr>
        <w:t> </w:t>
      </w:r>
      <w:r>
        <w:rPr/>
        <w:t>2010</w:t>
      </w:r>
      <w:r>
        <w:rPr>
          <w:spacing w:val="-11"/>
        </w:rPr>
        <w:t> </w:t>
      </w:r>
      <w:r>
        <w:rPr/>
        <w:t>р.</w:t>
      </w:r>
      <w:r>
        <w:rPr>
          <w:spacing w:val="-5"/>
        </w:rPr>
        <w:t> </w:t>
      </w:r>
      <w:r>
        <w:rPr/>
        <w:t>у</w:t>
      </w:r>
      <w:r>
        <w:rPr>
          <w:spacing w:val="-15"/>
        </w:rPr>
        <w:t> </w:t>
      </w:r>
      <w:r>
        <w:rPr/>
        <w:t>2,4</w:t>
      </w:r>
      <w:r>
        <w:rPr>
          <w:spacing w:val="-11"/>
        </w:rPr>
        <w:t> </w:t>
      </w:r>
      <w:r>
        <w:rPr/>
        <w:t>рази</w:t>
      </w:r>
      <w:r>
        <w:rPr>
          <w:spacing w:val="-12"/>
        </w:rPr>
        <w:t> </w:t>
      </w:r>
      <w:r>
        <w:rPr/>
        <w:t>(табл.4). В розрізі галузей також слід відмітити зростання валової продукції крім виробництва кормів та молока. У 2017 році в порівнянні </w:t>
      </w:r>
      <w:r>
        <w:rPr>
          <w:spacing w:val="-3"/>
        </w:rPr>
        <w:t>із </w:t>
      </w:r>
      <w:r>
        <w:rPr/>
        <w:t>2015 роком валова продукція зросла на 6,5 %, але зменшилась проти 2016 року на 3,2 % і</w:t>
      </w:r>
      <w:r>
        <w:rPr>
          <w:spacing w:val="-44"/>
        </w:rPr>
        <w:t> </w:t>
      </w:r>
      <w:r>
        <w:rPr/>
        <w:t>відбулось дане зростання за рахунок збільшення валової продукції рослинництва відповідно на 9,1 %. Негативним явищем є зменшення виробництва продукції: плодів, ягід та винограду на 3,1 %, кормів на 5,1 %, молока на 3,2 % та яєць на 7,6 %.</w:t>
      </w:r>
    </w:p>
    <w:p>
      <w:pPr>
        <w:pStyle w:val="BodyText"/>
        <w:spacing w:before="2" w:after="7"/>
        <w:ind w:right="612" w:firstLine="710"/>
      </w:pPr>
      <w:r>
        <w:rPr/>
        <w:t>Таблиця 4. Валова продукція сільського господарства с.-г. підприємств України у постійних цінах 2010 р., млн. грн.</w:t>
      </w: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7"/>
        <w:gridCol w:w="528"/>
        <w:gridCol w:w="1138"/>
        <w:gridCol w:w="1133"/>
        <w:gridCol w:w="1133"/>
        <w:gridCol w:w="1133"/>
        <w:gridCol w:w="1278"/>
        <w:gridCol w:w="1278"/>
      </w:tblGrid>
      <w:tr>
        <w:trPr>
          <w:trHeight w:val="503" w:hRule="atLeast"/>
        </w:trPr>
        <w:tc>
          <w:tcPr>
            <w:tcW w:w="2425" w:type="dxa"/>
            <w:gridSpan w:val="2"/>
          </w:tcPr>
          <w:p>
            <w:pPr>
              <w:pStyle w:val="TableParagraph"/>
              <w:rPr>
                <w:sz w:val="26"/>
              </w:rPr>
            </w:pPr>
          </w:p>
        </w:tc>
        <w:tc>
          <w:tcPr>
            <w:tcW w:w="1138" w:type="dxa"/>
          </w:tcPr>
          <w:p>
            <w:pPr>
              <w:pStyle w:val="TableParagraph"/>
              <w:spacing w:before="121"/>
              <w:ind w:left="186" w:right="180"/>
              <w:jc w:val="center"/>
              <w:rPr>
                <w:sz w:val="22"/>
              </w:rPr>
            </w:pPr>
            <w:r>
              <w:rPr>
                <w:sz w:val="22"/>
              </w:rPr>
              <w:t>2000 р.</w:t>
            </w:r>
          </w:p>
        </w:tc>
        <w:tc>
          <w:tcPr>
            <w:tcW w:w="1133" w:type="dxa"/>
          </w:tcPr>
          <w:p>
            <w:pPr>
              <w:pStyle w:val="TableParagraph"/>
              <w:spacing w:before="121"/>
              <w:ind w:right="230"/>
              <w:jc w:val="right"/>
              <w:rPr>
                <w:sz w:val="22"/>
              </w:rPr>
            </w:pPr>
            <w:r>
              <w:rPr>
                <w:sz w:val="22"/>
              </w:rPr>
              <w:t>2015 р.</w:t>
            </w:r>
          </w:p>
        </w:tc>
        <w:tc>
          <w:tcPr>
            <w:tcW w:w="1133" w:type="dxa"/>
          </w:tcPr>
          <w:p>
            <w:pPr>
              <w:pStyle w:val="TableParagraph"/>
              <w:spacing w:before="121"/>
              <w:ind w:left="235"/>
              <w:rPr>
                <w:sz w:val="22"/>
              </w:rPr>
            </w:pPr>
            <w:r>
              <w:rPr>
                <w:sz w:val="22"/>
              </w:rPr>
              <w:t>2016 р.</w:t>
            </w:r>
          </w:p>
        </w:tc>
        <w:tc>
          <w:tcPr>
            <w:tcW w:w="1133" w:type="dxa"/>
          </w:tcPr>
          <w:p>
            <w:pPr>
              <w:pStyle w:val="TableParagraph"/>
              <w:spacing w:before="121"/>
              <w:ind w:left="133" w:right="121"/>
              <w:jc w:val="center"/>
              <w:rPr>
                <w:sz w:val="22"/>
              </w:rPr>
            </w:pPr>
            <w:r>
              <w:rPr>
                <w:sz w:val="22"/>
              </w:rPr>
              <w:t>2017 р.</w:t>
            </w:r>
          </w:p>
        </w:tc>
        <w:tc>
          <w:tcPr>
            <w:tcW w:w="1278" w:type="dxa"/>
          </w:tcPr>
          <w:p>
            <w:pPr>
              <w:pStyle w:val="TableParagraph"/>
              <w:spacing w:line="250" w:lineRule="exact" w:before="1"/>
              <w:ind w:left="192" w:right="157" w:firstLine="9"/>
              <w:rPr>
                <w:sz w:val="22"/>
              </w:rPr>
            </w:pPr>
            <w:r>
              <w:rPr>
                <w:sz w:val="22"/>
              </w:rPr>
              <w:t>2017р. до 2015р., %</w:t>
            </w:r>
          </w:p>
        </w:tc>
        <w:tc>
          <w:tcPr>
            <w:tcW w:w="1278" w:type="dxa"/>
            <w:tcBorders>
              <w:right w:val="single" w:sz="6" w:space="0" w:color="000000"/>
            </w:tcBorders>
          </w:tcPr>
          <w:p>
            <w:pPr>
              <w:pStyle w:val="TableParagraph"/>
              <w:spacing w:line="250" w:lineRule="exact" w:before="1"/>
              <w:ind w:left="191" w:right="156" w:firstLine="9"/>
              <w:rPr>
                <w:sz w:val="22"/>
              </w:rPr>
            </w:pPr>
            <w:r>
              <w:rPr>
                <w:sz w:val="22"/>
              </w:rPr>
              <w:t>2017р. до 2000р., %</w:t>
            </w:r>
          </w:p>
        </w:tc>
      </w:tr>
      <w:tr>
        <w:trPr>
          <w:trHeight w:val="508" w:hRule="atLeast"/>
        </w:trPr>
        <w:tc>
          <w:tcPr>
            <w:tcW w:w="2425" w:type="dxa"/>
            <w:gridSpan w:val="2"/>
          </w:tcPr>
          <w:p>
            <w:pPr>
              <w:pStyle w:val="TableParagraph"/>
              <w:tabs>
                <w:tab w:pos="1333" w:val="left" w:leader="none"/>
              </w:tabs>
              <w:spacing w:line="249" w:lineRule="exact"/>
              <w:ind w:left="110"/>
              <w:rPr>
                <w:sz w:val="22"/>
              </w:rPr>
            </w:pPr>
            <w:r>
              <w:rPr>
                <w:sz w:val="22"/>
              </w:rPr>
              <w:t>Продукція</w:t>
              <w:tab/>
              <w:t>сільського</w:t>
            </w:r>
          </w:p>
          <w:p>
            <w:pPr>
              <w:pStyle w:val="TableParagraph"/>
              <w:spacing w:line="238" w:lineRule="exact" w:before="1"/>
              <w:ind w:left="110"/>
              <w:rPr>
                <w:sz w:val="22"/>
              </w:rPr>
            </w:pPr>
            <w:r>
              <w:rPr>
                <w:sz w:val="22"/>
              </w:rPr>
              <w:t>господарства</w:t>
            </w:r>
          </w:p>
        </w:tc>
        <w:tc>
          <w:tcPr>
            <w:tcW w:w="1138" w:type="dxa"/>
          </w:tcPr>
          <w:p>
            <w:pPr>
              <w:pStyle w:val="TableParagraph"/>
              <w:spacing w:before="125"/>
              <w:ind w:left="193" w:right="180"/>
              <w:jc w:val="center"/>
              <w:rPr>
                <w:sz w:val="22"/>
              </w:rPr>
            </w:pPr>
            <w:r>
              <w:rPr>
                <w:sz w:val="22"/>
              </w:rPr>
              <w:t>57997,7</w:t>
            </w:r>
          </w:p>
        </w:tc>
        <w:tc>
          <w:tcPr>
            <w:tcW w:w="1133" w:type="dxa"/>
          </w:tcPr>
          <w:p>
            <w:pPr>
              <w:pStyle w:val="TableParagraph"/>
              <w:spacing w:before="125"/>
              <w:ind w:right="142"/>
              <w:jc w:val="right"/>
              <w:rPr>
                <w:sz w:val="22"/>
              </w:rPr>
            </w:pPr>
            <w:r>
              <w:rPr>
                <w:sz w:val="22"/>
              </w:rPr>
              <w:t>131918,6</w:t>
            </w:r>
          </w:p>
        </w:tc>
        <w:tc>
          <w:tcPr>
            <w:tcW w:w="1133" w:type="dxa"/>
          </w:tcPr>
          <w:p>
            <w:pPr>
              <w:pStyle w:val="TableParagraph"/>
              <w:spacing w:before="125"/>
              <w:ind w:left="235"/>
              <w:rPr>
                <w:sz w:val="22"/>
              </w:rPr>
            </w:pPr>
            <w:r>
              <w:rPr>
                <w:sz w:val="22"/>
              </w:rPr>
              <w:t>145119</w:t>
            </w:r>
          </w:p>
        </w:tc>
        <w:tc>
          <w:tcPr>
            <w:tcW w:w="1133" w:type="dxa"/>
          </w:tcPr>
          <w:p>
            <w:pPr>
              <w:pStyle w:val="TableParagraph"/>
              <w:spacing w:before="125"/>
              <w:ind w:left="136" w:right="121"/>
              <w:jc w:val="center"/>
              <w:rPr>
                <w:sz w:val="22"/>
              </w:rPr>
            </w:pPr>
            <w:r>
              <w:rPr>
                <w:sz w:val="22"/>
              </w:rPr>
              <w:t>140535,2</w:t>
            </w:r>
          </w:p>
        </w:tc>
        <w:tc>
          <w:tcPr>
            <w:tcW w:w="1278" w:type="dxa"/>
          </w:tcPr>
          <w:p>
            <w:pPr>
              <w:pStyle w:val="TableParagraph"/>
              <w:spacing w:before="125"/>
              <w:ind w:left="316" w:right="297"/>
              <w:jc w:val="center"/>
              <w:rPr>
                <w:sz w:val="22"/>
              </w:rPr>
            </w:pPr>
            <w:r>
              <w:rPr>
                <w:sz w:val="22"/>
              </w:rPr>
              <w:t>106,5</w:t>
            </w:r>
          </w:p>
        </w:tc>
        <w:tc>
          <w:tcPr>
            <w:tcW w:w="1278" w:type="dxa"/>
            <w:tcBorders>
              <w:right w:val="single" w:sz="6" w:space="0" w:color="000000"/>
            </w:tcBorders>
          </w:tcPr>
          <w:p>
            <w:pPr>
              <w:pStyle w:val="TableParagraph"/>
              <w:spacing w:before="125"/>
              <w:ind w:left="268" w:right="251"/>
              <w:jc w:val="center"/>
              <w:rPr>
                <w:sz w:val="22"/>
              </w:rPr>
            </w:pPr>
            <w:r>
              <w:rPr>
                <w:sz w:val="22"/>
              </w:rPr>
              <w:t>У 2,4 р.</w:t>
            </w:r>
          </w:p>
        </w:tc>
      </w:tr>
      <w:tr>
        <w:trPr>
          <w:trHeight w:val="254" w:hRule="atLeast"/>
        </w:trPr>
        <w:tc>
          <w:tcPr>
            <w:tcW w:w="2425" w:type="dxa"/>
            <w:gridSpan w:val="2"/>
          </w:tcPr>
          <w:p>
            <w:pPr>
              <w:pStyle w:val="TableParagraph"/>
              <w:spacing w:line="234" w:lineRule="exact"/>
              <w:ind w:left="110"/>
              <w:rPr>
                <w:sz w:val="22"/>
              </w:rPr>
            </w:pPr>
            <w:r>
              <w:rPr>
                <w:sz w:val="22"/>
              </w:rPr>
              <w:t>рослинництва</w:t>
            </w:r>
          </w:p>
        </w:tc>
        <w:tc>
          <w:tcPr>
            <w:tcW w:w="1138" w:type="dxa"/>
          </w:tcPr>
          <w:p>
            <w:pPr>
              <w:pStyle w:val="TableParagraph"/>
              <w:spacing w:line="234" w:lineRule="exact"/>
              <w:ind w:left="189" w:right="180"/>
              <w:jc w:val="center"/>
              <w:rPr>
                <w:sz w:val="22"/>
              </w:rPr>
            </w:pPr>
            <w:r>
              <w:rPr>
                <w:sz w:val="22"/>
              </w:rPr>
              <w:t>45791</w:t>
            </w:r>
          </w:p>
        </w:tc>
        <w:tc>
          <w:tcPr>
            <w:tcW w:w="1133" w:type="dxa"/>
          </w:tcPr>
          <w:p>
            <w:pPr>
              <w:pStyle w:val="TableParagraph"/>
              <w:spacing w:line="234" w:lineRule="exact"/>
              <w:ind w:right="194"/>
              <w:jc w:val="right"/>
              <w:rPr>
                <w:sz w:val="22"/>
              </w:rPr>
            </w:pPr>
            <w:r>
              <w:rPr>
                <w:sz w:val="22"/>
              </w:rPr>
              <w:t>99584,7</w:t>
            </w:r>
          </w:p>
        </w:tc>
        <w:tc>
          <w:tcPr>
            <w:tcW w:w="1133" w:type="dxa"/>
          </w:tcPr>
          <w:p>
            <w:pPr>
              <w:pStyle w:val="TableParagraph"/>
              <w:spacing w:line="234" w:lineRule="exact"/>
              <w:ind w:left="148"/>
              <w:rPr>
                <w:sz w:val="22"/>
              </w:rPr>
            </w:pPr>
            <w:r>
              <w:rPr>
                <w:sz w:val="22"/>
              </w:rPr>
              <w:t>113392,6</w:t>
            </w:r>
          </w:p>
        </w:tc>
        <w:tc>
          <w:tcPr>
            <w:tcW w:w="1133" w:type="dxa"/>
          </w:tcPr>
          <w:p>
            <w:pPr>
              <w:pStyle w:val="TableParagraph"/>
              <w:spacing w:line="234" w:lineRule="exact"/>
              <w:ind w:left="136" w:right="121"/>
              <w:jc w:val="center"/>
              <w:rPr>
                <w:sz w:val="22"/>
              </w:rPr>
            </w:pPr>
            <w:r>
              <w:rPr>
                <w:sz w:val="22"/>
              </w:rPr>
              <w:t>108601,1</w:t>
            </w:r>
          </w:p>
        </w:tc>
        <w:tc>
          <w:tcPr>
            <w:tcW w:w="1278" w:type="dxa"/>
          </w:tcPr>
          <w:p>
            <w:pPr>
              <w:pStyle w:val="TableParagraph"/>
              <w:spacing w:line="234" w:lineRule="exact"/>
              <w:ind w:left="316" w:right="297"/>
              <w:jc w:val="center"/>
              <w:rPr>
                <w:sz w:val="22"/>
              </w:rPr>
            </w:pPr>
            <w:r>
              <w:rPr>
                <w:sz w:val="22"/>
              </w:rPr>
              <w:t>109,1</w:t>
            </w:r>
          </w:p>
        </w:tc>
        <w:tc>
          <w:tcPr>
            <w:tcW w:w="1278" w:type="dxa"/>
            <w:tcBorders>
              <w:right w:val="single" w:sz="6" w:space="0" w:color="000000"/>
            </w:tcBorders>
          </w:tcPr>
          <w:p>
            <w:pPr>
              <w:pStyle w:val="TableParagraph"/>
              <w:spacing w:line="234" w:lineRule="exact"/>
              <w:ind w:left="268" w:right="251"/>
              <w:jc w:val="center"/>
              <w:rPr>
                <w:sz w:val="22"/>
              </w:rPr>
            </w:pPr>
            <w:r>
              <w:rPr>
                <w:sz w:val="22"/>
              </w:rPr>
              <w:t>У 2,4 р.</w:t>
            </w:r>
          </w:p>
        </w:tc>
      </w:tr>
      <w:tr>
        <w:trPr>
          <w:trHeight w:val="249" w:hRule="atLeast"/>
        </w:trPr>
        <w:tc>
          <w:tcPr>
            <w:tcW w:w="2425" w:type="dxa"/>
            <w:gridSpan w:val="2"/>
          </w:tcPr>
          <w:p>
            <w:pPr>
              <w:pStyle w:val="TableParagraph"/>
              <w:spacing w:line="229" w:lineRule="exact"/>
              <w:ind w:left="110"/>
              <w:rPr>
                <w:sz w:val="22"/>
              </w:rPr>
            </w:pPr>
            <w:r>
              <w:rPr>
                <w:sz w:val="22"/>
              </w:rPr>
              <w:t>тваринництва</w:t>
            </w:r>
          </w:p>
        </w:tc>
        <w:tc>
          <w:tcPr>
            <w:tcW w:w="1138" w:type="dxa"/>
          </w:tcPr>
          <w:p>
            <w:pPr>
              <w:pStyle w:val="TableParagraph"/>
              <w:spacing w:line="229" w:lineRule="exact"/>
              <w:ind w:left="193" w:right="180"/>
              <w:jc w:val="center"/>
              <w:rPr>
                <w:sz w:val="22"/>
              </w:rPr>
            </w:pPr>
            <w:r>
              <w:rPr>
                <w:sz w:val="22"/>
              </w:rPr>
              <w:t>12206,7</w:t>
            </w:r>
          </w:p>
        </w:tc>
        <w:tc>
          <w:tcPr>
            <w:tcW w:w="1133" w:type="dxa"/>
          </w:tcPr>
          <w:p>
            <w:pPr>
              <w:pStyle w:val="TableParagraph"/>
              <w:spacing w:line="229" w:lineRule="exact"/>
              <w:ind w:right="194"/>
              <w:jc w:val="right"/>
              <w:rPr>
                <w:sz w:val="22"/>
              </w:rPr>
            </w:pPr>
            <w:r>
              <w:rPr>
                <w:sz w:val="22"/>
              </w:rPr>
              <w:t>32333,9</w:t>
            </w:r>
          </w:p>
        </w:tc>
        <w:tc>
          <w:tcPr>
            <w:tcW w:w="1133" w:type="dxa"/>
          </w:tcPr>
          <w:p>
            <w:pPr>
              <w:pStyle w:val="TableParagraph"/>
              <w:spacing w:line="229" w:lineRule="exact"/>
              <w:ind w:left="206"/>
              <w:rPr>
                <w:sz w:val="22"/>
              </w:rPr>
            </w:pPr>
            <w:r>
              <w:rPr>
                <w:sz w:val="22"/>
              </w:rPr>
              <w:t>31726,4</w:t>
            </w:r>
          </w:p>
        </w:tc>
        <w:tc>
          <w:tcPr>
            <w:tcW w:w="1133" w:type="dxa"/>
          </w:tcPr>
          <w:p>
            <w:pPr>
              <w:pStyle w:val="TableParagraph"/>
              <w:spacing w:line="229" w:lineRule="exact"/>
              <w:ind w:left="136" w:right="117"/>
              <w:jc w:val="center"/>
              <w:rPr>
                <w:sz w:val="22"/>
              </w:rPr>
            </w:pPr>
            <w:r>
              <w:rPr>
                <w:sz w:val="22"/>
              </w:rPr>
              <w:t>31934,1</w:t>
            </w:r>
          </w:p>
        </w:tc>
        <w:tc>
          <w:tcPr>
            <w:tcW w:w="1278" w:type="dxa"/>
          </w:tcPr>
          <w:p>
            <w:pPr>
              <w:pStyle w:val="TableParagraph"/>
              <w:spacing w:line="229" w:lineRule="exact"/>
              <w:ind w:left="316" w:right="302"/>
              <w:jc w:val="center"/>
              <w:rPr>
                <w:sz w:val="22"/>
              </w:rPr>
            </w:pPr>
            <w:r>
              <w:rPr>
                <w:sz w:val="22"/>
              </w:rPr>
              <w:t>98,8</w:t>
            </w:r>
          </w:p>
        </w:tc>
        <w:tc>
          <w:tcPr>
            <w:tcW w:w="1278" w:type="dxa"/>
            <w:tcBorders>
              <w:right w:val="single" w:sz="6" w:space="0" w:color="000000"/>
            </w:tcBorders>
          </w:tcPr>
          <w:p>
            <w:pPr>
              <w:pStyle w:val="TableParagraph"/>
              <w:spacing w:line="229" w:lineRule="exact"/>
              <w:ind w:left="268" w:right="251"/>
              <w:jc w:val="center"/>
              <w:rPr>
                <w:sz w:val="22"/>
              </w:rPr>
            </w:pPr>
            <w:r>
              <w:rPr>
                <w:sz w:val="22"/>
              </w:rPr>
              <w:t>У 2,6 р.</w:t>
            </w:r>
          </w:p>
        </w:tc>
      </w:tr>
      <w:tr>
        <w:trPr>
          <w:trHeight w:val="254" w:hRule="atLeast"/>
        </w:trPr>
        <w:tc>
          <w:tcPr>
            <w:tcW w:w="2425" w:type="dxa"/>
            <w:gridSpan w:val="2"/>
          </w:tcPr>
          <w:p>
            <w:pPr>
              <w:pStyle w:val="TableParagraph"/>
              <w:spacing w:line="235" w:lineRule="exact"/>
              <w:ind w:left="110"/>
              <w:rPr>
                <w:sz w:val="22"/>
              </w:rPr>
            </w:pPr>
            <w:r>
              <w:rPr>
                <w:sz w:val="22"/>
              </w:rPr>
              <w:t>Зернові та зернобобові</w:t>
            </w:r>
          </w:p>
        </w:tc>
        <w:tc>
          <w:tcPr>
            <w:tcW w:w="1138" w:type="dxa"/>
          </w:tcPr>
          <w:p>
            <w:pPr>
              <w:pStyle w:val="TableParagraph"/>
              <w:spacing w:line="235" w:lineRule="exact"/>
              <w:ind w:left="193" w:right="180"/>
              <w:jc w:val="center"/>
              <w:rPr>
                <w:sz w:val="22"/>
              </w:rPr>
            </w:pPr>
            <w:r>
              <w:rPr>
                <w:sz w:val="22"/>
              </w:rPr>
              <w:t>27189,4</w:t>
            </w:r>
          </w:p>
        </w:tc>
        <w:tc>
          <w:tcPr>
            <w:tcW w:w="1133" w:type="dxa"/>
          </w:tcPr>
          <w:p>
            <w:pPr>
              <w:pStyle w:val="TableParagraph"/>
              <w:spacing w:line="235" w:lineRule="exact"/>
              <w:ind w:left="287"/>
              <w:rPr>
                <w:sz w:val="22"/>
              </w:rPr>
            </w:pPr>
            <w:r>
              <w:rPr>
                <w:sz w:val="22"/>
              </w:rPr>
              <w:t>63421</w:t>
            </w:r>
          </w:p>
        </w:tc>
        <w:tc>
          <w:tcPr>
            <w:tcW w:w="1133" w:type="dxa"/>
          </w:tcPr>
          <w:p>
            <w:pPr>
              <w:pStyle w:val="TableParagraph"/>
              <w:spacing w:line="235" w:lineRule="exact"/>
              <w:ind w:left="206"/>
              <w:rPr>
                <w:sz w:val="22"/>
              </w:rPr>
            </w:pPr>
            <w:r>
              <w:rPr>
                <w:sz w:val="22"/>
              </w:rPr>
              <w:t>69464,2</w:t>
            </w:r>
          </w:p>
        </w:tc>
        <w:tc>
          <w:tcPr>
            <w:tcW w:w="1133" w:type="dxa"/>
          </w:tcPr>
          <w:p>
            <w:pPr>
              <w:pStyle w:val="TableParagraph"/>
              <w:spacing w:line="235" w:lineRule="exact"/>
              <w:ind w:left="136" w:right="117"/>
              <w:jc w:val="center"/>
              <w:rPr>
                <w:sz w:val="22"/>
              </w:rPr>
            </w:pPr>
            <w:r>
              <w:rPr>
                <w:sz w:val="22"/>
              </w:rPr>
              <w:t>65169,8</w:t>
            </w:r>
          </w:p>
        </w:tc>
        <w:tc>
          <w:tcPr>
            <w:tcW w:w="1278" w:type="dxa"/>
          </w:tcPr>
          <w:p>
            <w:pPr>
              <w:pStyle w:val="TableParagraph"/>
              <w:spacing w:line="235" w:lineRule="exact"/>
              <w:ind w:left="316" w:right="297"/>
              <w:jc w:val="center"/>
              <w:rPr>
                <w:sz w:val="22"/>
              </w:rPr>
            </w:pPr>
            <w:r>
              <w:rPr>
                <w:sz w:val="22"/>
              </w:rPr>
              <w:t>102,8</w:t>
            </w:r>
          </w:p>
        </w:tc>
        <w:tc>
          <w:tcPr>
            <w:tcW w:w="1278" w:type="dxa"/>
            <w:tcBorders>
              <w:right w:val="single" w:sz="6" w:space="0" w:color="000000"/>
            </w:tcBorders>
          </w:tcPr>
          <w:p>
            <w:pPr>
              <w:pStyle w:val="TableParagraph"/>
              <w:spacing w:line="235" w:lineRule="exact"/>
              <w:ind w:left="268" w:right="251"/>
              <w:jc w:val="center"/>
              <w:rPr>
                <w:sz w:val="22"/>
              </w:rPr>
            </w:pPr>
            <w:r>
              <w:rPr>
                <w:sz w:val="22"/>
              </w:rPr>
              <w:t>У 2,4 р.</w:t>
            </w:r>
          </w:p>
        </w:tc>
      </w:tr>
      <w:tr>
        <w:trPr>
          <w:trHeight w:val="254" w:hRule="atLeast"/>
        </w:trPr>
        <w:tc>
          <w:tcPr>
            <w:tcW w:w="2425" w:type="dxa"/>
            <w:gridSpan w:val="2"/>
          </w:tcPr>
          <w:p>
            <w:pPr>
              <w:pStyle w:val="TableParagraph"/>
              <w:spacing w:line="234" w:lineRule="exact"/>
              <w:ind w:left="110"/>
              <w:rPr>
                <w:sz w:val="22"/>
              </w:rPr>
            </w:pPr>
            <w:r>
              <w:rPr>
                <w:sz w:val="22"/>
              </w:rPr>
              <w:t>технічні</w:t>
            </w:r>
          </w:p>
        </w:tc>
        <w:tc>
          <w:tcPr>
            <w:tcW w:w="1138" w:type="dxa"/>
          </w:tcPr>
          <w:p>
            <w:pPr>
              <w:pStyle w:val="TableParagraph"/>
              <w:spacing w:line="234" w:lineRule="exact"/>
              <w:ind w:left="193" w:right="180"/>
              <w:jc w:val="center"/>
              <w:rPr>
                <w:sz w:val="22"/>
              </w:rPr>
            </w:pPr>
            <w:r>
              <w:rPr>
                <w:sz w:val="22"/>
              </w:rPr>
              <w:t>16812,5</w:t>
            </w:r>
          </w:p>
        </w:tc>
        <w:tc>
          <w:tcPr>
            <w:tcW w:w="1133" w:type="dxa"/>
          </w:tcPr>
          <w:p>
            <w:pPr>
              <w:pStyle w:val="TableParagraph"/>
              <w:spacing w:line="234" w:lineRule="exact"/>
              <w:ind w:right="194"/>
              <w:jc w:val="right"/>
              <w:rPr>
                <w:sz w:val="22"/>
              </w:rPr>
            </w:pPr>
            <w:r>
              <w:rPr>
                <w:sz w:val="22"/>
              </w:rPr>
              <w:t>50172,8</w:t>
            </w:r>
          </w:p>
        </w:tc>
        <w:tc>
          <w:tcPr>
            <w:tcW w:w="1133" w:type="dxa"/>
          </w:tcPr>
          <w:p>
            <w:pPr>
              <w:pStyle w:val="TableParagraph"/>
              <w:spacing w:line="234" w:lineRule="exact"/>
              <w:ind w:left="206"/>
              <w:rPr>
                <w:sz w:val="22"/>
              </w:rPr>
            </w:pPr>
            <w:r>
              <w:rPr>
                <w:sz w:val="22"/>
              </w:rPr>
              <w:t>57844,8</w:t>
            </w:r>
          </w:p>
        </w:tc>
        <w:tc>
          <w:tcPr>
            <w:tcW w:w="1133" w:type="dxa"/>
          </w:tcPr>
          <w:p>
            <w:pPr>
              <w:pStyle w:val="TableParagraph"/>
              <w:spacing w:line="234" w:lineRule="exact"/>
              <w:ind w:left="136" w:right="117"/>
              <w:jc w:val="center"/>
              <w:rPr>
                <w:sz w:val="22"/>
              </w:rPr>
            </w:pPr>
            <w:r>
              <w:rPr>
                <w:sz w:val="22"/>
              </w:rPr>
              <w:t>56143,1</w:t>
            </w:r>
          </w:p>
        </w:tc>
        <w:tc>
          <w:tcPr>
            <w:tcW w:w="1278" w:type="dxa"/>
          </w:tcPr>
          <w:p>
            <w:pPr>
              <w:pStyle w:val="TableParagraph"/>
              <w:spacing w:line="234" w:lineRule="exact"/>
              <w:ind w:left="316" w:right="297"/>
              <w:jc w:val="center"/>
              <w:rPr>
                <w:sz w:val="22"/>
              </w:rPr>
            </w:pPr>
            <w:r>
              <w:rPr>
                <w:sz w:val="22"/>
              </w:rPr>
              <w:t>111,9</w:t>
            </w:r>
          </w:p>
        </w:tc>
        <w:tc>
          <w:tcPr>
            <w:tcW w:w="1278" w:type="dxa"/>
            <w:tcBorders>
              <w:right w:val="single" w:sz="6" w:space="0" w:color="000000"/>
            </w:tcBorders>
          </w:tcPr>
          <w:p>
            <w:pPr>
              <w:pStyle w:val="TableParagraph"/>
              <w:spacing w:line="234" w:lineRule="exact"/>
              <w:ind w:left="268" w:right="251"/>
              <w:jc w:val="center"/>
              <w:rPr>
                <w:sz w:val="22"/>
              </w:rPr>
            </w:pPr>
            <w:r>
              <w:rPr>
                <w:sz w:val="22"/>
              </w:rPr>
              <w:t>У 3,3 р.</w:t>
            </w:r>
          </w:p>
        </w:tc>
      </w:tr>
      <w:tr>
        <w:trPr>
          <w:trHeight w:val="508" w:hRule="atLeast"/>
        </w:trPr>
        <w:tc>
          <w:tcPr>
            <w:tcW w:w="1897" w:type="dxa"/>
            <w:tcBorders>
              <w:right w:val="nil"/>
            </w:tcBorders>
          </w:tcPr>
          <w:p>
            <w:pPr>
              <w:pStyle w:val="TableParagraph"/>
              <w:tabs>
                <w:tab w:pos="1343" w:val="left" w:leader="none"/>
              </w:tabs>
              <w:spacing w:line="249" w:lineRule="exact"/>
              <w:ind w:left="110"/>
              <w:rPr>
                <w:sz w:val="22"/>
              </w:rPr>
            </w:pPr>
            <w:r>
              <w:rPr>
                <w:sz w:val="22"/>
              </w:rPr>
              <w:t>Картопля,</w:t>
              <w:tab/>
              <w:t>обочі</w:t>
            </w:r>
          </w:p>
          <w:p>
            <w:pPr>
              <w:pStyle w:val="TableParagraph"/>
              <w:spacing w:line="238" w:lineRule="exact" w:before="1"/>
              <w:ind w:left="110"/>
              <w:rPr>
                <w:sz w:val="22"/>
              </w:rPr>
            </w:pPr>
            <w:r>
              <w:rPr>
                <w:sz w:val="22"/>
              </w:rPr>
              <w:t>баштанні</w:t>
            </w:r>
          </w:p>
        </w:tc>
        <w:tc>
          <w:tcPr>
            <w:tcW w:w="528" w:type="dxa"/>
            <w:tcBorders>
              <w:left w:val="nil"/>
            </w:tcBorders>
          </w:tcPr>
          <w:p>
            <w:pPr>
              <w:pStyle w:val="TableParagraph"/>
              <w:spacing w:line="249" w:lineRule="exact"/>
              <w:ind w:right="93"/>
              <w:jc w:val="right"/>
              <w:rPr>
                <w:sz w:val="22"/>
              </w:rPr>
            </w:pPr>
            <w:r>
              <w:rPr>
                <w:sz w:val="22"/>
              </w:rPr>
              <w:t>та</w:t>
            </w:r>
          </w:p>
        </w:tc>
        <w:tc>
          <w:tcPr>
            <w:tcW w:w="1138" w:type="dxa"/>
          </w:tcPr>
          <w:p>
            <w:pPr>
              <w:pStyle w:val="TableParagraph"/>
              <w:spacing w:before="121"/>
              <w:ind w:left="193" w:right="180"/>
              <w:jc w:val="center"/>
              <w:rPr>
                <w:sz w:val="22"/>
              </w:rPr>
            </w:pPr>
            <w:r>
              <w:rPr>
                <w:sz w:val="22"/>
              </w:rPr>
              <w:t>35029,3</w:t>
            </w:r>
          </w:p>
        </w:tc>
        <w:tc>
          <w:tcPr>
            <w:tcW w:w="1133" w:type="dxa"/>
          </w:tcPr>
          <w:p>
            <w:pPr>
              <w:pStyle w:val="TableParagraph"/>
              <w:spacing w:before="121"/>
              <w:ind w:right="194"/>
              <w:jc w:val="right"/>
              <w:rPr>
                <w:sz w:val="22"/>
              </w:rPr>
            </w:pPr>
            <w:r>
              <w:rPr>
                <w:sz w:val="22"/>
              </w:rPr>
              <w:t>43439,4</w:t>
            </w:r>
          </w:p>
        </w:tc>
        <w:tc>
          <w:tcPr>
            <w:tcW w:w="1133" w:type="dxa"/>
          </w:tcPr>
          <w:p>
            <w:pPr>
              <w:pStyle w:val="TableParagraph"/>
              <w:spacing w:before="121"/>
              <w:ind w:left="206"/>
              <w:rPr>
                <w:sz w:val="22"/>
              </w:rPr>
            </w:pPr>
            <w:r>
              <w:rPr>
                <w:sz w:val="22"/>
              </w:rPr>
              <w:t>44821,9</w:t>
            </w:r>
          </w:p>
        </w:tc>
        <w:tc>
          <w:tcPr>
            <w:tcW w:w="1133" w:type="dxa"/>
          </w:tcPr>
          <w:p>
            <w:pPr>
              <w:pStyle w:val="TableParagraph"/>
              <w:spacing w:before="121"/>
              <w:ind w:left="136" w:right="121"/>
              <w:jc w:val="center"/>
              <w:rPr>
                <w:sz w:val="22"/>
              </w:rPr>
            </w:pPr>
            <w:r>
              <w:rPr>
                <w:sz w:val="22"/>
              </w:rPr>
              <w:t>44859</w:t>
            </w:r>
          </w:p>
        </w:tc>
        <w:tc>
          <w:tcPr>
            <w:tcW w:w="1278" w:type="dxa"/>
          </w:tcPr>
          <w:p>
            <w:pPr>
              <w:pStyle w:val="TableParagraph"/>
              <w:spacing w:before="121"/>
              <w:ind w:left="316" w:right="297"/>
              <w:jc w:val="center"/>
              <w:rPr>
                <w:sz w:val="22"/>
              </w:rPr>
            </w:pPr>
            <w:r>
              <w:rPr>
                <w:sz w:val="22"/>
              </w:rPr>
              <w:t>103,3</w:t>
            </w:r>
          </w:p>
        </w:tc>
        <w:tc>
          <w:tcPr>
            <w:tcW w:w="1278" w:type="dxa"/>
            <w:tcBorders>
              <w:right w:val="single" w:sz="6" w:space="0" w:color="000000"/>
            </w:tcBorders>
          </w:tcPr>
          <w:p>
            <w:pPr>
              <w:pStyle w:val="TableParagraph"/>
              <w:spacing w:before="121"/>
              <w:ind w:left="268" w:right="248"/>
              <w:jc w:val="center"/>
              <w:rPr>
                <w:sz w:val="22"/>
              </w:rPr>
            </w:pPr>
            <w:r>
              <w:rPr>
                <w:sz w:val="22"/>
              </w:rPr>
              <w:t>128,1</w:t>
            </w:r>
          </w:p>
        </w:tc>
      </w:tr>
      <w:tr>
        <w:trPr>
          <w:trHeight w:val="503" w:hRule="atLeast"/>
        </w:trPr>
        <w:tc>
          <w:tcPr>
            <w:tcW w:w="1897" w:type="dxa"/>
            <w:tcBorders>
              <w:right w:val="nil"/>
            </w:tcBorders>
          </w:tcPr>
          <w:p>
            <w:pPr>
              <w:pStyle w:val="TableParagraph"/>
              <w:tabs>
                <w:tab w:pos="1184" w:val="left" w:leader="none"/>
              </w:tabs>
              <w:spacing w:line="244" w:lineRule="exact"/>
              <w:ind w:left="110"/>
              <w:rPr>
                <w:sz w:val="22"/>
              </w:rPr>
            </w:pPr>
            <w:r>
              <w:rPr>
                <w:sz w:val="22"/>
              </w:rPr>
              <w:t>Плоди,</w:t>
              <w:tab/>
              <w:t>ягоди</w:t>
            </w:r>
          </w:p>
          <w:p>
            <w:pPr>
              <w:pStyle w:val="TableParagraph"/>
              <w:spacing w:line="238" w:lineRule="exact" w:before="1"/>
              <w:ind w:left="110"/>
              <w:rPr>
                <w:sz w:val="22"/>
              </w:rPr>
            </w:pPr>
            <w:r>
              <w:rPr>
                <w:sz w:val="22"/>
              </w:rPr>
              <w:t>виноград</w:t>
            </w:r>
          </w:p>
        </w:tc>
        <w:tc>
          <w:tcPr>
            <w:tcW w:w="528" w:type="dxa"/>
            <w:tcBorders>
              <w:left w:val="nil"/>
            </w:tcBorders>
          </w:tcPr>
          <w:p>
            <w:pPr>
              <w:pStyle w:val="TableParagraph"/>
              <w:spacing w:line="244" w:lineRule="exact"/>
              <w:ind w:right="93"/>
              <w:jc w:val="right"/>
              <w:rPr>
                <w:sz w:val="22"/>
              </w:rPr>
            </w:pPr>
            <w:r>
              <w:rPr>
                <w:sz w:val="22"/>
              </w:rPr>
              <w:t>та</w:t>
            </w:r>
          </w:p>
        </w:tc>
        <w:tc>
          <w:tcPr>
            <w:tcW w:w="1138" w:type="dxa"/>
          </w:tcPr>
          <w:p>
            <w:pPr>
              <w:pStyle w:val="TableParagraph"/>
              <w:spacing w:before="121"/>
              <w:ind w:left="188" w:right="180"/>
              <w:jc w:val="center"/>
              <w:rPr>
                <w:sz w:val="22"/>
              </w:rPr>
            </w:pPr>
            <w:r>
              <w:rPr>
                <w:sz w:val="22"/>
              </w:rPr>
              <w:t>6315,5</w:t>
            </w:r>
          </w:p>
        </w:tc>
        <w:tc>
          <w:tcPr>
            <w:tcW w:w="1133" w:type="dxa"/>
          </w:tcPr>
          <w:p>
            <w:pPr>
              <w:pStyle w:val="TableParagraph"/>
              <w:spacing w:before="121"/>
              <w:ind w:left="259"/>
              <w:rPr>
                <w:sz w:val="22"/>
              </w:rPr>
            </w:pPr>
            <w:r>
              <w:rPr>
                <w:sz w:val="22"/>
              </w:rPr>
              <w:t>8027,4</w:t>
            </w:r>
          </w:p>
        </w:tc>
        <w:tc>
          <w:tcPr>
            <w:tcW w:w="1133" w:type="dxa"/>
          </w:tcPr>
          <w:p>
            <w:pPr>
              <w:pStyle w:val="TableParagraph"/>
              <w:spacing w:before="121"/>
              <w:ind w:left="259"/>
              <w:rPr>
                <w:sz w:val="22"/>
              </w:rPr>
            </w:pPr>
            <w:r>
              <w:rPr>
                <w:sz w:val="22"/>
              </w:rPr>
              <w:t>7489,4</w:t>
            </w:r>
          </w:p>
        </w:tc>
        <w:tc>
          <w:tcPr>
            <w:tcW w:w="1133" w:type="dxa"/>
          </w:tcPr>
          <w:p>
            <w:pPr>
              <w:pStyle w:val="TableParagraph"/>
              <w:spacing w:before="121"/>
              <w:ind w:left="131" w:right="121"/>
              <w:jc w:val="center"/>
              <w:rPr>
                <w:sz w:val="22"/>
              </w:rPr>
            </w:pPr>
            <w:r>
              <w:rPr>
                <w:sz w:val="22"/>
              </w:rPr>
              <w:t>7775</w:t>
            </w:r>
          </w:p>
        </w:tc>
        <w:tc>
          <w:tcPr>
            <w:tcW w:w="1278" w:type="dxa"/>
          </w:tcPr>
          <w:p>
            <w:pPr>
              <w:pStyle w:val="TableParagraph"/>
              <w:spacing w:before="121"/>
              <w:ind w:left="316" w:right="302"/>
              <w:jc w:val="center"/>
              <w:rPr>
                <w:sz w:val="22"/>
              </w:rPr>
            </w:pPr>
            <w:r>
              <w:rPr>
                <w:sz w:val="22"/>
              </w:rPr>
              <w:t>96,9</w:t>
            </w:r>
          </w:p>
        </w:tc>
        <w:tc>
          <w:tcPr>
            <w:tcW w:w="1278" w:type="dxa"/>
            <w:tcBorders>
              <w:right w:val="single" w:sz="6" w:space="0" w:color="000000"/>
            </w:tcBorders>
          </w:tcPr>
          <w:p>
            <w:pPr>
              <w:pStyle w:val="TableParagraph"/>
              <w:spacing w:before="121"/>
              <w:ind w:left="268" w:right="248"/>
              <w:jc w:val="center"/>
              <w:rPr>
                <w:sz w:val="22"/>
              </w:rPr>
            </w:pPr>
            <w:r>
              <w:rPr>
                <w:sz w:val="22"/>
              </w:rPr>
              <w:t>123,1</w:t>
            </w:r>
          </w:p>
        </w:tc>
      </w:tr>
      <w:tr>
        <w:trPr>
          <w:trHeight w:val="253" w:hRule="atLeast"/>
        </w:trPr>
        <w:tc>
          <w:tcPr>
            <w:tcW w:w="2425" w:type="dxa"/>
            <w:gridSpan w:val="2"/>
          </w:tcPr>
          <w:p>
            <w:pPr>
              <w:pStyle w:val="TableParagraph"/>
              <w:spacing w:line="234" w:lineRule="exact"/>
              <w:ind w:left="110"/>
              <w:rPr>
                <w:sz w:val="22"/>
              </w:rPr>
            </w:pPr>
            <w:r>
              <w:rPr>
                <w:sz w:val="22"/>
              </w:rPr>
              <w:t>корми</w:t>
            </w:r>
          </w:p>
        </w:tc>
        <w:tc>
          <w:tcPr>
            <w:tcW w:w="1138" w:type="dxa"/>
          </w:tcPr>
          <w:p>
            <w:pPr>
              <w:pStyle w:val="TableParagraph"/>
              <w:spacing w:line="234" w:lineRule="exact"/>
              <w:ind w:left="188" w:right="180"/>
              <w:jc w:val="center"/>
              <w:rPr>
                <w:sz w:val="22"/>
              </w:rPr>
            </w:pPr>
            <w:r>
              <w:rPr>
                <w:sz w:val="22"/>
              </w:rPr>
              <w:t>6237,3</w:t>
            </w:r>
          </w:p>
        </w:tc>
        <w:tc>
          <w:tcPr>
            <w:tcW w:w="1133" w:type="dxa"/>
          </w:tcPr>
          <w:p>
            <w:pPr>
              <w:pStyle w:val="TableParagraph"/>
              <w:spacing w:line="234" w:lineRule="exact"/>
              <w:ind w:left="340"/>
              <w:rPr>
                <w:sz w:val="22"/>
              </w:rPr>
            </w:pPr>
            <w:r>
              <w:rPr>
                <w:sz w:val="22"/>
              </w:rPr>
              <w:t>3738</w:t>
            </w:r>
          </w:p>
        </w:tc>
        <w:tc>
          <w:tcPr>
            <w:tcW w:w="1133" w:type="dxa"/>
          </w:tcPr>
          <w:p>
            <w:pPr>
              <w:pStyle w:val="TableParagraph"/>
              <w:spacing w:line="234" w:lineRule="exact"/>
              <w:ind w:left="259"/>
              <w:rPr>
                <w:sz w:val="22"/>
              </w:rPr>
            </w:pPr>
            <w:r>
              <w:rPr>
                <w:sz w:val="22"/>
              </w:rPr>
              <w:t>3747,1</w:t>
            </w:r>
          </w:p>
        </w:tc>
        <w:tc>
          <w:tcPr>
            <w:tcW w:w="1133" w:type="dxa"/>
          </w:tcPr>
          <w:p>
            <w:pPr>
              <w:pStyle w:val="TableParagraph"/>
              <w:spacing w:line="234" w:lineRule="exact"/>
              <w:ind w:left="136" w:right="121"/>
              <w:jc w:val="center"/>
              <w:rPr>
                <w:sz w:val="22"/>
              </w:rPr>
            </w:pPr>
            <w:r>
              <w:rPr>
                <w:sz w:val="22"/>
              </w:rPr>
              <w:t>3547,9</w:t>
            </w:r>
          </w:p>
        </w:tc>
        <w:tc>
          <w:tcPr>
            <w:tcW w:w="1278" w:type="dxa"/>
          </w:tcPr>
          <w:p>
            <w:pPr>
              <w:pStyle w:val="TableParagraph"/>
              <w:spacing w:line="234" w:lineRule="exact"/>
              <w:ind w:left="316" w:right="302"/>
              <w:jc w:val="center"/>
              <w:rPr>
                <w:sz w:val="22"/>
              </w:rPr>
            </w:pPr>
            <w:r>
              <w:rPr>
                <w:sz w:val="22"/>
              </w:rPr>
              <w:t>94,9</w:t>
            </w:r>
          </w:p>
        </w:tc>
        <w:tc>
          <w:tcPr>
            <w:tcW w:w="1278" w:type="dxa"/>
            <w:tcBorders>
              <w:right w:val="single" w:sz="6" w:space="0" w:color="000000"/>
            </w:tcBorders>
          </w:tcPr>
          <w:p>
            <w:pPr>
              <w:pStyle w:val="TableParagraph"/>
              <w:spacing w:line="234" w:lineRule="exact"/>
              <w:ind w:left="266" w:right="251"/>
              <w:jc w:val="center"/>
              <w:rPr>
                <w:sz w:val="22"/>
              </w:rPr>
            </w:pPr>
            <w:r>
              <w:rPr>
                <w:sz w:val="22"/>
              </w:rPr>
              <w:t>56,9</w:t>
            </w:r>
          </w:p>
        </w:tc>
      </w:tr>
      <w:tr>
        <w:trPr>
          <w:trHeight w:val="758" w:hRule="atLeast"/>
        </w:trPr>
        <w:tc>
          <w:tcPr>
            <w:tcW w:w="1897" w:type="dxa"/>
            <w:tcBorders>
              <w:right w:val="nil"/>
            </w:tcBorders>
          </w:tcPr>
          <w:p>
            <w:pPr>
              <w:pStyle w:val="TableParagraph"/>
              <w:spacing w:line="237" w:lineRule="auto"/>
              <w:ind w:left="110" w:right="502"/>
              <w:rPr>
                <w:sz w:val="22"/>
              </w:rPr>
            </w:pPr>
            <w:r>
              <w:rPr>
                <w:sz w:val="22"/>
              </w:rPr>
              <w:t>продукція вирощування</w:t>
            </w:r>
          </w:p>
          <w:p>
            <w:pPr>
              <w:pStyle w:val="TableParagraph"/>
              <w:spacing w:line="238" w:lineRule="exact"/>
              <w:ind w:left="110"/>
              <w:rPr>
                <w:sz w:val="22"/>
              </w:rPr>
            </w:pPr>
            <w:r>
              <w:rPr>
                <w:sz w:val="22"/>
              </w:rPr>
              <w:t>тварин</w:t>
            </w:r>
          </w:p>
        </w:tc>
        <w:tc>
          <w:tcPr>
            <w:tcW w:w="528" w:type="dxa"/>
            <w:tcBorders>
              <w:left w:val="nil"/>
            </w:tcBorders>
          </w:tcPr>
          <w:p>
            <w:pPr>
              <w:pStyle w:val="TableParagraph"/>
              <w:spacing w:before="4"/>
              <w:rPr>
                <w:sz w:val="21"/>
              </w:rPr>
            </w:pPr>
          </w:p>
          <w:p>
            <w:pPr>
              <w:pStyle w:val="TableParagraph"/>
              <w:ind w:right="91"/>
              <w:jc w:val="right"/>
              <w:rPr>
                <w:sz w:val="22"/>
              </w:rPr>
            </w:pPr>
            <w:r>
              <w:rPr>
                <w:sz w:val="22"/>
              </w:rPr>
              <w:t>с.-г.</w:t>
            </w:r>
          </w:p>
        </w:tc>
        <w:tc>
          <w:tcPr>
            <w:tcW w:w="1138" w:type="dxa"/>
          </w:tcPr>
          <w:p>
            <w:pPr>
              <w:pStyle w:val="TableParagraph"/>
              <w:spacing w:before="4"/>
              <w:rPr>
                <w:sz w:val="21"/>
              </w:rPr>
            </w:pPr>
          </w:p>
          <w:p>
            <w:pPr>
              <w:pStyle w:val="TableParagraph"/>
              <w:ind w:left="193" w:right="180"/>
              <w:jc w:val="center"/>
              <w:rPr>
                <w:sz w:val="22"/>
              </w:rPr>
            </w:pPr>
            <w:r>
              <w:rPr>
                <w:sz w:val="22"/>
              </w:rPr>
              <w:t>21567,2</w:t>
            </w:r>
          </w:p>
        </w:tc>
        <w:tc>
          <w:tcPr>
            <w:tcW w:w="1133" w:type="dxa"/>
          </w:tcPr>
          <w:p>
            <w:pPr>
              <w:pStyle w:val="TableParagraph"/>
              <w:spacing w:before="4"/>
              <w:rPr>
                <w:sz w:val="21"/>
              </w:rPr>
            </w:pPr>
          </w:p>
          <w:p>
            <w:pPr>
              <w:pStyle w:val="TableParagraph"/>
              <w:ind w:right="194"/>
              <w:jc w:val="right"/>
              <w:rPr>
                <w:sz w:val="22"/>
              </w:rPr>
            </w:pPr>
            <w:r>
              <w:rPr>
                <w:sz w:val="22"/>
              </w:rPr>
              <w:t>33859,3</w:t>
            </w:r>
          </w:p>
        </w:tc>
        <w:tc>
          <w:tcPr>
            <w:tcW w:w="1133" w:type="dxa"/>
          </w:tcPr>
          <w:p>
            <w:pPr>
              <w:pStyle w:val="TableParagraph"/>
              <w:spacing w:before="4"/>
              <w:rPr>
                <w:sz w:val="21"/>
              </w:rPr>
            </w:pPr>
          </w:p>
          <w:p>
            <w:pPr>
              <w:pStyle w:val="TableParagraph"/>
              <w:ind w:left="206"/>
              <w:rPr>
                <w:sz w:val="22"/>
              </w:rPr>
            </w:pPr>
            <w:r>
              <w:rPr>
                <w:sz w:val="22"/>
              </w:rPr>
              <w:t>33916,2</w:t>
            </w:r>
          </w:p>
        </w:tc>
        <w:tc>
          <w:tcPr>
            <w:tcW w:w="1133" w:type="dxa"/>
          </w:tcPr>
          <w:p>
            <w:pPr>
              <w:pStyle w:val="TableParagraph"/>
              <w:spacing w:before="4"/>
              <w:rPr>
                <w:sz w:val="21"/>
              </w:rPr>
            </w:pPr>
          </w:p>
          <w:p>
            <w:pPr>
              <w:pStyle w:val="TableParagraph"/>
              <w:ind w:left="136" w:right="117"/>
              <w:jc w:val="center"/>
              <w:rPr>
                <w:sz w:val="22"/>
              </w:rPr>
            </w:pPr>
            <w:r>
              <w:rPr>
                <w:sz w:val="22"/>
              </w:rPr>
              <w:t>33680,7</w:t>
            </w:r>
          </w:p>
        </w:tc>
        <w:tc>
          <w:tcPr>
            <w:tcW w:w="1278" w:type="dxa"/>
          </w:tcPr>
          <w:p>
            <w:pPr>
              <w:pStyle w:val="TableParagraph"/>
              <w:spacing w:before="4"/>
              <w:rPr>
                <w:sz w:val="21"/>
              </w:rPr>
            </w:pPr>
          </w:p>
          <w:p>
            <w:pPr>
              <w:pStyle w:val="TableParagraph"/>
              <w:ind w:left="316" w:right="302"/>
              <w:jc w:val="center"/>
              <w:rPr>
                <w:sz w:val="22"/>
              </w:rPr>
            </w:pPr>
            <w:r>
              <w:rPr>
                <w:sz w:val="22"/>
              </w:rPr>
              <w:t>99,5</w:t>
            </w:r>
          </w:p>
        </w:tc>
        <w:tc>
          <w:tcPr>
            <w:tcW w:w="1278" w:type="dxa"/>
            <w:tcBorders>
              <w:right w:val="single" w:sz="6" w:space="0" w:color="000000"/>
            </w:tcBorders>
          </w:tcPr>
          <w:p>
            <w:pPr>
              <w:pStyle w:val="TableParagraph"/>
              <w:spacing w:before="4"/>
              <w:rPr>
                <w:sz w:val="21"/>
              </w:rPr>
            </w:pPr>
          </w:p>
          <w:p>
            <w:pPr>
              <w:pStyle w:val="TableParagraph"/>
              <w:ind w:left="268" w:right="251"/>
              <w:jc w:val="center"/>
              <w:rPr>
                <w:sz w:val="22"/>
              </w:rPr>
            </w:pPr>
            <w:r>
              <w:rPr>
                <w:sz w:val="22"/>
              </w:rPr>
              <w:t>У 1,6 р.</w:t>
            </w:r>
          </w:p>
        </w:tc>
      </w:tr>
      <w:tr>
        <w:trPr>
          <w:trHeight w:val="254" w:hRule="atLeast"/>
        </w:trPr>
        <w:tc>
          <w:tcPr>
            <w:tcW w:w="2425" w:type="dxa"/>
            <w:gridSpan w:val="2"/>
          </w:tcPr>
          <w:p>
            <w:pPr>
              <w:pStyle w:val="TableParagraph"/>
              <w:spacing w:line="234" w:lineRule="exact"/>
              <w:ind w:left="110"/>
              <w:rPr>
                <w:sz w:val="22"/>
              </w:rPr>
            </w:pPr>
            <w:r>
              <w:rPr>
                <w:sz w:val="22"/>
              </w:rPr>
              <w:t>молоко</w:t>
            </w:r>
          </w:p>
        </w:tc>
        <w:tc>
          <w:tcPr>
            <w:tcW w:w="1138" w:type="dxa"/>
          </w:tcPr>
          <w:p>
            <w:pPr>
              <w:pStyle w:val="TableParagraph"/>
              <w:spacing w:line="234" w:lineRule="exact"/>
              <w:ind w:left="193" w:right="180"/>
              <w:jc w:val="center"/>
              <w:rPr>
                <w:sz w:val="22"/>
              </w:rPr>
            </w:pPr>
            <w:r>
              <w:rPr>
                <w:sz w:val="22"/>
              </w:rPr>
              <w:t>30236,9</w:t>
            </w:r>
          </w:p>
        </w:tc>
        <w:tc>
          <w:tcPr>
            <w:tcW w:w="1133" w:type="dxa"/>
          </w:tcPr>
          <w:p>
            <w:pPr>
              <w:pStyle w:val="TableParagraph"/>
              <w:spacing w:line="234" w:lineRule="exact"/>
              <w:ind w:right="194"/>
              <w:jc w:val="right"/>
              <w:rPr>
                <w:sz w:val="22"/>
              </w:rPr>
            </w:pPr>
            <w:r>
              <w:rPr>
                <w:sz w:val="22"/>
              </w:rPr>
              <w:t>26926,9</w:t>
            </w:r>
          </w:p>
        </w:tc>
        <w:tc>
          <w:tcPr>
            <w:tcW w:w="1133" w:type="dxa"/>
          </w:tcPr>
          <w:p>
            <w:pPr>
              <w:pStyle w:val="TableParagraph"/>
              <w:spacing w:line="234" w:lineRule="exact"/>
              <w:ind w:left="206"/>
              <w:rPr>
                <w:sz w:val="22"/>
              </w:rPr>
            </w:pPr>
            <w:r>
              <w:rPr>
                <w:sz w:val="22"/>
              </w:rPr>
              <w:t>26321,8</w:t>
            </w:r>
          </w:p>
        </w:tc>
        <w:tc>
          <w:tcPr>
            <w:tcW w:w="1133" w:type="dxa"/>
          </w:tcPr>
          <w:p>
            <w:pPr>
              <w:pStyle w:val="TableParagraph"/>
              <w:spacing w:line="234" w:lineRule="exact"/>
              <w:ind w:left="136" w:right="117"/>
              <w:jc w:val="center"/>
              <w:rPr>
                <w:sz w:val="22"/>
              </w:rPr>
            </w:pPr>
            <w:r>
              <w:rPr>
                <w:sz w:val="22"/>
              </w:rPr>
              <w:t>26061,2</w:t>
            </w:r>
          </w:p>
        </w:tc>
        <w:tc>
          <w:tcPr>
            <w:tcW w:w="1278" w:type="dxa"/>
          </w:tcPr>
          <w:p>
            <w:pPr>
              <w:pStyle w:val="TableParagraph"/>
              <w:spacing w:line="234" w:lineRule="exact"/>
              <w:ind w:left="316" w:right="302"/>
              <w:jc w:val="center"/>
              <w:rPr>
                <w:sz w:val="22"/>
              </w:rPr>
            </w:pPr>
            <w:r>
              <w:rPr>
                <w:sz w:val="22"/>
              </w:rPr>
              <w:t>96,8</w:t>
            </w:r>
          </w:p>
        </w:tc>
        <w:tc>
          <w:tcPr>
            <w:tcW w:w="1278" w:type="dxa"/>
            <w:tcBorders>
              <w:right w:val="single" w:sz="6" w:space="0" w:color="000000"/>
            </w:tcBorders>
          </w:tcPr>
          <w:p>
            <w:pPr>
              <w:pStyle w:val="TableParagraph"/>
              <w:spacing w:line="234" w:lineRule="exact"/>
              <w:ind w:left="266" w:right="251"/>
              <w:jc w:val="center"/>
              <w:rPr>
                <w:sz w:val="22"/>
              </w:rPr>
            </w:pPr>
            <w:r>
              <w:rPr>
                <w:sz w:val="22"/>
              </w:rPr>
              <w:t>86,2</w:t>
            </w:r>
          </w:p>
        </w:tc>
      </w:tr>
      <w:tr>
        <w:trPr>
          <w:trHeight w:val="253" w:hRule="atLeast"/>
        </w:trPr>
        <w:tc>
          <w:tcPr>
            <w:tcW w:w="2425" w:type="dxa"/>
            <w:gridSpan w:val="2"/>
          </w:tcPr>
          <w:p>
            <w:pPr>
              <w:pStyle w:val="TableParagraph"/>
              <w:spacing w:line="234" w:lineRule="exact"/>
              <w:ind w:left="110"/>
              <w:rPr>
                <w:sz w:val="22"/>
              </w:rPr>
            </w:pPr>
            <w:r>
              <w:rPr>
                <w:sz w:val="22"/>
              </w:rPr>
              <w:t>яйця</w:t>
            </w:r>
          </w:p>
        </w:tc>
        <w:tc>
          <w:tcPr>
            <w:tcW w:w="1138" w:type="dxa"/>
          </w:tcPr>
          <w:p>
            <w:pPr>
              <w:pStyle w:val="TableParagraph"/>
              <w:spacing w:line="234" w:lineRule="exact"/>
              <w:ind w:left="188" w:right="180"/>
              <w:jc w:val="center"/>
              <w:rPr>
                <w:sz w:val="22"/>
              </w:rPr>
            </w:pPr>
            <w:r>
              <w:rPr>
                <w:sz w:val="22"/>
              </w:rPr>
              <w:t>3880,9</w:t>
            </w:r>
          </w:p>
        </w:tc>
        <w:tc>
          <w:tcPr>
            <w:tcW w:w="1133" w:type="dxa"/>
          </w:tcPr>
          <w:p>
            <w:pPr>
              <w:pStyle w:val="TableParagraph"/>
              <w:spacing w:line="234" w:lineRule="exact"/>
              <w:ind w:left="259"/>
              <w:rPr>
                <w:sz w:val="22"/>
              </w:rPr>
            </w:pPr>
            <w:r>
              <w:rPr>
                <w:sz w:val="22"/>
              </w:rPr>
              <w:t>7809,7</w:t>
            </w:r>
          </w:p>
        </w:tc>
        <w:tc>
          <w:tcPr>
            <w:tcW w:w="1133" w:type="dxa"/>
          </w:tcPr>
          <w:p>
            <w:pPr>
              <w:pStyle w:val="TableParagraph"/>
              <w:spacing w:line="234" w:lineRule="exact"/>
              <w:ind w:left="259"/>
              <w:rPr>
                <w:sz w:val="22"/>
              </w:rPr>
            </w:pPr>
            <w:r>
              <w:rPr>
                <w:sz w:val="22"/>
              </w:rPr>
              <w:t>7026,9</w:t>
            </w:r>
          </w:p>
        </w:tc>
        <w:tc>
          <w:tcPr>
            <w:tcW w:w="1133" w:type="dxa"/>
          </w:tcPr>
          <w:p>
            <w:pPr>
              <w:pStyle w:val="TableParagraph"/>
              <w:spacing w:line="234" w:lineRule="exact"/>
              <w:ind w:left="136" w:right="121"/>
              <w:jc w:val="center"/>
              <w:rPr>
                <w:sz w:val="22"/>
              </w:rPr>
            </w:pPr>
            <w:r>
              <w:rPr>
                <w:sz w:val="22"/>
              </w:rPr>
              <w:t>7215,6</w:t>
            </w:r>
          </w:p>
        </w:tc>
        <w:tc>
          <w:tcPr>
            <w:tcW w:w="1278" w:type="dxa"/>
          </w:tcPr>
          <w:p>
            <w:pPr>
              <w:pStyle w:val="TableParagraph"/>
              <w:spacing w:line="234" w:lineRule="exact"/>
              <w:ind w:left="316" w:right="302"/>
              <w:jc w:val="center"/>
              <w:rPr>
                <w:sz w:val="22"/>
              </w:rPr>
            </w:pPr>
            <w:r>
              <w:rPr>
                <w:sz w:val="22"/>
              </w:rPr>
              <w:t>92,4</w:t>
            </w:r>
          </w:p>
        </w:tc>
        <w:tc>
          <w:tcPr>
            <w:tcW w:w="1278" w:type="dxa"/>
            <w:tcBorders>
              <w:right w:val="single" w:sz="6" w:space="0" w:color="000000"/>
            </w:tcBorders>
          </w:tcPr>
          <w:p>
            <w:pPr>
              <w:pStyle w:val="TableParagraph"/>
              <w:spacing w:line="234" w:lineRule="exact"/>
              <w:ind w:left="265" w:right="251"/>
              <w:jc w:val="center"/>
              <w:rPr>
                <w:sz w:val="22"/>
              </w:rPr>
            </w:pPr>
            <w:r>
              <w:rPr>
                <w:sz w:val="22"/>
              </w:rPr>
              <w:t>У 1,9 р</w:t>
            </w:r>
          </w:p>
        </w:tc>
      </w:tr>
    </w:tbl>
    <w:p>
      <w:pPr>
        <w:spacing w:before="0"/>
        <w:ind w:left="193" w:right="0" w:firstLine="0"/>
        <w:jc w:val="both"/>
        <w:rPr>
          <w:i/>
          <w:sz w:val="24"/>
        </w:rPr>
      </w:pPr>
      <w:r>
        <w:rPr>
          <w:i/>
          <w:sz w:val="24"/>
        </w:rPr>
        <w:t>Складено автором на основі джерела [5]</w:t>
      </w:r>
    </w:p>
    <w:p>
      <w:pPr>
        <w:pStyle w:val="BodyText"/>
        <w:spacing w:before="10"/>
        <w:ind w:left="0"/>
        <w:jc w:val="left"/>
        <w:rPr>
          <w:i/>
          <w:sz w:val="27"/>
        </w:rPr>
      </w:pPr>
    </w:p>
    <w:p>
      <w:pPr>
        <w:pStyle w:val="BodyText"/>
        <w:ind w:right="609" w:firstLine="710"/>
      </w:pPr>
      <w:r>
        <w:rPr/>
        <w:t>Слід</w:t>
      </w:r>
      <w:r>
        <w:rPr>
          <w:spacing w:val="-5"/>
        </w:rPr>
        <w:t> </w:t>
      </w:r>
      <w:r>
        <w:rPr/>
        <w:t>відмітити,</w:t>
      </w:r>
      <w:r>
        <w:rPr>
          <w:spacing w:val="-5"/>
        </w:rPr>
        <w:t> </w:t>
      </w:r>
      <w:r>
        <w:rPr/>
        <w:t>що</w:t>
      </w:r>
      <w:r>
        <w:rPr>
          <w:spacing w:val="-3"/>
        </w:rPr>
        <w:t> </w:t>
      </w:r>
      <w:r>
        <w:rPr/>
        <w:t>у</w:t>
      </w:r>
      <w:r>
        <w:rPr>
          <w:spacing w:val="-12"/>
        </w:rPr>
        <w:t> </w:t>
      </w:r>
      <w:r>
        <w:rPr/>
        <w:t>2000</w:t>
      </w:r>
      <w:r>
        <w:rPr>
          <w:spacing w:val="-7"/>
        </w:rPr>
        <w:t> </w:t>
      </w:r>
      <w:r>
        <w:rPr/>
        <w:t>році</w:t>
      </w:r>
      <w:r>
        <w:rPr>
          <w:spacing w:val="-8"/>
        </w:rPr>
        <w:t> </w:t>
      </w:r>
      <w:r>
        <w:rPr/>
        <w:t>в</w:t>
      </w:r>
      <w:r>
        <w:rPr>
          <w:spacing w:val="-8"/>
        </w:rPr>
        <w:t> </w:t>
      </w:r>
      <w:r>
        <w:rPr/>
        <w:t>Україні</w:t>
      </w:r>
      <w:r>
        <w:rPr>
          <w:spacing w:val="-8"/>
        </w:rPr>
        <w:t> </w:t>
      </w:r>
      <w:r>
        <w:rPr/>
        <w:t>перше</w:t>
      </w:r>
      <w:r>
        <w:rPr>
          <w:spacing w:val="-7"/>
        </w:rPr>
        <w:t> </w:t>
      </w:r>
      <w:r>
        <w:rPr/>
        <w:t>місце</w:t>
      </w:r>
      <w:r>
        <w:rPr>
          <w:spacing w:val="-2"/>
        </w:rPr>
        <w:t> </w:t>
      </w:r>
      <w:r>
        <w:rPr/>
        <w:t>у</w:t>
      </w:r>
      <w:r>
        <w:rPr>
          <w:spacing w:val="-11"/>
        </w:rPr>
        <w:t> </w:t>
      </w:r>
      <w:r>
        <w:rPr/>
        <w:t>валовій</w:t>
      </w:r>
      <w:r>
        <w:rPr>
          <w:spacing w:val="-7"/>
        </w:rPr>
        <w:t> </w:t>
      </w:r>
      <w:r>
        <w:rPr/>
        <w:t>продукції</w:t>
      </w:r>
      <w:r>
        <w:rPr>
          <w:spacing w:val="-13"/>
        </w:rPr>
        <w:t> </w:t>
      </w:r>
      <w:r>
        <w:rPr/>
        <w:t>з питомою вагою 23,2 % займало виробництво картоплі, овочів та баштанних, друге</w:t>
      </w:r>
      <w:r>
        <w:rPr>
          <w:spacing w:val="-3"/>
        </w:rPr>
        <w:t> </w:t>
      </w:r>
      <w:r>
        <w:rPr/>
        <w:t>і</w:t>
      </w:r>
      <w:r>
        <w:rPr>
          <w:spacing w:val="-12"/>
        </w:rPr>
        <w:t> </w:t>
      </w:r>
      <w:r>
        <w:rPr/>
        <w:t>третє</w:t>
      </w:r>
      <w:r>
        <w:rPr>
          <w:spacing w:val="-7"/>
        </w:rPr>
        <w:t> </w:t>
      </w:r>
      <w:r>
        <w:rPr/>
        <w:t>місце</w:t>
      </w:r>
      <w:r>
        <w:rPr>
          <w:spacing w:val="-7"/>
        </w:rPr>
        <w:t> </w:t>
      </w:r>
      <w:r>
        <w:rPr/>
        <w:t>відповідно</w:t>
      </w:r>
      <w:r>
        <w:rPr>
          <w:spacing w:val="-6"/>
        </w:rPr>
        <w:t> </w:t>
      </w:r>
      <w:r>
        <w:rPr/>
        <w:t>виробництво</w:t>
      </w:r>
      <w:r>
        <w:rPr>
          <w:spacing w:val="-7"/>
        </w:rPr>
        <w:t> </w:t>
      </w:r>
      <w:r>
        <w:rPr/>
        <w:t>молока</w:t>
      </w:r>
      <w:r>
        <w:rPr>
          <w:spacing w:val="1"/>
        </w:rPr>
        <w:t> </w:t>
      </w:r>
      <w:r>
        <w:rPr/>
        <w:t>–</w:t>
      </w:r>
      <w:r>
        <w:rPr>
          <w:spacing w:val="-7"/>
        </w:rPr>
        <w:t> </w:t>
      </w:r>
      <w:r>
        <w:rPr/>
        <w:t>20</w:t>
      </w:r>
      <w:r>
        <w:rPr>
          <w:spacing w:val="-7"/>
        </w:rPr>
        <w:t> </w:t>
      </w:r>
      <w:r>
        <w:rPr/>
        <w:t>%</w:t>
      </w:r>
      <w:r>
        <w:rPr>
          <w:spacing w:val="-9"/>
        </w:rPr>
        <w:t> </w:t>
      </w:r>
      <w:r>
        <w:rPr/>
        <w:t>та</w:t>
      </w:r>
      <w:r>
        <w:rPr>
          <w:spacing w:val="-6"/>
        </w:rPr>
        <w:t> </w:t>
      </w:r>
      <w:r>
        <w:rPr/>
        <w:t>продукції</w:t>
      </w:r>
      <w:r>
        <w:rPr>
          <w:spacing w:val="-13"/>
        </w:rPr>
        <w:t> </w:t>
      </w:r>
      <w:r>
        <w:rPr/>
        <w:t>зернових та зернобобових – 23,2 %. В середньому за 2015-2017 рр. виробничий напрям змінився на зерно – технічний. В Одеській області у 2017 р. було отримано 7 млрд.</w:t>
      </w:r>
      <w:r>
        <w:rPr>
          <w:spacing w:val="-9"/>
        </w:rPr>
        <w:t> </w:t>
      </w:r>
      <w:r>
        <w:rPr/>
        <w:t>93,3</w:t>
      </w:r>
      <w:r>
        <w:rPr>
          <w:spacing w:val="-10"/>
        </w:rPr>
        <w:t> </w:t>
      </w:r>
      <w:r>
        <w:rPr/>
        <w:t>млн.</w:t>
      </w:r>
      <w:r>
        <w:rPr>
          <w:spacing w:val="-8"/>
        </w:rPr>
        <w:t> </w:t>
      </w:r>
      <w:r>
        <w:rPr/>
        <w:t>грн.</w:t>
      </w:r>
      <w:r>
        <w:rPr>
          <w:spacing w:val="-13"/>
        </w:rPr>
        <w:t> </w:t>
      </w:r>
      <w:r>
        <w:rPr/>
        <w:t>валової</w:t>
      </w:r>
      <w:r>
        <w:rPr>
          <w:spacing w:val="-15"/>
        </w:rPr>
        <w:t> </w:t>
      </w:r>
      <w:r>
        <w:rPr/>
        <w:t>продукції,</w:t>
      </w:r>
      <w:r>
        <w:rPr>
          <w:spacing w:val="-8"/>
        </w:rPr>
        <w:t> </w:t>
      </w:r>
      <w:r>
        <w:rPr/>
        <w:t>що</w:t>
      </w:r>
      <w:r>
        <w:rPr>
          <w:spacing w:val="-10"/>
        </w:rPr>
        <w:t> </w:t>
      </w:r>
      <w:r>
        <w:rPr/>
        <w:t>на</w:t>
      </w:r>
      <w:r>
        <w:rPr>
          <w:spacing w:val="-9"/>
        </w:rPr>
        <w:t> </w:t>
      </w:r>
      <w:r>
        <w:rPr/>
        <w:t>26,3</w:t>
      </w:r>
      <w:r>
        <w:rPr>
          <w:spacing w:val="-10"/>
        </w:rPr>
        <w:t> </w:t>
      </w:r>
      <w:r>
        <w:rPr/>
        <w:t>%</w:t>
      </w:r>
      <w:r>
        <w:rPr>
          <w:spacing w:val="-12"/>
        </w:rPr>
        <w:t> </w:t>
      </w:r>
      <w:r>
        <w:rPr/>
        <w:t>більше</w:t>
      </w:r>
      <w:r>
        <w:rPr>
          <w:spacing w:val="-10"/>
        </w:rPr>
        <w:t> </w:t>
      </w:r>
      <w:r>
        <w:rPr/>
        <w:t>проти</w:t>
      </w:r>
      <w:r>
        <w:rPr>
          <w:spacing w:val="-10"/>
        </w:rPr>
        <w:t> </w:t>
      </w:r>
      <w:r>
        <w:rPr/>
        <w:t>2015</w:t>
      </w:r>
      <w:r>
        <w:rPr>
          <w:spacing w:val="-10"/>
        </w:rPr>
        <w:t> </w:t>
      </w:r>
      <w:r>
        <w:rPr/>
        <w:t>р.,</w:t>
      </w:r>
      <w:r>
        <w:rPr>
          <w:spacing w:val="-8"/>
        </w:rPr>
        <w:t> </w:t>
      </w:r>
      <w:r>
        <w:rPr/>
        <w:t>в</w:t>
      </w:r>
      <w:r>
        <w:rPr>
          <w:spacing w:val="-12"/>
        </w:rPr>
        <w:t> </w:t>
      </w:r>
      <w:r>
        <w:rPr/>
        <w:t>тому числі валова продукція рослинництва зросла на 29 %. Негативним для області є скорочення валової продукції тваринництва на 14,3 %. Необхідно відмітити (рис.1)</w:t>
      </w:r>
      <w:r>
        <w:rPr>
          <w:spacing w:val="-21"/>
        </w:rPr>
        <w:t> </w:t>
      </w:r>
      <w:r>
        <w:rPr/>
        <w:t>про</w:t>
      </w:r>
      <w:r>
        <w:rPr>
          <w:spacing w:val="-19"/>
        </w:rPr>
        <w:t> </w:t>
      </w:r>
      <w:r>
        <w:rPr/>
        <w:t>зростання</w:t>
      </w:r>
      <w:r>
        <w:rPr>
          <w:spacing w:val="-18"/>
        </w:rPr>
        <w:t> </w:t>
      </w:r>
      <w:r>
        <w:rPr/>
        <w:t>валової</w:t>
      </w:r>
      <w:r>
        <w:rPr>
          <w:spacing w:val="-24"/>
        </w:rPr>
        <w:t> </w:t>
      </w:r>
      <w:r>
        <w:rPr/>
        <w:t>продукції</w:t>
      </w:r>
      <w:r>
        <w:rPr>
          <w:spacing w:val="-20"/>
        </w:rPr>
        <w:t> </w:t>
      </w:r>
      <w:r>
        <w:rPr>
          <w:spacing w:val="4"/>
        </w:rPr>
        <w:t>на</w:t>
      </w:r>
      <w:r>
        <w:rPr>
          <w:spacing w:val="-18"/>
        </w:rPr>
        <w:t> </w:t>
      </w:r>
      <w:r>
        <w:rPr/>
        <w:t>одну</w:t>
      </w:r>
      <w:r>
        <w:rPr>
          <w:spacing w:val="-24"/>
        </w:rPr>
        <w:t> </w:t>
      </w:r>
      <w:r>
        <w:rPr/>
        <w:t>особу</w:t>
      </w:r>
      <w:r>
        <w:rPr>
          <w:spacing w:val="-19"/>
        </w:rPr>
        <w:t> </w:t>
      </w:r>
      <w:r>
        <w:rPr/>
        <w:t>в</w:t>
      </w:r>
      <w:r>
        <w:rPr>
          <w:spacing w:val="-20"/>
        </w:rPr>
        <w:t> </w:t>
      </w:r>
      <w:r>
        <w:rPr/>
        <w:t>Україні</w:t>
      </w:r>
      <w:r>
        <w:rPr>
          <w:spacing w:val="-19"/>
        </w:rPr>
        <w:t> </w:t>
      </w:r>
      <w:r>
        <w:rPr/>
        <w:t>у</w:t>
      </w:r>
      <w:r>
        <w:rPr>
          <w:spacing w:val="-19"/>
        </w:rPr>
        <w:t> </w:t>
      </w:r>
      <w:r>
        <w:rPr/>
        <w:t>2017</w:t>
      </w:r>
      <w:r>
        <w:rPr>
          <w:spacing w:val="-20"/>
        </w:rPr>
        <w:t> </w:t>
      </w:r>
      <w:r>
        <w:rPr/>
        <w:t>році</w:t>
      </w:r>
      <w:r>
        <w:rPr>
          <w:spacing w:val="-24"/>
        </w:rPr>
        <w:t> </w:t>
      </w:r>
      <w:r>
        <w:rPr/>
        <w:t>проти 2015 року, окрім продукції тваринництва. Отже, є позитивні зрушення у виробництві продукції рослинництва в с.-г. підприємствах в Україні і в тому числі в Одеській області. Але негативною тенденцією є скорочення </w:t>
      </w:r>
      <w:r>
        <w:rPr>
          <w:spacing w:val="2"/>
        </w:rPr>
        <w:t>обсягів </w:t>
      </w:r>
      <w:r>
        <w:rPr/>
        <w:t>виробництва продукції</w:t>
      </w:r>
      <w:r>
        <w:rPr>
          <w:spacing w:val="-4"/>
        </w:rPr>
        <w:t> </w:t>
      </w:r>
      <w:r>
        <w:rPr/>
        <w:t>тваринництва.</w:t>
      </w:r>
    </w:p>
    <w:p>
      <w:pPr>
        <w:pStyle w:val="BodyText"/>
        <w:spacing w:before="1"/>
        <w:ind w:right="615" w:firstLine="710"/>
      </w:pPr>
      <w:r>
        <w:rPr/>
        <w:t>Слід також розглянути які зміни відбулись у структурі посівних площ в Україні.</w:t>
      </w:r>
      <w:r>
        <w:rPr>
          <w:spacing w:val="-15"/>
        </w:rPr>
        <w:t> </w:t>
      </w:r>
      <w:r>
        <w:rPr/>
        <w:t>Як</w:t>
      </w:r>
      <w:r>
        <w:rPr>
          <w:spacing w:val="-18"/>
        </w:rPr>
        <w:t> </w:t>
      </w:r>
      <w:r>
        <w:rPr/>
        <w:t>саме</w:t>
      </w:r>
      <w:r>
        <w:rPr>
          <w:spacing w:val="-16"/>
        </w:rPr>
        <w:t> </w:t>
      </w:r>
      <w:r>
        <w:rPr/>
        <w:t>зміни</w:t>
      </w:r>
      <w:r>
        <w:rPr>
          <w:spacing w:val="-17"/>
        </w:rPr>
        <w:t> </w:t>
      </w:r>
      <w:r>
        <w:rPr/>
        <w:t>на</w:t>
      </w:r>
      <w:r>
        <w:rPr>
          <w:spacing w:val="-16"/>
        </w:rPr>
        <w:t> </w:t>
      </w:r>
      <w:r>
        <w:rPr/>
        <w:t>ринку</w:t>
      </w:r>
      <w:r>
        <w:rPr>
          <w:spacing w:val="-17"/>
        </w:rPr>
        <w:t> </w:t>
      </w:r>
      <w:r>
        <w:rPr/>
        <w:t>вплинули</w:t>
      </w:r>
      <w:r>
        <w:rPr>
          <w:spacing w:val="-17"/>
        </w:rPr>
        <w:t> </w:t>
      </w:r>
      <w:r>
        <w:rPr/>
        <w:t>на</w:t>
      </w:r>
      <w:r>
        <w:rPr>
          <w:spacing w:val="-16"/>
        </w:rPr>
        <w:t> </w:t>
      </w:r>
      <w:r>
        <w:rPr/>
        <w:t>структурні</w:t>
      </w:r>
      <w:r>
        <w:rPr>
          <w:spacing w:val="-17"/>
        </w:rPr>
        <w:t> </w:t>
      </w:r>
      <w:r>
        <w:rPr/>
        <w:t>зрушення</w:t>
      </w:r>
      <w:r>
        <w:rPr>
          <w:spacing w:val="-11"/>
        </w:rPr>
        <w:t> </w:t>
      </w:r>
      <w:r>
        <w:rPr/>
        <w:t>у</w:t>
      </w:r>
      <w:r>
        <w:rPr>
          <w:spacing w:val="-17"/>
        </w:rPr>
        <w:t> </w:t>
      </w:r>
      <w:r>
        <w:rPr/>
        <w:t>виробництві аграрної продукції. Як видно з показників в таблиці 5, у 2017 році площа під посівами</w:t>
      </w:r>
      <w:r>
        <w:rPr>
          <w:spacing w:val="-7"/>
        </w:rPr>
        <w:t> </w:t>
      </w:r>
      <w:r>
        <w:rPr/>
        <w:t>с.-г.</w:t>
      </w:r>
      <w:r>
        <w:rPr>
          <w:spacing w:val="-4"/>
        </w:rPr>
        <w:t> </w:t>
      </w:r>
      <w:r>
        <w:rPr/>
        <w:t>культур</w:t>
      </w:r>
      <w:r>
        <w:rPr>
          <w:spacing w:val="-6"/>
        </w:rPr>
        <w:t> </w:t>
      </w:r>
      <w:r>
        <w:rPr/>
        <w:t>зросла</w:t>
      </w:r>
      <w:r>
        <w:rPr>
          <w:spacing w:val="-5"/>
        </w:rPr>
        <w:t> </w:t>
      </w:r>
      <w:r>
        <w:rPr/>
        <w:t>на</w:t>
      </w:r>
      <w:r>
        <w:rPr>
          <w:spacing w:val="-6"/>
        </w:rPr>
        <w:t> </w:t>
      </w:r>
      <w:r>
        <w:rPr/>
        <w:t>3</w:t>
      </w:r>
      <w:r>
        <w:rPr>
          <w:spacing w:val="-6"/>
        </w:rPr>
        <w:t> </w:t>
      </w:r>
      <w:r>
        <w:rPr/>
        <w:t>%</w:t>
      </w:r>
      <w:r>
        <w:rPr>
          <w:spacing w:val="-8"/>
        </w:rPr>
        <w:t> </w:t>
      </w:r>
      <w:r>
        <w:rPr/>
        <w:t>або</w:t>
      </w:r>
      <w:r>
        <w:rPr>
          <w:spacing w:val="-2"/>
        </w:rPr>
        <w:t> </w:t>
      </w:r>
      <w:r>
        <w:rPr/>
        <w:t>552,9</w:t>
      </w:r>
      <w:r>
        <w:rPr>
          <w:spacing w:val="-6"/>
        </w:rPr>
        <w:t> </w:t>
      </w:r>
      <w:r>
        <w:rPr/>
        <w:t>тис.</w:t>
      </w:r>
      <w:r>
        <w:rPr>
          <w:spacing w:val="-5"/>
        </w:rPr>
        <w:t> </w:t>
      </w:r>
      <w:r>
        <w:rPr/>
        <w:t>га</w:t>
      </w:r>
      <w:r>
        <w:rPr>
          <w:spacing w:val="-6"/>
        </w:rPr>
        <w:t> </w:t>
      </w:r>
      <w:r>
        <w:rPr/>
        <w:t>в</w:t>
      </w:r>
      <w:r>
        <w:rPr>
          <w:spacing w:val="-8"/>
        </w:rPr>
        <w:t> </w:t>
      </w:r>
      <w:r>
        <w:rPr/>
        <w:t>порівнянні</w:t>
      </w:r>
      <w:r>
        <w:rPr>
          <w:spacing w:val="-7"/>
        </w:rPr>
        <w:t> </w:t>
      </w:r>
      <w:r>
        <w:rPr>
          <w:spacing w:val="-3"/>
        </w:rPr>
        <w:t>із</w:t>
      </w:r>
      <w:r>
        <w:rPr>
          <w:spacing w:val="-6"/>
        </w:rPr>
        <w:t> </w:t>
      </w:r>
      <w:r>
        <w:rPr/>
        <w:t>2015</w:t>
      </w:r>
      <w:r>
        <w:rPr>
          <w:spacing w:val="-6"/>
        </w:rPr>
        <w:t> </w:t>
      </w:r>
      <w:r>
        <w:rPr/>
        <w:t>роком, в тому числі під технічними – зросла на 11,8 % або на 839,5 тис.</w:t>
      </w:r>
      <w:r>
        <w:rPr>
          <w:spacing w:val="-4"/>
        </w:rPr>
        <w:t> </w:t>
      </w:r>
      <w:r>
        <w:rPr/>
        <w:t>га.</w:t>
      </w:r>
    </w:p>
    <w:p>
      <w:pPr>
        <w:spacing w:after="0"/>
        <w:sectPr>
          <w:pgSz w:w="11910" w:h="16840"/>
          <w:pgMar w:header="713" w:footer="778" w:top="1140" w:bottom="960" w:left="940" w:right="520"/>
        </w:sectPr>
      </w:pPr>
    </w:p>
    <w:p>
      <w:pPr>
        <w:pStyle w:val="BodyText"/>
        <w:ind w:left="0"/>
        <w:jc w:val="left"/>
        <w:rPr>
          <w:sz w:val="20"/>
        </w:rPr>
      </w:pPr>
    </w:p>
    <w:p>
      <w:pPr>
        <w:pStyle w:val="BodyText"/>
        <w:spacing w:before="6" w:after="1"/>
        <w:ind w:left="0"/>
        <w:jc w:val="left"/>
        <w:rPr>
          <w:sz w:val="16"/>
        </w:rPr>
      </w:pPr>
    </w:p>
    <w:p>
      <w:pPr>
        <w:pStyle w:val="BodyText"/>
        <w:ind w:left="2606"/>
        <w:jc w:val="left"/>
        <w:rPr>
          <w:sz w:val="20"/>
        </w:rPr>
      </w:pPr>
      <w:r>
        <w:rPr>
          <w:sz w:val="20"/>
        </w:rPr>
        <w:drawing>
          <wp:inline distT="0" distB="0" distL="0" distR="0">
            <wp:extent cx="3485768" cy="1671637"/>
            <wp:effectExtent l="0" t="0" r="0" b="0"/>
            <wp:docPr id="21" name="image65.png"/>
            <wp:cNvGraphicFramePr>
              <a:graphicFrameLocks noChangeAspect="1"/>
            </wp:cNvGraphicFramePr>
            <a:graphic>
              <a:graphicData uri="http://schemas.openxmlformats.org/drawingml/2006/picture">
                <pic:pic>
                  <pic:nvPicPr>
                    <pic:cNvPr id="22" name="image65.png"/>
                    <pic:cNvPicPr/>
                  </pic:nvPicPr>
                  <pic:blipFill>
                    <a:blip r:embed="rId112" cstate="print"/>
                    <a:stretch>
                      <a:fillRect/>
                    </a:stretch>
                  </pic:blipFill>
                  <pic:spPr>
                    <a:xfrm>
                      <a:off x="0" y="0"/>
                      <a:ext cx="3485768" cy="1671637"/>
                    </a:xfrm>
                    <a:prstGeom prst="rect">
                      <a:avLst/>
                    </a:prstGeom>
                  </pic:spPr>
                </pic:pic>
              </a:graphicData>
            </a:graphic>
          </wp:inline>
        </w:drawing>
      </w:r>
      <w:r>
        <w:rPr>
          <w:sz w:val="20"/>
        </w:rPr>
      </w:r>
    </w:p>
    <w:p>
      <w:pPr>
        <w:pStyle w:val="BodyText"/>
        <w:spacing w:before="139"/>
        <w:ind w:right="619" w:firstLine="710"/>
      </w:pPr>
      <w:r>
        <w:rPr/>
        <w:t>Рис. 1. Виробництво валової продукції в співставних цінах 2010 р. в Україні в розрахунку на 1 особу, грн.</w:t>
      </w:r>
    </w:p>
    <w:p>
      <w:pPr>
        <w:pStyle w:val="BodyText"/>
        <w:spacing w:before="11"/>
        <w:ind w:left="0"/>
        <w:jc w:val="left"/>
        <w:rPr>
          <w:sz w:val="27"/>
        </w:rPr>
      </w:pPr>
    </w:p>
    <w:p>
      <w:pPr>
        <w:pStyle w:val="BodyText"/>
        <w:ind w:right="610" w:firstLine="710"/>
      </w:pPr>
      <w:r>
        <w:rPr/>
        <w:t>Загальна площа посіву за зазначений період </w:t>
      </w:r>
      <w:r>
        <w:rPr>
          <w:spacing w:val="-3"/>
        </w:rPr>
        <w:t>під </w:t>
      </w:r>
      <w:r>
        <w:rPr/>
        <w:t>зерновими та зернобобовими скоротилась 1,4%; </w:t>
      </w:r>
      <w:r>
        <w:rPr>
          <w:spacing w:val="-3"/>
        </w:rPr>
        <w:t>під </w:t>
      </w:r>
      <w:r>
        <w:rPr/>
        <w:t>коренеплодами, овочевими та баштанними на 23,5 % або 18 тис. га, </w:t>
      </w:r>
      <w:r>
        <w:rPr>
          <w:spacing w:val="-3"/>
        </w:rPr>
        <w:t>під </w:t>
      </w:r>
      <w:r>
        <w:rPr/>
        <w:t>кормовими культурами – на 36,3 %. В структурі посівних площ стрімко зростає частка </w:t>
      </w:r>
      <w:r>
        <w:rPr>
          <w:spacing w:val="-3"/>
        </w:rPr>
        <w:t>під </w:t>
      </w:r>
      <w:r>
        <w:rPr/>
        <w:t>технічними культурами з 34,2 % у 2013 році до 41,4 % у 2017 році. Питома вага зернових та</w:t>
      </w:r>
      <w:r>
        <w:rPr>
          <w:spacing w:val="-44"/>
        </w:rPr>
        <w:t> </w:t>
      </w:r>
      <w:r>
        <w:rPr/>
        <w:t>зернобобових культур у структурі посівних площ зменшилась на 5,1% до рівня 54,9 %. Зменшилась частка посівних площ і </w:t>
      </w:r>
      <w:r>
        <w:rPr>
          <w:spacing w:val="-3"/>
        </w:rPr>
        <w:t>під </w:t>
      </w:r>
      <w:r>
        <w:rPr/>
        <w:t>іншими культурами. Отже, аграрії обирають виробництво найбільш конкурентоспроможної продукції, з найвищими темпами окупності вкладеного капіталу. Так, частка під олійними культурами зросла з 36,8 % до 39,7 % у 2017 році проти 2015 року за рахунок збільшення площ посіву соняшнику та</w:t>
      </w:r>
      <w:r>
        <w:rPr>
          <w:spacing w:val="-2"/>
        </w:rPr>
        <w:t> </w:t>
      </w:r>
      <w:r>
        <w:rPr/>
        <w:t>ріпаку.</w:t>
      </w:r>
    </w:p>
    <w:p>
      <w:pPr>
        <w:pStyle w:val="BodyText"/>
        <w:spacing w:before="2"/>
        <w:ind w:left="903"/>
      </w:pPr>
      <w:r>
        <w:rPr/>
        <w:t>Таблиця 5. Посівні площі с.-г. культур в с.-г. підприємствах в Україні, тис.</w:t>
      </w:r>
    </w:p>
    <w:p>
      <w:pPr>
        <w:pStyle w:val="BodyText"/>
        <w:spacing w:line="321" w:lineRule="exact" w:after="7"/>
        <w:jc w:val="left"/>
      </w:pPr>
      <w:r>
        <w:rPr/>
        <w:t>га</w:t>
      </w:r>
    </w:p>
    <w:tbl>
      <w:tblPr>
        <w:tblW w:w="0" w:type="auto"/>
        <w:jc w:val="left"/>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994"/>
        <w:gridCol w:w="566"/>
        <w:gridCol w:w="994"/>
        <w:gridCol w:w="710"/>
        <w:gridCol w:w="850"/>
        <w:gridCol w:w="706"/>
        <w:gridCol w:w="1177"/>
        <w:gridCol w:w="754"/>
        <w:gridCol w:w="946"/>
        <w:gridCol w:w="571"/>
      </w:tblGrid>
      <w:tr>
        <w:trPr>
          <w:trHeight w:val="253" w:hRule="atLeast"/>
        </w:trPr>
        <w:tc>
          <w:tcPr>
            <w:tcW w:w="1133" w:type="dxa"/>
            <w:vMerge w:val="restart"/>
          </w:tcPr>
          <w:p>
            <w:pPr>
              <w:pStyle w:val="TableParagraph"/>
              <w:rPr>
                <w:sz w:val="26"/>
              </w:rPr>
            </w:pPr>
          </w:p>
        </w:tc>
        <w:tc>
          <w:tcPr>
            <w:tcW w:w="994" w:type="dxa"/>
            <w:vMerge w:val="restart"/>
            <w:textDirection w:val="btLr"/>
          </w:tcPr>
          <w:p>
            <w:pPr>
              <w:pStyle w:val="TableParagraph"/>
              <w:spacing w:line="247" w:lineRule="auto" w:before="111"/>
              <w:ind w:left="211" w:right="215" w:firstLine="4"/>
              <w:jc w:val="center"/>
              <w:rPr>
                <w:sz w:val="22"/>
              </w:rPr>
            </w:pPr>
            <w:r>
              <w:rPr>
                <w:sz w:val="22"/>
              </w:rPr>
              <w:t>Культури сільсько- </w:t>
            </w:r>
            <w:r>
              <w:rPr>
                <w:spacing w:val="-1"/>
                <w:sz w:val="22"/>
              </w:rPr>
              <w:t>господарські</w:t>
            </w:r>
          </w:p>
        </w:tc>
        <w:tc>
          <w:tcPr>
            <w:tcW w:w="566" w:type="dxa"/>
            <w:vMerge w:val="restart"/>
          </w:tcPr>
          <w:p>
            <w:pPr>
              <w:pStyle w:val="TableParagraph"/>
              <w:rPr>
                <w:sz w:val="24"/>
              </w:rPr>
            </w:pPr>
          </w:p>
          <w:p>
            <w:pPr>
              <w:pStyle w:val="TableParagraph"/>
              <w:spacing w:before="9"/>
              <w:rPr>
                <w:sz w:val="35"/>
              </w:rPr>
            </w:pPr>
          </w:p>
          <w:p>
            <w:pPr>
              <w:pStyle w:val="TableParagraph"/>
              <w:ind w:left="192"/>
              <w:rPr>
                <w:sz w:val="22"/>
              </w:rPr>
            </w:pPr>
            <w:r>
              <w:rPr>
                <w:w w:val="100"/>
                <w:sz w:val="22"/>
              </w:rPr>
              <w:t>%</w:t>
            </w:r>
          </w:p>
        </w:tc>
        <w:tc>
          <w:tcPr>
            <w:tcW w:w="6708" w:type="dxa"/>
            <w:gridSpan w:val="8"/>
          </w:tcPr>
          <w:p>
            <w:pPr>
              <w:pStyle w:val="TableParagraph"/>
              <w:spacing w:line="234" w:lineRule="exact"/>
              <w:ind w:left="2691" w:right="2686"/>
              <w:jc w:val="center"/>
              <w:rPr>
                <w:sz w:val="22"/>
              </w:rPr>
            </w:pPr>
            <w:r>
              <w:rPr>
                <w:sz w:val="22"/>
              </w:rPr>
              <w:t>У тому числі:</w:t>
            </w:r>
          </w:p>
        </w:tc>
      </w:tr>
      <w:tr>
        <w:trPr>
          <w:trHeight w:val="1372" w:hRule="atLeast"/>
        </w:trPr>
        <w:tc>
          <w:tcPr>
            <w:tcW w:w="1133" w:type="dxa"/>
            <w:vMerge/>
            <w:tcBorders>
              <w:top w:val="nil"/>
            </w:tcBorders>
          </w:tcPr>
          <w:p>
            <w:pPr>
              <w:rPr>
                <w:sz w:val="2"/>
                <w:szCs w:val="2"/>
              </w:rPr>
            </w:pPr>
          </w:p>
        </w:tc>
        <w:tc>
          <w:tcPr>
            <w:tcW w:w="994" w:type="dxa"/>
            <w:vMerge/>
            <w:tcBorders>
              <w:top w:val="nil"/>
            </w:tcBorders>
            <w:textDirection w:val="btLr"/>
          </w:tcPr>
          <w:p>
            <w:pPr>
              <w:rPr>
                <w:sz w:val="2"/>
                <w:szCs w:val="2"/>
              </w:rPr>
            </w:pPr>
          </w:p>
        </w:tc>
        <w:tc>
          <w:tcPr>
            <w:tcW w:w="566" w:type="dxa"/>
            <w:vMerge/>
            <w:tcBorders>
              <w:top w:val="nil"/>
            </w:tcBorders>
          </w:tcPr>
          <w:p>
            <w:pPr>
              <w:rPr>
                <w:sz w:val="2"/>
                <w:szCs w:val="2"/>
              </w:rPr>
            </w:pPr>
          </w:p>
        </w:tc>
        <w:tc>
          <w:tcPr>
            <w:tcW w:w="994" w:type="dxa"/>
            <w:textDirection w:val="btLr"/>
          </w:tcPr>
          <w:p>
            <w:pPr>
              <w:pStyle w:val="TableParagraph"/>
              <w:spacing w:line="247" w:lineRule="auto" w:before="112"/>
              <w:ind w:left="119" w:right="119" w:firstLine="134"/>
              <w:jc w:val="both"/>
              <w:rPr>
                <w:sz w:val="22"/>
              </w:rPr>
            </w:pPr>
            <w:r>
              <w:rPr>
                <w:sz w:val="22"/>
              </w:rPr>
              <w:t>культури зернові та зернобобові</w:t>
            </w:r>
          </w:p>
        </w:tc>
        <w:tc>
          <w:tcPr>
            <w:tcW w:w="710" w:type="dxa"/>
          </w:tcPr>
          <w:p>
            <w:pPr>
              <w:pStyle w:val="TableParagraph"/>
              <w:rPr>
                <w:sz w:val="24"/>
              </w:rPr>
            </w:pPr>
          </w:p>
          <w:p>
            <w:pPr>
              <w:pStyle w:val="TableParagraph"/>
              <w:spacing w:before="1"/>
              <w:rPr>
                <w:sz w:val="24"/>
              </w:rPr>
            </w:pPr>
          </w:p>
          <w:p>
            <w:pPr>
              <w:pStyle w:val="TableParagraph"/>
              <w:ind w:left="13"/>
              <w:jc w:val="center"/>
              <w:rPr>
                <w:sz w:val="22"/>
              </w:rPr>
            </w:pPr>
            <w:r>
              <w:rPr>
                <w:w w:val="100"/>
                <w:sz w:val="22"/>
              </w:rPr>
              <w:t>%</w:t>
            </w:r>
          </w:p>
        </w:tc>
        <w:tc>
          <w:tcPr>
            <w:tcW w:w="850" w:type="dxa"/>
            <w:textDirection w:val="btLr"/>
          </w:tcPr>
          <w:p>
            <w:pPr>
              <w:pStyle w:val="TableParagraph"/>
              <w:spacing w:line="249" w:lineRule="auto" w:before="165"/>
              <w:ind w:left="297" w:right="217" w:hanging="63"/>
              <w:rPr>
                <w:sz w:val="22"/>
              </w:rPr>
            </w:pPr>
            <w:r>
              <w:rPr>
                <w:sz w:val="22"/>
              </w:rPr>
              <w:t>Культури технічні</w:t>
            </w:r>
          </w:p>
        </w:tc>
        <w:tc>
          <w:tcPr>
            <w:tcW w:w="706" w:type="dxa"/>
          </w:tcPr>
          <w:p>
            <w:pPr>
              <w:pStyle w:val="TableParagraph"/>
              <w:rPr>
                <w:sz w:val="24"/>
              </w:rPr>
            </w:pPr>
          </w:p>
          <w:p>
            <w:pPr>
              <w:pStyle w:val="TableParagraph"/>
              <w:spacing w:before="1"/>
              <w:rPr>
                <w:sz w:val="24"/>
              </w:rPr>
            </w:pPr>
          </w:p>
          <w:p>
            <w:pPr>
              <w:pStyle w:val="TableParagraph"/>
              <w:ind w:left="18"/>
              <w:jc w:val="center"/>
              <w:rPr>
                <w:sz w:val="22"/>
              </w:rPr>
            </w:pPr>
            <w:r>
              <w:rPr>
                <w:w w:val="100"/>
                <w:sz w:val="22"/>
              </w:rPr>
              <w:t>%</w:t>
            </w:r>
          </w:p>
        </w:tc>
        <w:tc>
          <w:tcPr>
            <w:tcW w:w="1177" w:type="dxa"/>
            <w:textDirection w:val="btLr"/>
          </w:tcPr>
          <w:p>
            <w:pPr>
              <w:pStyle w:val="TableParagraph"/>
              <w:spacing w:line="247" w:lineRule="auto" w:before="112"/>
              <w:ind w:left="220" w:right="226" w:firstLine="33"/>
              <w:jc w:val="both"/>
              <w:rPr>
                <w:sz w:val="22"/>
              </w:rPr>
            </w:pPr>
            <w:r>
              <w:rPr>
                <w:sz w:val="22"/>
              </w:rPr>
              <w:t>культури овочеві, баштанні,</w:t>
            </w:r>
          </w:p>
          <w:p>
            <w:pPr>
              <w:pStyle w:val="TableParagraph"/>
              <w:spacing w:line="251" w:lineRule="exact" w:before="2"/>
              <w:ind w:left="105"/>
              <w:rPr>
                <w:sz w:val="22"/>
              </w:rPr>
            </w:pPr>
            <w:r>
              <w:rPr>
                <w:sz w:val="22"/>
              </w:rPr>
              <w:t>продовольчі</w:t>
            </w:r>
          </w:p>
        </w:tc>
        <w:tc>
          <w:tcPr>
            <w:tcW w:w="754" w:type="dxa"/>
          </w:tcPr>
          <w:p>
            <w:pPr>
              <w:pStyle w:val="TableParagraph"/>
              <w:rPr>
                <w:sz w:val="24"/>
              </w:rPr>
            </w:pPr>
          </w:p>
          <w:p>
            <w:pPr>
              <w:pStyle w:val="TableParagraph"/>
              <w:spacing w:before="1"/>
              <w:rPr>
                <w:sz w:val="24"/>
              </w:rPr>
            </w:pPr>
          </w:p>
          <w:p>
            <w:pPr>
              <w:pStyle w:val="TableParagraph"/>
              <w:ind w:left="288"/>
              <w:rPr>
                <w:sz w:val="22"/>
              </w:rPr>
            </w:pPr>
            <w:r>
              <w:rPr>
                <w:w w:val="100"/>
                <w:sz w:val="22"/>
              </w:rPr>
              <w:t>%</w:t>
            </w:r>
          </w:p>
        </w:tc>
        <w:tc>
          <w:tcPr>
            <w:tcW w:w="946" w:type="dxa"/>
            <w:textDirection w:val="btLr"/>
          </w:tcPr>
          <w:p>
            <w:pPr>
              <w:pStyle w:val="TableParagraph"/>
              <w:spacing w:before="10"/>
              <w:rPr>
                <w:sz w:val="18"/>
              </w:rPr>
            </w:pPr>
          </w:p>
          <w:p>
            <w:pPr>
              <w:pStyle w:val="TableParagraph"/>
              <w:spacing w:line="244" w:lineRule="auto"/>
              <w:ind w:left="316" w:right="238" w:hanging="63"/>
              <w:rPr>
                <w:sz w:val="22"/>
              </w:rPr>
            </w:pPr>
            <w:r>
              <w:rPr>
                <w:sz w:val="22"/>
              </w:rPr>
              <w:t>культури кормові</w:t>
            </w:r>
          </w:p>
        </w:tc>
        <w:tc>
          <w:tcPr>
            <w:tcW w:w="571" w:type="dxa"/>
          </w:tcPr>
          <w:p>
            <w:pPr>
              <w:pStyle w:val="TableParagraph"/>
              <w:rPr>
                <w:sz w:val="24"/>
              </w:rPr>
            </w:pPr>
          </w:p>
          <w:p>
            <w:pPr>
              <w:pStyle w:val="TableParagraph"/>
              <w:spacing w:before="1"/>
              <w:rPr>
                <w:sz w:val="24"/>
              </w:rPr>
            </w:pPr>
          </w:p>
          <w:p>
            <w:pPr>
              <w:pStyle w:val="TableParagraph"/>
              <w:ind w:left="192"/>
              <w:rPr>
                <w:sz w:val="22"/>
              </w:rPr>
            </w:pPr>
            <w:r>
              <w:rPr>
                <w:w w:val="100"/>
                <w:sz w:val="22"/>
              </w:rPr>
              <w:t>%</w:t>
            </w:r>
          </w:p>
        </w:tc>
      </w:tr>
      <w:tr>
        <w:trPr>
          <w:trHeight w:val="254" w:hRule="atLeast"/>
        </w:trPr>
        <w:tc>
          <w:tcPr>
            <w:tcW w:w="1133" w:type="dxa"/>
          </w:tcPr>
          <w:p>
            <w:pPr>
              <w:pStyle w:val="TableParagraph"/>
              <w:spacing w:line="234" w:lineRule="exact"/>
              <w:ind w:left="133" w:right="121"/>
              <w:jc w:val="center"/>
              <w:rPr>
                <w:sz w:val="22"/>
              </w:rPr>
            </w:pPr>
            <w:r>
              <w:rPr>
                <w:sz w:val="22"/>
              </w:rPr>
              <w:t>2013р.</w:t>
            </w:r>
          </w:p>
        </w:tc>
        <w:tc>
          <w:tcPr>
            <w:tcW w:w="994" w:type="dxa"/>
          </w:tcPr>
          <w:p>
            <w:pPr>
              <w:pStyle w:val="TableParagraph"/>
              <w:spacing w:line="234" w:lineRule="exact"/>
              <w:ind w:left="154" w:right="73"/>
              <w:jc w:val="center"/>
              <w:rPr>
                <w:sz w:val="22"/>
              </w:rPr>
            </w:pPr>
            <w:r>
              <w:rPr>
                <w:sz w:val="22"/>
              </w:rPr>
              <w:t>19265,4</w:t>
            </w:r>
          </w:p>
        </w:tc>
        <w:tc>
          <w:tcPr>
            <w:tcW w:w="566" w:type="dxa"/>
          </w:tcPr>
          <w:p>
            <w:pPr>
              <w:pStyle w:val="TableParagraph"/>
              <w:spacing w:line="234" w:lineRule="exact"/>
              <w:ind w:left="134" w:right="52"/>
              <w:jc w:val="center"/>
              <w:rPr>
                <w:sz w:val="22"/>
              </w:rPr>
            </w:pPr>
            <w:r>
              <w:rPr>
                <w:sz w:val="22"/>
              </w:rPr>
              <w:t>100</w:t>
            </w:r>
          </w:p>
        </w:tc>
        <w:tc>
          <w:tcPr>
            <w:tcW w:w="994" w:type="dxa"/>
          </w:tcPr>
          <w:p>
            <w:pPr>
              <w:pStyle w:val="TableParagraph"/>
              <w:spacing w:line="234" w:lineRule="exact"/>
              <w:ind w:left="155" w:right="73"/>
              <w:jc w:val="center"/>
              <w:rPr>
                <w:sz w:val="22"/>
              </w:rPr>
            </w:pPr>
            <w:r>
              <w:rPr>
                <w:sz w:val="22"/>
              </w:rPr>
              <w:t>11567,2</w:t>
            </w:r>
          </w:p>
        </w:tc>
        <w:tc>
          <w:tcPr>
            <w:tcW w:w="710" w:type="dxa"/>
          </w:tcPr>
          <w:p>
            <w:pPr>
              <w:pStyle w:val="TableParagraph"/>
              <w:spacing w:line="234" w:lineRule="exact"/>
              <w:ind w:left="179" w:right="96"/>
              <w:jc w:val="center"/>
              <w:rPr>
                <w:sz w:val="22"/>
              </w:rPr>
            </w:pPr>
            <w:r>
              <w:rPr>
                <w:sz w:val="22"/>
              </w:rPr>
              <w:t>60,0</w:t>
            </w:r>
          </w:p>
        </w:tc>
        <w:tc>
          <w:tcPr>
            <w:tcW w:w="850" w:type="dxa"/>
          </w:tcPr>
          <w:p>
            <w:pPr>
              <w:pStyle w:val="TableParagraph"/>
              <w:spacing w:line="234" w:lineRule="exact"/>
              <w:ind w:right="68"/>
              <w:jc w:val="right"/>
              <w:rPr>
                <w:sz w:val="22"/>
              </w:rPr>
            </w:pPr>
            <w:r>
              <w:rPr>
                <w:sz w:val="22"/>
              </w:rPr>
              <w:t>6595,3</w:t>
            </w:r>
          </w:p>
        </w:tc>
        <w:tc>
          <w:tcPr>
            <w:tcW w:w="706" w:type="dxa"/>
          </w:tcPr>
          <w:p>
            <w:pPr>
              <w:pStyle w:val="TableParagraph"/>
              <w:spacing w:line="234" w:lineRule="exact"/>
              <w:ind w:left="179" w:right="91"/>
              <w:jc w:val="center"/>
              <w:rPr>
                <w:sz w:val="22"/>
              </w:rPr>
            </w:pPr>
            <w:r>
              <w:rPr>
                <w:sz w:val="22"/>
              </w:rPr>
              <w:t>34,2</w:t>
            </w:r>
          </w:p>
        </w:tc>
        <w:tc>
          <w:tcPr>
            <w:tcW w:w="1177" w:type="dxa"/>
          </w:tcPr>
          <w:p>
            <w:pPr>
              <w:pStyle w:val="TableParagraph"/>
              <w:spacing w:line="234" w:lineRule="exact"/>
              <w:ind w:left="414" w:right="327"/>
              <w:jc w:val="center"/>
              <w:rPr>
                <w:sz w:val="22"/>
              </w:rPr>
            </w:pPr>
            <w:r>
              <w:rPr>
                <w:sz w:val="22"/>
              </w:rPr>
              <w:t>78,6</w:t>
            </w:r>
          </w:p>
        </w:tc>
        <w:tc>
          <w:tcPr>
            <w:tcW w:w="754" w:type="dxa"/>
          </w:tcPr>
          <w:p>
            <w:pPr>
              <w:pStyle w:val="TableParagraph"/>
              <w:spacing w:line="234" w:lineRule="exact"/>
              <w:ind w:left="279"/>
              <w:rPr>
                <w:sz w:val="22"/>
              </w:rPr>
            </w:pPr>
            <w:r>
              <w:rPr>
                <w:sz w:val="22"/>
              </w:rPr>
              <w:t>0,4</w:t>
            </w:r>
          </w:p>
        </w:tc>
        <w:tc>
          <w:tcPr>
            <w:tcW w:w="946" w:type="dxa"/>
          </w:tcPr>
          <w:p>
            <w:pPr>
              <w:pStyle w:val="TableParagraph"/>
              <w:spacing w:line="234" w:lineRule="exact"/>
              <w:ind w:left="206"/>
              <w:rPr>
                <w:sz w:val="22"/>
              </w:rPr>
            </w:pPr>
            <w:r>
              <w:rPr>
                <w:sz w:val="22"/>
              </w:rPr>
              <w:t>1024,3</w:t>
            </w:r>
          </w:p>
        </w:tc>
        <w:tc>
          <w:tcPr>
            <w:tcW w:w="571" w:type="dxa"/>
          </w:tcPr>
          <w:p>
            <w:pPr>
              <w:pStyle w:val="TableParagraph"/>
              <w:spacing w:line="234" w:lineRule="exact"/>
              <w:ind w:left="182"/>
              <w:rPr>
                <w:sz w:val="22"/>
              </w:rPr>
            </w:pPr>
            <w:r>
              <w:rPr>
                <w:sz w:val="22"/>
              </w:rPr>
              <w:t>5,3</w:t>
            </w:r>
          </w:p>
        </w:tc>
      </w:tr>
      <w:tr>
        <w:trPr>
          <w:trHeight w:val="254" w:hRule="atLeast"/>
        </w:trPr>
        <w:tc>
          <w:tcPr>
            <w:tcW w:w="1133" w:type="dxa"/>
          </w:tcPr>
          <w:p>
            <w:pPr>
              <w:pStyle w:val="TableParagraph"/>
              <w:spacing w:line="235" w:lineRule="exact"/>
              <w:ind w:left="133" w:right="121"/>
              <w:jc w:val="center"/>
              <w:rPr>
                <w:sz w:val="22"/>
              </w:rPr>
            </w:pPr>
            <w:r>
              <w:rPr>
                <w:sz w:val="22"/>
              </w:rPr>
              <w:t>2014р.</w:t>
            </w:r>
          </w:p>
        </w:tc>
        <w:tc>
          <w:tcPr>
            <w:tcW w:w="994" w:type="dxa"/>
          </w:tcPr>
          <w:p>
            <w:pPr>
              <w:pStyle w:val="TableParagraph"/>
              <w:spacing w:line="235" w:lineRule="exact"/>
              <w:ind w:left="154" w:right="73"/>
              <w:jc w:val="center"/>
              <w:rPr>
                <w:sz w:val="22"/>
              </w:rPr>
            </w:pPr>
            <w:r>
              <w:rPr>
                <w:sz w:val="22"/>
              </w:rPr>
              <w:t>18834,2</w:t>
            </w:r>
          </w:p>
        </w:tc>
        <w:tc>
          <w:tcPr>
            <w:tcW w:w="566" w:type="dxa"/>
          </w:tcPr>
          <w:p>
            <w:pPr>
              <w:pStyle w:val="TableParagraph"/>
              <w:spacing w:line="235" w:lineRule="exact"/>
              <w:ind w:left="134" w:right="52"/>
              <w:jc w:val="center"/>
              <w:rPr>
                <w:sz w:val="22"/>
              </w:rPr>
            </w:pPr>
            <w:r>
              <w:rPr>
                <w:sz w:val="22"/>
              </w:rPr>
              <w:t>100</w:t>
            </w:r>
          </w:p>
        </w:tc>
        <w:tc>
          <w:tcPr>
            <w:tcW w:w="994" w:type="dxa"/>
          </w:tcPr>
          <w:p>
            <w:pPr>
              <w:pStyle w:val="TableParagraph"/>
              <w:spacing w:line="235" w:lineRule="exact"/>
              <w:ind w:left="155" w:right="73"/>
              <w:jc w:val="center"/>
              <w:rPr>
                <w:sz w:val="22"/>
              </w:rPr>
            </w:pPr>
            <w:r>
              <w:rPr>
                <w:sz w:val="22"/>
              </w:rPr>
              <w:t>10634,3</w:t>
            </w:r>
          </w:p>
        </w:tc>
        <w:tc>
          <w:tcPr>
            <w:tcW w:w="710" w:type="dxa"/>
          </w:tcPr>
          <w:p>
            <w:pPr>
              <w:pStyle w:val="TableParagraph"/>
              <w:spacing w:line="235" w:lineRule="exact"/>
              <w:ind w:left="179" w:right="96"/>
              <w:jc w:val="center"/>
              <w:rPr>
                <w:sz w:val="22"/>
              </w:rPr>
            </w:pPr>
            <w:r>
              <w:rPr>
                <w:sz w:val="22"/>
              </w:rPr>
              <w:t>56,5</w:t>
            </w:r>
          </w:p>
        </w:tc>
        <w:tc>
          <w:tcPr>
            <w:tcW w:w="850" w:type="dxa"/>
          </w:tcPr>
          <w:p>
            <w:pPr>
              <w:pStyle w:val="TableParagraph"/>
              <w:spacing w:line="235" w:lineRule="exact"/>
              <w:ind w:right="68"/>
              <w:jc w:val="right"/>
              <w:rPr>
                <w:sz w:val="22"/>
              </w:rPr>
            </w:pPr>
            <w:r>
              <w:rPr>
                <w:sz w:val="22"/>
              </w:rPr>
              <w:t>7230,9</w:t>
            </w:r>
          </w:p>
        </w:tc>
        <w:tc>
          <w:tcPr>
            <w:tcW w:w="706" w:type="dxa"/>
          </w:tcPr>
          <w:p>
            <w:pPr>
              <w:pStyle w:val="TableParagraph"/>
              <w:spacing w:line="235" w:lineRule="exact"/>
              <w:ind w:left="179" w:right="91"/>
              <w:jc w:val="center"/>
              <w:rPr>
                <w:sz w:val="22"/>
              </w:rPr>
            </w:pPr>
            <w:r>
              <w:rPr>
                <w:sz w:val="22"/>
              </w:rPr>
              <w:t>38,4</w:t>
            </w:r>
          </w:p>
        </w:tc>
        <w:tc>
          <w:tcPr>
            <w:tcW w:w="1177" w:type="dxa"/>
          </w:tcPr>
          <w:p>
            <w:pPr>
              <w:pStyle w:val="TableParagraph"/>
              <w:spacing w:line="235" w:lineRule="exact"/>
              <w:ind w:left="414" w:right="327"/>
              <w:jc w:val="center"/>
              <w:rPr>
                <w:sz w:val="22"/>
              </w:rPr>
            </w:pPr>
            <w:r>
              <w:rPr>
                <w:sz w:val="22"/>
              </w:rPr>
              <w:t>82,1</w:t>
            </w:r>
          </w:p>
        </w:tc>
        <w:tc>
          <w:tcPr>
            <w:tcW w:w="754" w:type="dxa"/>
          </w:tcPr>
          <w:p>
            <w:pPr>
              <w:pStyle w:val="TableParagraph"/>
              <w:spacing w:line="235" w:lineRule="exact"/>
              <w:ind w:left="279"/>
              <w:rPr>
                <w:sz w:val="22"/>
              </w:rPr>
            </w:pPr>
            <w:r>
              <w:rPr>
                <w:sz w:val="22"/>
              </w:rPr>
              <w:t>0,4</w:t>
            </w:r>
          </w:p>
        </w:tc>
        <w:tc>
          <w:tcPr>
            <w:tcW w:w="946" w:type="dxa"/>
          </w:tcPr>
          <w:p>
            <w:pPr>
              <w:pStyle w:val="TableParagraph"/>
              <w:spacing w:line="235" w:lineRule="exact"/>
              <w:ind w:left="259"/>
              <w:rPr>
                <w:sz w:val="22"/>
              </w:rPr>
            </w:pPr>
            <w:r>
              <w:rPr>
                <w:sz w:val="22"/>
              </w:rPr>
              <w:t>886,9</w:t>
            </w:r>
          </w:p>
        </w:tc>
        <w:tc>
          <w:tcPr>
            <w:tcW w:w="571" w:type="dxa"/>
          </w:tcPr>
          <w:p>
            <w:pPr>
              <w:pStyle w:val="TableParagraph"/>
              <w:spacing w:line="235" w:lineRule="exact"/>
              <w:ind w:left="182"/>
              <w:rPr>
                <w:sz w:val="22"/>
              </w:rPr>
            </w:pPr>
            <w:r>
              <w:rPr>
                <w:sz w:val="22"/>
              </w:rPr>
              <w:t>4,7</w:t>
            </w:r>
          </w:p>
        </w:tc>
      </w:tr>
      <w:tr>
        <w:trPr>
          <w:trHeight w:val="254" w:hRule="atLeast"/>
        </w:trPr>
        <w:tc>
          <w:tcPr>
            <w:tcW w:w="1133" w:type="dxa"/>
          </w:tcPr>
          <w:p>
            <w:pPr>
              <w:pStyle w:val="TableParagraph"/>
              <w:spacing w:line="234" w:lineRule="exact"/>
              <w:ind w:left="133" w:right="121"/>
              <w:jc w:val="center"/>
              <w:rPr>
                <w:sz w:val="22"/>
              </w:rPr>
            </w:pPr>
            <w:r>
              <w:rPr>
                <w:sz w:val="22"/>
              </w:rPr>
              <w:t>2015р.</w:t>
            </w:r>
          </w:p>
        </w:tc>
        <w:tc>
          <w:tcPr>
            <w:tcW w:w="994" w:type="dxa"/>
          </w:tcPr>
          <w:p>
            <w:pPr>
              <w:pStyle w:val="TableParagraph"/>
              <w:spacing w:line="234" w:lineRule="exact"/>
              <w:ind w:left="154" w:right="73"/>
              <w:jc w:val="center"/>
              <w:rPr>
                <w:sz w:val="22"/>
              </w:rPr>
            </w:pPr>
            <w:r>
              <w:rPr>
                <w:sz w:val="22"/>
              </w:rPr>
              <w:t>18706,4</w:t>
            </w:r>
          </w:p>
        </w:tc>
        <w:tc>
          <w:tcPr>
            <w:tcW w:w="566" w:type="dxa"/>
          </w:tcPr>
          <w:p>
            <w:pPr>
              <w:pStyle w:val="TableParagraph"/>
              <w:spacing w:line="234" w:lineRule="exact"/>
              <w:ind w:left="134" w:right="52"/>
              <w:jc w:val="center"/>
              <w:rPr>
                <w:sz w:val="22"/>
              </w:rPr>
            </w:pPr>
            <w:r>
              <w:rPr>
                <w:sz w:val="22"/>
              </w:rPr>
              <w:t>100</w:t>
            </w:r>
          </w:p>
        </w:tc>
        <w:tc>
          <w:tcPr>
            <w:tcW w:w="994" w:type="dxa"/>
          </w:tcPr>
          <w:p>
            <w:pPr>
              <w:pStyle w:val="TableParagraph"/>
              <w:spacing w:line="234" w:lineRule="exact"/>
              <w:ind w:left="155" w:right="73"/>
              <w:jc w:val="center"/>
              <w:rPr>
                <w:sz w:val="22"/>
              </w:rPr>
            </w:pPr>
            <w:r>
              <w:rPr>
                <w:sz w:val="22"/>
              </w:rPr>
              <w:t>10719,4</w:t>
            </w:r>
          </w:p>
        </w:tc>
        <w:tc>
          <w:tcPr>
            <w:tcW w:w="710" w:type="dxa"/>
          </w:tcPr>
          <w:p>
            <w:pPr>
              <w:pStyle w:val="TableParagraph"/>
              <w:spacing w:line="234" w:lineRule="exact"/>
              <w:ind w:left="179" w:right="96"/>
              <w:jc w:val="center"/>
              <w:rPr>
                <w:sz w:val="22"/>
              </w:rPr>
            </w:pPr>
            <w:r>
              <w:rPr>
                <w:sz w:val="22"/>
              </w:rPr>
              <w:t>57,3</w:t>
            </w:r>
          </w:p>
        </w:tc>
        <w:tc>
          <w:tcPr>
            <w:tcW w:w="850" w:type="dxa"/>
          </w:tcPr>
          <w:p>
            <w:pPr>
              <w:pStyle w:val="TableParagraph"/>
              <w:spacing w:line="234" w:lineRule="exact"/>
              <w:ind w:right="68"/>
              <w:jc w:val="right"/>
              <w:rPr>
                <w:sz w:val="22"/>
              </w:rPr>
            </w:pPr>
            <w:r>
              <w:rPr>
                <w:sz w:val="22"/>
              </w:rPr>
              <w:t>7136,0</w:t>
            </w:r>
          </w:p>
        </w:tc>
        <w:tc>
          <w:tcPr>
            <w:tcW w:w="706" w:type="dxa"/>
          </w:tcPr>
          <w:p>
            <w:pPr>
              <w:pStyle w:val="TableParagraph"/>
              <w:spacing w:line="234" w:lineRule="exact"/>
              <w:ind w:left="179" w:right="91"/>
              <w:jc w:val="center"/>
              <w:rPr>
                <w:sz w:val="22"/>
              </w:rPr>
            </w:pPr>
            <w:r>
              <w:rPr>
                <w:sz w:val="22"/>
              </w:rPr>
              <w:t>38,1</w:t>
            </w:r>
          </w:p>
        </w:tc>
        <w:tc>
          <w:tcPr>
            <w:tcW w:w="1177" w:type="dxa"/>
          </w:tcPr>
          <w:p>
            <w:pPr>
              <w:pStyle w:val="TableParagraph"/>
              <w:spacing w:line="234" w:lineRule="exact"/>
              <w:ind w:left="414" w:right="327"/>
              <w:jc w:val="center"/>
              <w:rPr>
                <w:sz w:val="22"/>
              </w:rPr>
            </w:pPr>
            <w:r>
              <w:rPr>
                <w:sz w:val="22"/>
              </w:rPr>
              <w:t>76,5</w:t>
            </w:r>
          </w:p>
        </w:tc>
        <w:tc>
          <w:tcPr>
            <w:tcW w:w="754" w:type="dxa"/>
          </w:tcPr>
          <w:p>
            <w:pPr>
              <w:pStyle w:val="TableParagraph"/>
              <w:spacing w:line="234" w:lineRule="exact"/>
              <w:ind w:left="279"/>
              <w:rPr>
                <w:sz w:val="22"/>
              </w:rPr>
            </w:pPr>
            <w:r>
              <w:rPr>
                <w:sz w:val="22"/>
              </w:rPr>
              <w:t>0,4</w:t>
            </w:r>
          </w:p>
        </w:tc>
        <w:tc>
          <w:tcPr>
            <w:tcW w:w="946" w:type="dxa"/>
          </w:tcPr>
          <w:p>
            <w:pPr>
              <w:pStyle w:val="TableParagraph"/>
              <w:spacing w:line="234" w:lineRule="exact"/>
              <w:ind w:left="259"/>
              <w:rPr>
                <w:sz w:val="22"/>
              </w:rPr>
            </w:pPr>
            <w:r>
              <w:rPr>
                <w:sz w:val="22"/>
              </w:rPr>
              <w:t>774,5</w:t>
            </w:r>
          </w:p>
        </w:tc>
        <w:tc>
          <w:tcPr>
            <w:tcW w:w="571" w:type="dxa"/>
          </w:tcPr>
          <w:p>
            <w:pPr>
              <w:pStyle w:val="TableParagraph"/>
              <w:spacing w:line="234" w:lineRule="exact"/>
              <w:ind w:left="182"/>
              <w:rPr>
                <w:sz w:val="22"/>
              </w:rPr>
            </w:pPr>
            <w:r>
              <w:rPr>
                <w:sz w:val="22"/>
              </w:rPr>
              <w:t>4,1</w:t>
            </w:r>
          </w:p>
        </w:tc>
      </w:tr>
      <w:tr>
        <w:trPr>
          <w:trHeight w:val="249" w:hRule="atLeast"/>
        </w:trPr>
        <w:tc>
          <w:tcPr>
            <w:tcW w:w="1133" w:type="dxa"/>
          </w:tcPr>
          <w:p>
            <w:pPr>
              <w:pStyle w:val="TableParagraph"/>
              <w:spacing w:line="229" w:lineRule="exact"/>
              <w:ind w:left="133" w:right="121"/>
              <w:jc w:val="center"/>
              <w:rPr>
                <w:sz w:val="22"/>
              </w:rPr>
            </w:pPr>
            <w:r>
              <w:rPr>
                <w:sz w:val="22"/>
              </w:rPr>
              <w:t>2016р.</w:t>
            </w:r>
          </w:p>
        </w:tc>
        <w:tc>
          <w:tcPr>
            <w:tcW w:w="994" w:type="dxa"/>
          </w:tcPr>
          <w:p>
            <w:pPr>
              <w:pStyle w:val="TableParagraph"/>
              <w:spacing w:line="229" w:lineRule="exact"/>
              <w:ind w:left="154" w:right="73"/>
              <w:jc w:val="center"/>
              <w:rPr>
                <w:sz w:val="22"/>
              </w:rPr>
            </w:pPr>
            <w:r>
              <w:rPr>
                <w:sz w:val="22"/>
              </w:rPr>
              <w:t>18805,8</w:t>
            </w:r>
          </w:p>
        </w:tc>
        <w:tc>
          <w:tcPr>
            <w:tcW w:w="566" w:type="dxa"/>
          </w:tcPr>
          <w:p>
            <w:pPr>
              <w:pStyle w:val="TableParagraph"/>
              <w:spacing w:line="229" w:lineRule="exact"/>
              <w:ind w:left="134" w:right="52"/>
              <w:jc w:val="center"/>
              <w:rPr>
                <w:sz w:val="22"/>
              </w:rPr>
            </w:pPr>
            <w:r>
              <w:rPr>
                <w:sz w:val="22"/>
              </w:rPr>
              <w:t>100</w:t>
            </w:r>
          </w:p>
        </w:tc>
        <w:tc>
          <w:tcPr>
            <w:tcW w:w="994" w:type="dxa"/>
          </w:tcPr>
          <w:p>
            <w:pPr>
              <w:pStyle w:val="TableParagraph"/>
              <w:spacing w:line="229" w:lineRule="exact"/>
              <w:ind w:left="155" w:right="73"/>
              <w:jc w:val="center"/>
              <w:rPr>
                <w:sz w:val="22"/>
              </w:rPr>
            </w:pPr>
            <w:r>
              <w:rPr>
                <w:sz w:val="22"/>
              </w:rPr>
              <w:t>10461,6</w:t>
            </w:r>
          </w:p>
        </w:tc>
        <w:tc>
          <w:tcPr>
            <w:tcW w:w="710" w:type="dxa"/>
          </w:tcPr>
          <w:p>
            <w:pPr>
              <w:pStyle w:val="TableParagraph"/>
              <w:spacing w:line="229" w:lineRule="exact"/>
              <w:ind w:left="179" w:right="96"/>
              <w:jc w:val="center"/>
              <w:rPr>
                <w:sz w:val="22"/>
              </w:rPr>
            </w:pPr>
            <w:r>
              <w:rPr>
                <w:sz w:val="22"/>
              </w:rPr>
              <w:t>55,6</w:t>
            </w:r>
          </w:p>
        </w:tc>
        <w:tc>
          <w:tcPr>
            <w:tcW w:w="850" w:type="dxa"/>
          </w:tcPr>
          <w:p>
            <w:pPr>
              <w:pStyle w:val="TableParagraph"/>
              <w:spacing w:line="229" w:lineRule="exact"/>
              <w:ind w:right="68"/>
              <w:jc w:val="right"/>
              <w:rPr>
                <w:sz w:val="22"/>
              </w:rPr>
            </w:pPr>
            <w:r>
              <w:rPr>
                <w:sz w:val="22"/>
              </w:rPr>
              <w:t>7553,6</w:t>
            </w:r>
          </w:p>
        </w:tc>
        <w:tc>
          <w:tcPr>
            <w:tcW w:w="706" w:type="dxa"/>
          </w:tcPr>
          <w:p>
            <w:pPr>
              <w:pStyle w:val="TableParagraph"/>
              <w:spacing w:line="229" w:lineRule="exact"/>
              <w:ind w:left="179" w:right="91"/>
              <w:jc w:val="center"/>
              <w:rPr>
                <w:sz w:val="22"/>
              </w:rPr>
            </w:pPr>
            <w:r>
              <w:rPr>
                <w:sz w:val="22"/>
              </w:rPr>
              <w:t>40,2</w:t>
            </w:r>
          </w:p>
        </w:tc>
        <w:tc>
          <w:tcPr>
            <w:tcW w:w="1177" w:type="dxa"/>
          </w:tcPr>
          <w:p>
            <w:pPr>
              <w:pStyle w:val="TableParagraph"/>
              <w:spacing w:line="229" w:lineRule="exact"/>
              <w:ind w:left="414" w:right="327"/>
              <w:jc w:val="center"/>
              <w:rPr>
                <w:sz w:val="22"/>
              </w:rPr>
            </w:pPr>
            <w:r>
              <w:rPr>
                <w:sz w:val="22"/>
              </w:rPr>
              <w:t>74,2</w:t>
            </w:r>
          </w:p>
        </w:tc>
        <w:tc>
          <w:tcPr>
            <w:tcW w:w="754" w:type="dxa"/>
          </w:tcPr>
          <w:p>
            <w:pPr>
              <w:pStyle w:val="TableParagraph"/>
              <w:spacing w:line="229" w:lineRule="exact"/>
              <w:ind w:left="279"/>
              <w:rPr>
                <w:sz w:val="22"/>
              </w:rPr>
            </w:pPr>
            <w:r>
              <w:rPr>
                <w:sz w:val="22"/>
              </w:rPr>
              <w:t>0,4</w:t>
            </w:r>
          </w:p>
        </w:tc>
        <w:tc>
          <w:tcPr>
            <w:tcW w:w="946" w:type="dxa"/>
          </w:tcPr>
          <w:p>
            <w:pPr>
              <w:pStyle w:val="TableParagraph"/>
              <w:spacing w:line="229" w:lineRule="exact"/>
              <w:ind w:left="259"/>
              <w:rPr>
                <w:sz w:val="22"/>
              </w:rPr>
            </w:pPr>
            <w:r>
              <w:rPr>
                <w:sz w:val="22"/>
              </w:rPr>
              <w:t>716,4</w:t>
            </w:r>
          </w:p>
        </w:tc>
        <w:tc>
          <w:tcPr>
            <w:tcW w:w="571" w:type="dxa"/>
          </w:tcPr>
          <w:p>
            <w:pPr>
              <w:pStyle w:val="TableParagraph"/>
              <w:spacing w:line="229" w:lineRule="exact"/>
              <w:ind w:left="182"/>
              <w:rPr>
                <w:sz w:val="22"/>
              </w:rPr>
            </w:pPr>
            <w:r>
              <w:rPr>
                <w:sz w:val="22"/>
              </w:rPr>
              <w:t>3,8</w:t>
            </w:r>
          </w:p>
        </w:tc>
      </w:tr>
      <w:tr>
        <w:trPr>
          <w:trHeight w:val="254" w:hRule="atLeast"/>
        </w:trPr>
        <w:tc>
          <w:tcPr>
            <w:tcW w:w="1133" w:type="dxa"/>
          </w:tcPr>
          <w:p>
            <w:pPr>
              <w:pStyle w:val="TableParagraph"/>
              <w:spacing w:line="234" w:lineRule="exact"/>
              <w:ind w:left="133" w:right="121"/>
              <w:jc w:val="center"/>
              <w:rPr>
                <w:sz w:val="22"/>
              </w:rPr>
            </w:pPr>
            <w:r>
              <w:rPr>
                <w:sz w:val="22"/>
              </w:rPr>
              <w:t>2017р.</w:t>
            </w:r>
          </w:p>
        </w:tc>
        <w:tc>
          <w:tcPr>
            <w:tcW w:w="994" w:type="dxa"/>
          </w:tcPr>
          <w:p>
            <w:pPr>
              <w:pStyle w:val="TableParagraph"/>
              <w:spacing w:line="234" w:lineRule="exact"/>
              <w:ind w:left="154" w:right="73"/>
              <w:jc w:val="center"/>
              <w:rPr>
                <w:sz w:val="22"/>
              </w:rPr>
            </w:pPr>
            <w:r>
              <w:rPr>
                <w:sz w:val="22"/>
              </w:rPr>
              <w:t>19259,3</w:t>
            </w:r>
          </w:p>
        </w:tc>
        <w:tc>
          <w:tcPr>
            <w:tcW w:w="566" w:type="dxa"/>
          </w:tcPr>
          <w:p>
            <w:pPr>
              <w:pStyle w:val="TableParagraph"/>
              <w:spacing w:line="234" w:lineRule="exact"/>
              <w:ind w:left="134" w:right="52"/>
              <w:jc w:val="center"/>
              <w:rPr>
                <w:sz w:val="22"/>
              </w:rPr>
            </w:pPr>
            <w:r>
              <w:rPr>
                <w:sz w:val="22"/>
              </w:rPr>
              <w:t>100</w:t>
            </w:r>
          </w:p>
        </w:tc>
        <w:tc>
          <w:tcPr>
            <w:tcW w:w="994" w:type="dxa"/>
          </w:tcPr>
          <w:p>
            <w:pPr>
              <w:pStyle w:val="TableParagraph"/>
              <w:spacing w:line="234" w:lineRule="exact"/>
              <w:ind w:left="155" w:right="73"/>
              <w:jc w:val="center"/>
              <w:rPr>
                <w:sz w:val="22"/>
              </w:rPr>
            </w:pPr>
            <w:r>
              <w:rPr>
                <w:sz w:val="22"/>
              </w:rPr>
              <w:t>10573,1</w:t>
            </w:r>
          </w:p>
        </w:tc>
        <w:tc>
          <w:tcPr>
            <w:tcW w:w="710" w:type="dxa"/>
          </w:tcPr>
          <w:p>
            <w:pPr>
              <w:pStyle w:val="TableParagraph"/>
              <w:spacing w:line="234" w:lineRule="exact"/>
              <w:ind w:left="179" w:right="96"/>
              <w:jc w:val="center"/>
              <w:rPr>
                <w:sz w:val="22"/>
              </w:rPr>
            </w:pPr>
            <w:r>
              <w:rPr>
                <w:sz w:val="22"/>
              </w:rPr>
              <w:t>54,9</w:t>
            </w:r>
          </w:p>
        </w:tc>
        <w:tc>
          <w:tcPr>
            <w:tcW w:w="850" w:type="dxa"/>
          </w:tcPr>
          <w:p>
            <w:pPr>
              <w:pStyle w:val="TableParagraph"/>
              <w:spacing w:line="234" w:lineRule="exact"/>
              <w:ind w:right="68"/>
              <w:jc w:val="right"/>
              <w:rPr>
                <w:sz w:val="22"/>
              </w:rPr>
            </w:pPr>
            <w:r>
              <w:rPr>
                <w:sz w:val="22"/>
              </w:rPr>
              <w:t>7975,5</w:t>
            </w:r>
          </w:p>
        </w:tc>
        <w:tc>
          <w:tcPr>
            <w:tcW w:w="706" w:type="dxa"/>
          </w:tcPr>
          <w:p>
            <w:pPr>
              <w:pStyle w:val="TableParagraph"/>
              <w:spacing w:line="234" w:lineRule="exact"/>
              <w:ind w:left="179" w:right="91"/>
              <w:jc w:val="center"/>
              <w:rPr>
                <w:sz w:val="22"/>
              </w:rPr>
            </w:pPr>
            <w:r>
              <w:rPr>
                <w:sz w:val="22"/>
              </w:rPr>
              <w:t>41,4</w:t>
            </w:r>
          </w:p>
        </w:tc>
        <w:tc>
          <w:tcPr>
            <w:tcW w:w="1177" w:type="dxa"/>
          </w:tcPr>
          <w:p>
            <w:pPr>
              <w:pStyle w:val="TableParagraph"/>
              <w:spacing w:line="234" w:lineRule="exact"/>
              <w:ind w:left="414" w:right="327"/>
              <w:jc w:val="center"/>
              <w:rPr>
                <w:sz w:val="22"/>
              </w:rPr>
            </w:pPr>
            <w:r>
              <w:rPr>
                <w:sz w:val="22"/>
              </w:rPr>
              <w:t>58,5</w:t>
            </w:r>
          </w:p>
        </w:tc>
        <w:tc>
          <w:tcPr>
            <w:tcW w:w="754" w:type="dxa"/>
          </w:tcPr>
          <w:p>
            <w:pPr>
              <w:pStyle w:val="TableParagraph"/>
              <w:spacing w:line="234" w:lineRule="exact"/>
              <w:ind w:left="279"/>
              <w:rPr>
                <w:sz w:val="22"/>
              </w:rPr>
            </w:pPr>
            <w:r>
              <w:rPr>
                <w:sz w:val="22"/>
              </w:rPr>
              <w:t>0,3</w:t>
            </w:r>
          </w:p>
        </w:tc>
        <w:tc>
          <w:tcPr>
            <w:tcW w:w="946" w:type="dxa"/>
          </w:tcPr>
          <w:p>
            <w:pPr>
              <w:pStyle w:val="TableParagraph"/>
              <w:spacing w:line="234" w:lineRule="exact"/>
              <w:ind w:left="259"/>
              <w:rPr>
                <w:sz w:val="22"/>
              </w:rPr>
            </w:pPr>
            <w:r>
              <w:rPr>
                <w:sz w:val="22"/>
              </w:rPr>
              <w:t>652,2</w:t>
            </w:r>
          </w:p>
        </w:tc>
        <w:tc>
          <w:tcPr>
            <w:tcW w:w="571" w:type="dxa"/>
          </w:tcPr>
          <w:p>
            <w:pPr>
              <w:pStyle w:val="TableParagraph"/>
              <w:spacing w:line="234" w:lineRule="exact"/>
              <w:ind w:left="182"/>
              <w:rPr>
                <w:sz w:val="22"/>
              </w:rPr>
            </w:pPr>
            <w:r>
              <w:rPr>
                <w:sz w:val="22"/>
              </w:rPr>
              <w:t>3,4</w:t>
            </w:r>
          </w:p>
        </w:tc>
      </w:tr>
      <w:tr>
        <w:trPr>
          <w:trHeight w:val="508" w:hRule="atLeast"/>
        </w:trPr>
        <w:tc>
          <w:tcPr>
            <w:tcW w:w="1133" w:type="dxa"/>
          </w:tcPr>
          <w:p>
            <w:pPr>
              <w:pStyle w:val="TableParagraph"/>
              <w:spacing w:line="249" w:lineRule="exact"/>
              <w:ind w:left="119"/>
              <w:rPr>
                <w:sz w:val="22"/>
              </w:rPr>
            </w:pPr>
            <w:r>
              <w:rPr>
                <w:sz w:val="22"/>
              </w:rPr>
              <w:t>2017р.</w:t>
            </w:r>
            <w:r>
              <w:rPr>
                <w:spacing w:val="1"/>
                <w:sz w:val="22"/>
              </w:rPr>
              <w:t> </w:t>
            </w:r>
            <w:r>
              <w:rPr>
                <w:sz w:val="22"/>
              </w:rPr>
              <w:t>до</w:t>
            </w:r>
          </w:p>
          <w:p>
            <w:pPr>
              <w:pStyle w:val="TableParagraph"/>
              <w:spacing w:line="238" w:lineRule="exact" w:before="1"/>
              <w:ind w:left="110"/>
              <w:rPr>
                <w:sz w:val="22"/>
              </w:rPr>
            </w:pPr>
            <w:r>
              <w:rPr>
                <w:sz w:val="22"/>
              </w:rPr>
              <w:t>2013р.,</w:t>
            </w:r>
            <w:r>
              <w:rPr>
                <w:spacing w:val="6"/>
                <w:sz w:val="22"/>
              </w:rPr>
              <w:t> </w:t>
            </w:r>
            <w:r>
              <w:rPr>
                <w:sz w:val="22"/>
              </w:rPr>
              <w:t>%</w:t>
            </w:r>
          </w:p>
        </w:tc>
        <w:tc>
          <w:tcPr>
            <w:tcW w:w="994" w:type="dxa"/>
          </w:tcPr>
          <w:p>
            <w:pPr>
              <w:pStyle w:val="TableParagraph"/>
              <w:spacing w:before="8"/>
              <w:rPr>
                <w:sz w:val="21"/>
              </w:rPr>
            </w:pPr>
          </w:p>
          <w:p>
            <w:pPr>
              <w:pStyle w:val="TableParagraph"/>
              <w:spacing w:line="238" w:lineRule="exact" w:before="1"/>
              <w:ind w:left="154" w:right="73"/>
              <w:jc w:val="center"/>
              <w:rPr>
                <w:sz w:val="22"/>
              </w:rPr>
            </w:pPr>
            <w:r>
              <w:rPr>
                <w:sz w:val="22"/>
              </w:rPr>
              <w:t>100,0</w:t>
            </w:r>
          </w:p>
        </w:tc>
        <w:tc>
          <w:tcPr>
            <w:tcW w:w="566" w:type="dxa"/>
          </w:tcPr>
          <w:p>
            <w:pPr>
              <w:pStyle w:val="TableParagraph"/>
              <w:spacing w:before="8"/>
              <w:rPr>
                <w:sz w:val="21"/>
              </w:rPr>
            </w:pPr>
          </w:p>
          <w:p>
            <w:pPr>
              <w:pStyle w:val="TableParagraph"/>
              <w:spacing w:line="238" w:lineRule="exact" w:before="1"/>
              <w:ind w:left="82"/>
              <w:jc w:val="center"/>
              <w:rPr>
                <w:sz w:val="22"/>
              </w:rPr>
            </w:pPr>
            <w:r>
              <w:rPr>
                <w:w w:val="100"/>
                <w:sz w:val="22"/>
              </w:rPr>
              <w:t>х</w:t>
            </w:r>
          </w:p>
        </w:tc>
        <w:tc>
          <w:tcPr>
            <w:tcW w:w="994" w:type="dxa"/>
          </w:tcPr>
          <w:p>
            <w:pPr>
              <w:pStyle w:val="TableParagraph"/>
              <w:spacing w:before="8"/>
              <w:rPr>
                <w:sz w:val="21"/>
              </w:rPr>
            </w:pPr>
          </w:p>
          <w:p>
            <w:pPr>
              <w:pStyle w:val="TableParagraph"/>
              <w:spacing w:line="238" w:lineRule="exact" w:before="1"/>
              <w:ind w:left="155" w:right="68"/>
              <w:jc w:val="center"/>
              <w:rPr>
                <w:sz w:val="22"/>
              </w:rPr>
            </w:pPr>
            <w:r>
              <w:rPr>
                <w:sz w:val="22"/>
              </w:rPr>
              <w:t>91,4</w:t>
            </w:r>
          </w:p>
        </w:tc>
        <w:tc>
          <w:tcPr>
            <w:tcW w:w="710" w:type="dxa"/>
          </w:tcPr>
          <w:p>
            <w:pPr>
              <w:pStyle w:val="TableParagraph"/>
              <w:spacing w:before="8"/>
              <w:rPr>
                <w:sz w:val="21"/>
              </w:rPr>
            </w:pPr>
          </w:p>
          <w:p>
            <w:pPr>
              <w:pStyle w:val="TableParagraph"/>
              <w:spacing w:line="238" w:lineRule="exact" w:before="1"/>
              <w:ind w:left="83"/>
              <w:jc w:val="center"/>
              <w:rPr>
                <w:sz w:val="22"/>
              </w:rPr>
            </w:pPr>
            <w:r>
              <w:rPr>
                <w:w w:val="100"/>
                <w:sz w:val="22"/>
              </w:rPr>
              <w:t>х</w:t>
            </w:r>
          </w:p>
        </w:tc>
        <w:tc>
          <w:tcPr>
            <w:tcW w:w="850" w:type="dxa"/>
          </w:tcPr>
          <w:p>
            <w:pPr>
              <w:pStyle w:val="TableParagraph"/>
              <w:spacing w:before="8"/>
              <w:rPr>
                <w:sz w:val="21"/>
              </w:rPr>
            </w:pPr>
          </w:p>
          <w:p>
            <w:pPr>
              <w:pStyle w:val="TableParagraph"/>
              <w:spacing w:line="238" w:lineRule="exact" w:before="1"/>
              <w:ind w:right="126"/>
              <w:jc w:val="right"/>
              <w:rPr>
                <w:sz w:val="22"/>
              </w:rPr>
            </w:pPr>
            <w:r>
              <w:rPr>
                <w:sz w:val="22"/>
              </w:rPr>
              <w:t>120,9</w:t>
            </w:r>
          </w:p>
        </w:tc>
        <w:tc>
          <w:tcPr>
            <w:tcW w:w="706" w:type="dxa"/>
          </w:tcPr>
          <w:p>
            <w:pPr>
              <w:pStyle w:val="TableParagraph"/>
              <w:spacing w:before="8"/>
              <w:rPr>
                <w:sz w:val="21"/>
              </w:rPr>
            </w:pPr>
          </w:p>
          <w:p>
            <w:pPr>
              <w:pStyle w:val="TableParagraph"/>
              <w:spacing w:line="238" w:lineRule="exact" w:before="1"/>
              <w:ind w:left="88"/>
              <w:jc w:val="center"/>
              <w:rPr>
                <w:sz w:val="22"/>
              </w:rPr>
            </w:pPr>
            <w:r>
              <w:rPr>
                <w:w w:val="100"/>
                <w:sz w:val="22"/>
              </w:rPr>
              <w:t>х</w:t>
            </w:r>
          </w:p>
        </w:tc>
        <w:tc>
          <w:tcPr>
            <w:tcW w:w="1177" w:type="dxa"/>
          </w:tcPr>
          <w:p>
            <w:pPr>
              <w:pStyle w:val="TableParagraph"/>
              <w:spacing w:before="8"/>
              <w:rPr>
                <w:sz w:val="21"/>
              </w:rPr>
            </w:pPr>
          </w:p>
          <w:p>
            <w:pPr>
              <w:pStyle w:val="TableParagraph"/>
              <w:spacing w:line="238" w:lineRule="exact" w:before="1"/>
              <w:ind w:left="414" w:right="327"/>
              <w:jc w:val="center"/>
              <w:rPr>
                <w:sz w:val="22"/>
              </w:rPr>
            </w:pPr>
            <w:r>
              <w:rPr>
                <w:sz w:val="22"/>
              </w:rPr>
              <w:t>74,4</w:t>
            </w:r>
          </w:p>
        </w:tc>
        <w:tc>
          <w:tcPr>
            <w:tcW w:w="754" w:type="dxa"/>
          </w:tcPr>
          <w:p>
            <w:pPr>
              <w:pStyle w:val="TableParagraph"/>
              <w:spacing w:before="8"/>
              <w:rPr>
                <w:sz w:val="21"/>
              </w:rPr>
            </w:pPr>
          </w:p>
          <w:p>
            <w:pPr>
              <w:pStyle w:val="TableParagraph"/>
              <w:spacing w:line="238" w:lineRule="exact" w:before="1"/>
              <w:ind w:left="87"/>
              <w:jc w:val="center"/>
              <w:rPr>
                <w:sz w:val="22"/>
              </w:rPr>
            </w:pPr>
            <w:r>
              <w:rPr>
                <w:w w:val="100"/>
                <w:sz w:val="22"/>
              </w:rPr>
              <w:t>х</w:t>
            </w:r>
          </w:p>
        </w:tc>
        <w:tc>
          <w:tcPr>
            <w:tcW w:w="946" w:type="dxa"/>
          </w:tcPr>
          <w:p>
            <w:pPr>
              <w:pStyle w:val="TableParagraph"/>
              <w:spacing w:before="8"/>
              <w:rPr>
                <w:sz w:val="21"/>
              </w:rPr>
            </w:pPr>
          </w:p>
          <w:p>
            <w:pPr>
              <w:pStyle w:val="TableParagraph"/>
              <w:spacing w:line="238" w:lineRule="exact" w:before="1"/>
              <w:ind w:left="317"/>
              <w:rPr>
                <w:sz w:val="22"/>
              </w:rPr>
            </w:pPr>
            <w:r>
              <w:rPr>
                <w:sz w:val="22"/>
              </w:rPr>
              <w:t>63,7</w:t>
            </w:r>
          </w:p>
        </w:tc>
        <w:tc>
          <w:tcPr>
            <w:tcW w:w="571" w:type="dxa"/>
          </w:tcPr>
          <w:p>
            <w:pPr>
              <w:pStyle w:val="TableParagraph"/>
              <w:spacing w:before="8"/>
              <w:rPr>
                <w:sz w:val="21"/>
              </w:rPr>
            </w:pPr>
          </w:p>
          <w:p>
            <w:pPr>
              <w:pStyle w:val="TableParagraph"/>
              <w:spacing w:line="238" w:lineRule="exact" w:before="1"/>
              <w:ind w:left="264"/>
              <w:rPr>
                <w:sz w:val="22"/>
              </w:rPr>
            </w:pPr>
            <w:r>
              <w:rPr>
                <w:w w:val="100"/>
                <w:sz w:val="22"/>
              </w:rPr>
              <w:t>х</w:t>
            </w:r>
          </w:p>
        </w:tc>
      </w:tr>
      <w:tr>
        <w:trPr>
          <w:trHeight w:val="504" w:hRule="atLeast"/>
        </w:trPr>
        <w:tc>
          <w:tcPr>
            <w:tcW w:w="1133" w:type="dxa"/>
          </w:tcPr>
          <w:p>
            <w:pPr>
              <w:pStyle w:val="TableParagraph"/>
              <w:spacing w:line="244" w:lineRule="exact"/>
              <w:ind w:left="119"/>
              <w:rPr>
                <w:sz w:val="22"/>
              </w:rPr>
            </w:pPr>
            <w:r>
              <w:rPr>
                <w:sz w:val="22"/>
              </w:rPr>
              <w:t>2017р.</w:t>
            </w:r>
            <w:r>
              <w:rPr>
                <w:spacing w:val="1"/>
                <w:sz w:val="22"/>
              </w:rPr>
              <w:t> </w:t>
            </w:r>
            <w:r>
              <w:rPr>
                <w:sz w:val="22"/>
              </w:rPr>
              <w:t>до</w:t>
            </w:r>
          </w:p>
          <w:p>
            <w:pPr>
              <w:pStyle w:val="TableParagraph"/>
              <w:spacing w:line="238" w:lineRule="exact" w:before="2"/>
              <w:ind w:left="110"/>
              <w:rPr>
                <w:sz w:val="22"/>
              </w:rPr>
            </w:pPr>
            <w:r>
              <w:rPr>
                <w:sz w:val="22"/>
              </w:rPr>
              <w:t>2015р.,</w:t>
            </w:r>
            <w:r>
              <w:rPr>
                <w:spacing w:val="4"/>
                <w:sz w:val="22"/>
              </w:rPr>
              <w:t> </w:t>
            </w:r>
            <w:r>
              <w:rPr>
                <w:sz w:val="22"/>
              </w:rPr>
              <w:t>%</w:t>
            </w:r>
          </w:p>
        </w:tc>
        <w:tc>
          <w:tcPr>
            <w:tcW w:w="994" w:type="dxa"/>
          </w:tcPr>
          <w:p>
            <w:pPr>
              <w:pStyle w:val="TableParagraph"/>
              <w:spacing w:before="4"/>
              <w:rPr>
                <w:sz w:val="21"/>
              </w:rPr>
            </w:pPr>
          </w:p>
          <w:p>
            <w:pPr>
              <w:pStyle w:val="TableParagraph"/>
              <w:spacing w:line="238" w:lineRule="exact"/>
              <w:ind w:left="154" w:right="73"/>
              <w:jc w:val="center"/>
              <w:rPr>
                <w:sz w:val="22"/>
              </w:rPr>
            </w:pPr>
            <w:r>
              <w:rPr>
                <w:sz w:val="22"/>
              </w:rPr>
              <w:t>103,0</w:t>
            </w:r>
          </w:p>
        </w:tc>
        <w:tc>
          <w:tcPr>
            <w:tcW w:w="566" w:type="dxa"/>
          </w:tcPr>
          <w:p>
            <w:pPr>
              <w:pStyle w:val="TableParagraph"/>
              <w:spacing w:before="4"/>
              <w:rPr>
                <w:sz w:val="21"/>
              </w:rPr>
            </w:pPr>
          </w:p>
          <w:p>
            <w:pPr>
              <w:pStyle w:val="TableParagraph"/>
              <w:spacing w:line="238" w:lineRule="exact"/>
              <w:ind w:left="82"/>
              <w:jc w:val="center"/>
              <w:rPr>
                <w:sz w:val="22"/>
              </w:rPr>
            </w:pPr>
            <w:r>
              <w:rPr>
                <w:w w:val="100"/>
                <w:sz w:val="22"/>
              </w:rPr>
              <w:t>х</w:t>
            </w:r>
          </w:p>
        </w:tc>
        <w:tc>
          <w:tcPr>
            <w:tcW w:w="994" w:type="dxa"/>
          </w:tcPr>
          <w:p>
            <w:pPr>
              <w:pStyle w:val="TableParagraph"/>
              <w:spacing w:before="4"/>
              <w:rPr>
                <w:sz w:val="21"/>
              </w:rPr>
            </w:pPr>
          </w:p>
          <w:p>
            <w:pPr>
              <w:pStyle w:val="TableParagraph"/>
              <w:spacing w:line="238" w:lineRule="exact"/>
              <w:ind w:left="155" w:right="68"/>
              <w:jc w:val="center"/>
              <w:rPr>
                <w:sz w:val="22"/>
              </w:rPr>
            </w:pPr>
            <w:r>
              <w:rPr>
                <w:sz w:val="22"/>
              </w:rPr>
              <w:t>98,6</w:t>
            </w:r>
          </w:p>
        </w:tc>
        <w:tc>
          <w:tcPr>
            <w:tcW w:w="710" w:type="dxa"/>
          </w:tcPr>
          <w:p>
            <w:pPr>
              <w:pStyle w:val="TableParagraph"/>
              <w:spacing w:before="4"/>
              <w:rPr>
                <w:sz w:val="21"/>
              </w:rPr>
            </w:pPr>
          </w:p>
          <w:p>
            <w:pPr>
              <w:pStyle w:val="TableParagraph"/>
              <w:spacing w:line="238" w:lineRule="exact"/>
              <w:ind w:left="83"/>
              <w:jc w:val="center"/>
              <w:rPr>
                <w:sz w:val="22"/>
              </w:rPr>
            </w:pPr>
            <w:r>
              <w:rPr>
                <w:w w:val="100"/>
                <w:sz w:val="22"/>
              </w:rPr>
              <w:t>х</w:t>
            </w:r>
          </w:p>
        </w:tc>
        <w:tc>
          <w:tcPr>
            <w:tcW w:w="850" w:type="dxa"/>
          </w:tcPr>
          <w:p>
            <w:pPr>
              <w:pStyle w:val="TableParagraph"/>
              <w:spacing w:before="4"/>
              <w:rPr>
                <w:sz w:val="21"/>
              </w:rPr>
            </w:pPr>
          </w:p>
          <w:p>
            <w:pPr>
              <w:pStyle w:val="TableParagraph"/>
              <w:spacing w:line="238" w:lineRule="exact"/>
              <w:ind w:right="126"/>
              <w:jc w:val="right"/>
              <w:rPr>
                <w:sz w:val="22"/>
              </w:rPr>
            </w:pPr>
            <w:r>
              <w:rPr>
                <w:sz w:val="22"/>
              </w:rPr>
              <w:t>111,8</w:t>
            </w:r>
          </w:p>
        </w:tc>
        <w:tc>
          <w:tcPr>
            <w:tcW w:w="706" w:type="dxa"/>
          </w:tcPr>
          <w:p>
            <w:pPr>
              <w:pStyle w:val="TableParagraph"/>
              <w:spacing w:before="4"/>
              <w:rPr>
                <w:sz w:val="21"/>
              </w:rPr>
            </w:pPr>
          </w:p>
          <w:p>
            <w:pPr>
              <w:pStyle w:val="TableParagraph"/>
              <w:spacing w:line="238" w:lineRule="exact"/>
              <w:ind w:left="88"/>
              <w:jc w:val="center"/>
              <w:rPr>
                <w:sz w:val="22"/>
              </w:rPr>
            </w:pPr>
            <w:r>
              <w:rPr>
                <w:w w:val="100"/>
                <w:sz w:val="22"/>
              </w:rPr>
              <w:t>х</w:t>
            </w:r>
          </w:p>
        </w:tc>
        <w:tc>
          <w:tcPr>
            <w:tcW w:w="1177" w:type="dxa"/>
          </w:tcPr>
          <w:p>
            <w:pPr>
              <w:pStyle w:val="TableParagraph"/>
              <w:spacing w:before="4"/>
              <w:rPr>
                <w:sz w:val="21"/>
              </w:rPr>
            </w:pPr>
          </w:p>
          <w:p>
            <w:pPr>
              <w:pStyle w:val="TableParagraph"/>
              <w:spacing w:line="238" w:lineRule="exact"/>
              <w:ind w:left="414" w:right="327"/>
              <w:jc w:val="center"/>
              <w:rPr>
                <w:sz w:val="22"/>
              </w:rPr>
            </w:pPr>
            <w:r>
              <w:rPr>
                <w:sz w:val="22"/>
              </w:rPr>
              <w:t>76,5</w:t>
            </w:r>
          </w:p>
        </w:tc>
        <w:tc>
          <w:tcPr>
            <w:tcW w:w="754" w:type="dxa"/>
          </w:tcPr>
          <w:p>
            <w:pPr>
              <w:pStyle w:val="TableParagraph"/>
              <w:spacing w:before="4"/>
              <w:rPr>
                <w:sz w:val="21"/>
              </w:rPr>
            </w:pPr>
          </w:p>
          <w:p>
            <w:pPr>
              <w:pStyle w:val="TableParagraph"/>
              <w:spacing w:line="238" w:lineRule="exact"/>
              <w:ind w:left="87"/>
              <w:jc w:val="center"/>
              <w:rPr>
                <w:sz w:val="22"/>
              </w:rPr>
            </w:pPr>
            <w:r>
              <w:rPr>
                <w:w w:val="100"/>
                <w:sz w:val="22"/>
              </w:rPr>
              <w:t>х</w:t>
            </w:r>
          </w:p>
        </w:tc>
        <w:tc>
          <w:tcPr>
            <w:tcW w:w="946" w:type="dxa"/>
          </w:tcPr>
          <w:p>
            <w:pPr>
              <w:pStyle w:val="TableParagraph"/>
              <w:spacing w:before="4"/>
              <w:rPr>
                <w:sz w:val="21"/>
              </w:rPr>
            </w:pPr>
          </w:p>
          <w:p>
            <w:pPr>
              <w:pStyle w:val="TableParagraph"/>
              <w:spacing w:line="238" w:lineRule="exact"/>
              <w:ind w:left="317"/>
              <w:rPr>
                <w:sz w:val="22"/>
              </w:rPr>
            </w:pPr>
            <w:r>
              <w:rPr>
                <w:sz w:val="22"/>
              </w:rPr>
              <w:t>84,2</w:t>
            </w:r>
          </w:p>
        </w:tc>
        <w:tc>
          <w:tcPr>
            <w:tcW w:w="571" w:type="dxa"/>
          </w:tcPr>
          <w:p>
            <w:pPr>
              <w:pStyle w:val="TableParagraph"/>
              <w:spacing w:before="4"/>
              <w:rPr>
                <w:sz w:val="21"/>
              </w:rPr>
            </w:pPr>
          </w:p>
          <w:p>
            <w:pPr>
              <w:pStyle w:val="TableParagraph"/>
              <w:spacing w:line="238" w:lineRule="exact"/>
              <w:ind w:left="264"/>
              <w:rPr>
                <w:sz w:val="22"/>
              </w:rPr>
            </w:pPr>
            <w:r>
              <w:rPr>
                <w:w w:val="100"/>
                <w:sz w:val="22"/>
              </w:rPr>
              <w:t>х</w:t>
            </w:r>
          </w:p>
        </w:tc>
      </w:tr>
    </w:tbl>
    <w:p>
      <w:pPr>
        <w:spacing w:before="0"/>
        <w:ind w:left="193" w:right="0" w:firstLine="0"/>
        <w:jc w:val="left"/>
        <w:rPr>
          <w:i/>
          <w:sz w:val="24"/>
        </w:rPr>
      </w:pPr>
      <w:r>
        <w:rPr>
          <w:i/>
          <w:sz w:val="24"/>
        </w:rPr>
        <w:t>Складено автором на основі джерела [5]</w:t>
      </w:r>
    </w:p>
    <w:p>
      <w:pPr>
        <w:pStyle w:val="BodyText"/>
        <w:spacing w:before="3"/>
        <w:ind w:left="0"/>
        <w:jc w:val="left"/>
        <w:rPr>
          <w:i/>
        </w:rPr>
      </w:pPr>
    </w:p>
    <w:p>
      <w:pPr>
        <w:pStyle w:val="BodyText"/>
        <w:ind w:right="607" w:firstLine="710"/>
      </w:pPr>
      <w:r>
        <w:rPr/>
        <w:t>Площі під гірчицею та льоном кудряшем скоротились на 27,3 і 14,9 тис.</w:t>
      </w:r>
      <w:r>
        <w:rPr>
          <w:spacing w:val="-42"/>
        </w:rPr>
        <w:t> </w:t>
      </w:r>
      <w:r>
        <w:rPr/>
        <w:t>га відповідно за зазначений період. Необхідно зазначити, частка соняшнику в структурі</w:t>
      </w:r>
      <w:r>
        <w:rPr>
          <w:spacing w:val="-11"/>
        </w:rPr>
        <w:t> </w:t>
      </w:r>
      <w:r>
        <w:rPr/>
        <w:t>посівних</w:t>
      </w:r>
      <w:r>
        <w:rPr>
          <w:spacing w:val="-5"/>
        </w:rPr>
        <w:t> </w:t>
      </w:r>
      <w:r>
        <w:rPr/>
        <w:t>площ</w:t>
      </w:r>
      <w:r>
        <w:rPr>
          <w:spacing w:val="-4"/>
        </w:rPr>
        <w:t> </w:t>
      </w:r>
      <w:r>
        <w:rPr/>
        <w:t>склала</w:t>
      </w:r>
      <w:r>
        <w:rPr>
          <w:spacing w:val="1"/>
        </w:rPr>
        <w:t> </w:t>
      </w:r>
      <w:r>
        <w:rPr/>
        <w:t>у</w:t>
      </w:r>
      <w:r>
        <w:rPr>
          <w:spacing w:val="-5"/>
        </w:rPr>
        <w:t> </w:t>
      </w:r>
      <w:r>
        <w:rPr/>
        <w:t>2017</w:t>
      </w:r>
      <w:r>
        <w:rPr>
          <w:spacing w:val="-5"/>
        </w:rPr>
        <w:t> </w:t>
      </w:r>
      <w:r>
        <w:rPr/>
        <w:t>році</w:t>
      </w:r>
      <w:r>
        <w:rPr>
          <w:spacing w:val="-11"/>
        </w:rPr>
        <w:t> </w:t>
      </w:r>
      <w:r>
        <w:rPr/>
        <w:t>25,7</w:t>
      </w:r>
      <w:r>
        <w:rPr>
          <w:spacing w:val="-4"/>
        </w:rPr>
        <w:t> </w:t>
      </w:r>
      <w:r>
        <w:rPr/>
        <w:t>%</w:t>
      </w:r>
      <w:r>
        <w:rPr>
          <w:spacing w:val="-7"/>
        </w:rPr>
        <w:t> </w:t>
      </w:r>
      <w:r>
        <w:rPr/>
        <w:t>проти</w:t>
      </w:r>
      <w:r>
        <w:rPr>
          <w:spacing w:val="-1"/>
        </w:rPr>
        <w:t> </w:t>
      </w:r>
      <w:r>
        <w:rPr/>
        <w:t>21,9</w:t>
      </w:r>
      <w:r>
        <w:rPr>
          <w:spacing w:val="-5"/>
        </w:rPr>
        <w:t> </w:t>
      </w:r>
      <w:r>
        <w:rPr/>
        <w:t>%</w:t>
      </w:r>
      <w:r>
        <w:rPr>
          <w:spacing w:val="-1"/>
        </w:rPr>
        <w:t> </w:t>
      </w:r>
      <w:r>
        <w:rPr/>
        <w:t>у</w:t>
      </w:r>
      <w:r>
        <w:rPr>
          <w:spacing w:val="-10"/>
        </w:rPr>
        <w:t> </w:t>
      </w:r>
      <w:r>
        <w:rPr/>
        <w:t>2015</w:t>
      </w:r>
      <w:r>
        <w:rPr>
          <w:spacing w:val="-5"/>
        </w:rPr>
        <w:t> </w:t>
      </w:r>
      <w:r>
        <w:rPr/>
        <w:t>році,</w:t>
      </w:r>
      <w:r>
        <w:rPr>
          <w:spacing w:val="-3"/>
        </w:rPr>
        <w:t> </w:t>
      </w:r>
      <w:r>
        <w:rPr/>
        <w:t>що суперечить усім науково – обґрунтованим нормам ведення землеробства</w:t>
      </w:r>
      <w:r>
        <w:rPr>
          <w:spacing w:val="32"/>
        </w:rPr>
        <w:t> </w:t>
      </w:r>
      <w:r>
        <w:rPr/>
        <w:t>і</w:t>
      </w:r>
    </w:p>
    <w:p>
      <w:pPr>
        <w:spacing w:after="0"/>
        <w:sectPr>
          <w:pgSz w:w="11910" w:h="16840"/>
          <w:pgMar w:header="713" w:footer="778" w:top="1140" w:bottom="960" w:left="940" w:right="520"/>
        </w:sectPr>
      </w:pPr>
    </w:p>
    <w:p>
      <w:pPr>
        <w:pStyle w:val="BodyText"/>
        <w:spacing w:before="92"/>
        <w:ind w:right="612"/>
      </w:pPr>
      <w:r>
        <w:rPr/>
        <w:drawing>
          <wp:anchor distT="0" distB="0" distL="0" distR="0" allowOverlap="1" layoutInCell="1" locked="0" behindDoc="0" simplePos="0" relativeHeight="40">
            <wp:simplePos x="0" y="0"/>
            <wp:positionH relativeFrom="page">
              <wp:posOffset>1774863</wp:posOffset>
            </wp:positionH>
            <wp:positionV relativeFrom="paragraph">
              <wp:posOffset>953952</wp:posOffset>
            </wp:positionV>
            <wp:extent cx="3749084" cy="1991677"/>
            <wp:effectExtent l="0" t="0" r="0" b="0"/>
            <wp:wrapTopAndBottom/>
            <wp:docPr id="23" name="image66.png"/>
            <wp:cNvGraphicFramePr>
              <a:graphicFrameLocks noChangeAspect="1"/>
            </wp:cNvGraphicFramePr>
            <a:graphic>
              <a:graphicData uri="http://schemas.openxmlformats.org/drawingml/2006/picture">
                <pic:pic>
                  <pic:nvPicPr>
                    <pic:cNvPr id="24" name="image66.png"/>
                    <pic:cNvPicPr/>
                  </pic:nvPicPr>
                  <pic:blipFill>
                    <a:blip r:embed="rId113" cstate="print"/>
                    <a:stretch>
                      <a:fillRect/>
                    </a:stretch>
                  </pic:blipFill>
                  <pic:spPr>
                    <a:xfrm>
                      <a:off x="0" y="0"/>
                      <a:ext cx="3749084" cy="1991677"/>
                    </a:xfrm>
                    <a:prstGeom prst="rect">
                      <a:avLst/>
                    </a:prstGeom>
                  </pic:spPr>
                </pic:pic>
              </a:graphicData>
            </a:graphic>
          </wp:anchor>
        </w:drawing>
      </w:r>
      <w:r>
        <w:rPr/>
        <w:t>практично відбувається знищення основного засобу виробництва - землі. З рисунку 2 видно, що за останні 5 років спостерігається коливання рівня урожайності основних с.-г. культур в Україні. Також необхідно відмітити вплив природно – кліматичних чинників на результат.</w:t>
      </w:r>
    </w:p>
    <w:p>
      <w:pPr>
        <w:pStyle w:val="BodyText"/>
        <w:ind w:left="888" w:right="603"/>
        <w:jc w:val="center"/>
      </w:pPr>
      <w:r>
        <w:rPr/>
        <w:t>Рис. 2. Урожайність с.-г. культур в Україні, ц/га</w:t>
      </w:r>
    </w:p>
    <w:p>
      <w:pPr>
        <w:pStyle w:val="BodyText"/>
        <w:spacing w:before="11"/>
        <w:ind w:left="0"/>
        <w:jc w:val="left"/>
        <w:rPr>
          <w:sz w:val="27"/>
        </w:rPr>
      </w:pPr>
    </w:p>
    <w:p>
      <w:pPr>
        <w:pStyle w:val="BodyText"/>
        <w:ind w:right="610" w:firstLine="710"/>
      </w:pPr>
      <w:r>
        <w:rPr/>
        <w:t>За період 2013 – 2015 рр. суттєвого зростання урожайності зазначених </w:t>
      </w:r>
      <w:r>
        <w:rPr>
          <w:spacing w:val="3"/>
        </w:rPr>
        <w:t>с.- </w:t>
      </w:r>
      <w:r>
        <w:rPr/>
        <w:t>г.</w:t>
      </w:r>
      <w:r>
        <w:rPr>
          <w:spacing w:val="-13"/>
        </w:rPr>
        <w:t> </w:t>
      </w:r>
      <w:r>
        <w:rPr/>
        <w:t>культур</w:t>
      </w:r>
      <w:r>
        <w:rPr>
          <w:spacing w:val="-14"/>
        </w:rPr>
        <w:t> </w:t>
      </w:r>
      <w:r>
        <w:rPr/>
        <w:t>не</w:t>
      </w:r>
      <w:r>
        <w:rPr>
          <w:spacing w:val="-13"/>
        </w:rPr>
        <w:t> </w:t>
      </w:r>
      <w:r>
        <w:rPr/>
        <w:t>виявлено,</w:t>
      </w:r>
      <w:r>
        <w:rPr>
          <w:spacing w:val="-13"/>
        </w:rPr>
        <w:t> </w:t>
      </w:r>
      <w:r>
        <w:rPr/>
        <w:t>що</w:t>
      </w:r>
      <w:r>
        <w:rPr>
          <w:spacing w:val="-14"/>
        </w:rPr>
        <w:t> </w:t>
      </w:r>
      <w:r>
        <w:rPr/>
        <w:t>є</w:t>
      </w:r>
      <w:r>
        <w:rPr>
          <w:spacing w:val="-18"/>
        </w:rPr>
        <w:t> </w:t>
      </w:r>
      <w:r>
        <w:rPr/>
        <w:t>підтвердженням</w:t>
      </w:r>
      <w:r>
        <w:rPr>
          <w:spacing w:val="-13"/>
        </w:rPr>
        <w:t> </w:t>
      </w:r>
      <w:r>
        <w:rPr/>
        <w:t>стагнації</w:t>
      </w:r>
      <w:r>
        <w:rPr>
          <w:spacing w:val="-20"/>
        </w:rPr>
        <w:t> </w:t>
      </w:r>
      <w:r>
        <w:rPr/>
        <w:t>в</w:t>
      </w:r>
      <w:r>
        <w:rPr>
          <w:spacing w:val="-16"/>
        </w:rPr>
        <w:t> </w:t>
      </w:r>
      <w:r>
        <w:rPr/>
        <w:t>підприємницькій</w:t>
      </w:r>
      <w:r>
        <w:rPr>
          <w:spacing w:val="-15"/>
        </w:rPr>
        <w:t> </w:t>
      </w:r>
      <w:r>
        <w:rPr/>
        <w:t>моделі поведінки аграріїв в Україні, що пов’язано </w:t>
      </w:r>
      <w:r>
        <w:rPr>
          <w:spacing w:val="-3"/>
        </w:rPr>
        <w:t>із </w:t>
      </w:r>
      <w:r>
        <w:rPr/>
        <w:t>традиційним консервативним підходом до виробництва продукції</w:t>
      </w:r>
      <w:r>
        <w:rPr>
          <w:spacing w:val="-3"/>
        </w:rPr>
        <w:t> </w:t>
      </w:r>
      <w:r>
        <w:rPr/>
        <w:t>рослинництва.</w:t>
      </w:r>
    </w:p>
    <w:p>
      <w:pPr>
        <w:pStyle w:val="BodyText"/>
        <w:spacing w:line="320" w:lineRule="exact" w:after="7"/>
        <w:ind w:left="903"/>
      </w:pPr>
      <w:r>
        <w:rPr/>
        <w:t>Таблиця 6. Поголів’я тварин та птиці в Україні на кінець року, тис. голів</w:t>
      </w: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9"/>
        <w:gridCol w:w="1277"/>
        <w:gridCol w:w="1272"/>
        <w:gridCol w:w="1843"/>
        <w:gridCol w:w="1133"/>
        <w:gridCol w:w="1421"/>
      </w:tblGrid>
      <w:tr>
        <w:trPr>
          <w:trHeight w:val="268" w:hRule="atLeast"/>
        </w:trPr>
        <w:tc>
          <w:tcPr>
            <w:tcW w:w="2559" w:type="dxa"/>
          </w:tcPr>
          <w:p>
            <w:pPr>
              <w:pStyle w:val="TableParagraph"/>
              <w:spacing w:line="248" w:lineRule="exact"/>
              <w:ind w:left="1019" w:right="1011"/>
              <w:jc w:val="center"/>
              <w:rPr>
                <w:sz w:val="23"/>
              </w:rPr>
            </w:pPr>
            <w:r>
              <w:rPr>
                <w:sz w:val="23"/>
              </w:rPr>
              <w:t>Роки</w:t>
            </w:r>
          </w:p>
        </w:tc>
        <w:tc>
          <w:tcPr>
            <w:tcW w:w="1277" w:type="dxa"/>
          </w:tcPr>
          <w:p>
            <w:pPr>
              <w:pStyle w:val="TableParagraph"/>
              <w:spacing w:line="248" w:lineRule="exact"/>
              <w:ind w:left="124" w:right="107"/>
              <w:jc w:val="center"/>
              <w:rPr>
                <w:sz w:val="23"/>
              </w:rPr>
            </w:pPr>
            <w:r>
              <w:rPr>
                <w:sz w:val="23"/>
              </w:rPr>
              <w:t>ВРХ</w:t>
            </w:r>
          </w:p>
        </w:tc>
        <w:tc>
          <w:tcPr>
            <w:tcW w:w="1272" w:type="dxa"/>
          </w:tcPr>
          <w:p>
            <w:pPr>
              <w:pStyle w:val="TableParagraph"/>
              <w:spacing w:line="248" w:lineRule="exact"/>
              <w:ind w:left="297" w:right="281"/>
              <w:jc w:val="center"/>
              <w:rPr>
                <w:sz w:val="23"/>
              </w:rPr>
            </w:pPr>
            <w:r>
              <w:rPr>
                <w:sz w:val="23"/>
              </w:rPr>
              <w:t>Свині</w:t>
            </w:r>
          </w:p>
        </w:tc>
        <w:tc>
          <w:tcPr>
            <w:tcW w:w="1843" w:type="dxa"/>
          </w:tcPr>
          <w:p>
            <w:pPr>
              <w:pStyle w:val="TableParagraph"/>
              <w:spacing w:line="248" w:lineRule="exact"/>
              <w:ind w:left="265" w:right="256"/>
              <w:jc w:val="center"/>
              <w:rPr>
                <w:sz w:val="23"/>
              </w:rPr>
            </w:pPr>
            <w:r>
              <w:rPr>
                <w:sz w:val="23"/>
              </w:rPr>
              <w:t>Вівці та кози</w:t>
            </w:r>
          </w:p>
        </w:tc>
        <w:tc>
          <w:tcPr>
            <w:tcW w:w="1133" w:type="dxa"/>
          </w:tcPr>
          <w:p>
            <w:pPr>
              <w:pStyle w:val="TableParagraph"/>
              <w:spacing w:line="248" w:lineRule="exact"/>
              <w:ind w:left="136" w:right="116"/>
              <w:jc w:val="center"/>
              <w:rPr>
                <w:sz w:val="23"/>
              </w:rPr>
            </w:pPr>
            <w:r>
              <w:rPr>
                <w:sz w:val="23"/>
              </w:rPr>
              <w:t>Коні</w:t>
            </w:r>
          </w:p>
        </w:tc>
        <w:tc>
          <w:tcPr>
            <w:tcW w:w="1421" w:type="dxa"/>
            <w:tcBorders>
              <w:right w:val="single" w:sz="6" w:space="0" w:color="000000"/>
            </w:tcBorders>
          </w:tcPr>
          <w:p>
            <w:pPr>
              <w:pStyle w:val="TableParagraph"/>
              <w:spacing w:line="248" w:lineRule="exact"/>
              <w:ind w:left="261" w:right="245"/>
              <w:jc w:val="center"/>
              <w:rPr>
                <w:sz w:val="23"/>
              </w:rPr>
            </w:pPr>
            <w:r>
              <w:rPr>
                <w:sz w:val="23"/>
              </w:rPr>
              <w:t>Птиця</w:t>
            </w:r>
          </w:p>
        </w:tc>
      </w:tr>
      <w:tr>
        <w:trPr>
          <w:trHeight w:val="278" w:hRule="atLeast"/>
        </w:trPr>
        <w:tc>
          <w:tcPr>
            <w:tcW w:w="2559" w:type="dxa"/>
          </w:tcPr>
          <w:p>
            <w:pPr>
              <w:pStyle w:val="TableParagraph"/>
              <w:spacing w:line="252" w:lineRule="exact" w:before="6"/>
              <w:ind w:left="1019" w:right="1005"/>
              <w:jc w:val="center"/>
              <w:rPr>
                <w:sz w:val="23"/>
              </w:rPr>
            </w:pPr>
            <w:r>
              <w:rPr>
                <w:sz w:val="23"/>
              </w:rPr>
              <w:t>2013</w:t>
            </w:r>
          </w:p>
        </w:tc>
        <w:tc>
          <w:tcPr>
            <w:tcW w:w="1277" w:type="dxa"/>
          </w:tcPr>
          <w:p>
            <w:pPr>
              <w:pStyle w:val="TableParagraph"/>
              <w:spacing w:line="252" w:lineRule="exact" w:before="6"/>
              <w:ind w:left="117" w:right="107"/>
              <w:jc w:val="center"/>
              <w:rPr>
                <w:sz w:val="23"/>
              </w:rPr>
            </w:pPr>
            <w:r>
              <w:rPr>
                <w:sz w:val="23"/>
              </w:rPr>
              <w:t>1417,6</w:t>
            </w:r>
          </w:p>
        </w:tc>
        <w:tc>
          <w:tcPr>
            <w:tcW w:w="1272" w:type="dxa"/>
          </w:tcPr>
          <w:p>
            <w:pPr>
              <w:pStyle w:val="TableParagraph"/>
              <w:spacing w:line="252" w:lineRule="exact" w:before="6"/>
              <w:ind w:left="297" w:right="291"/>
              <w:jc w:val="center"/>
              <w:rPr>
                <w:sz w:val="23"/>
              </w:rPr>
            </w:pPr>
            <w:r>
              <w:rPr>
                <w:sz w:val="23"/>
              </w:rPr>
              <w:t>3792,7</w:t>
            </w:r>
          </w:p>
        </w:tc>
        <w:tc>
          <w:tcPr>
            <w:tcW w:w="1843" w:type="dxa"/>
          </w:tcPr>
          <w:p>
            <w:pPr>
              <w:pStyle w:val="TableParagraph"/>
              <w:spacing w:line="252" w:lineRule="exact" w:before="6"/>
              <w:ind w:left="265" w:right="253"/>
              <w:jc w:val="center"/>
              <w:rPr>
                <w:sz w:val="23"/>
              </w:rPr>
            </w:pPr>
            <w:r>
              <w:rPr>
                <w:sz w:val="23"/>
              </w:rPr>
              <w:t>233,0</w:t>
            </w:r>
          </w:p>
        </w:tc>
        <w:tc>
          <w:tcPr>
            <w:tcW w:w="1133" w:type="dxa"/>
          </w:tcPr>
          <w:p>
            <w:pPr>
              <w:pStyle w:val="TableParagraph"/>
              <w:spacing w:line="252" w:lineRule="exact" w:before="6"/>
              <w:ind w:left="135" w:right="121"/>
              <w:jc w:val="center"/>
              <w:rPr>
                <w:sz w:val="23"/>
              </w:rPr>
            </w:pPr>
            <w:r>
              <w:rPr>
                <w:sz w:val="23"/>
              </w:rPr>
              <w:t>28,7</w:t>
            </w:r>
          </w:p>
        </w:tc>
        <w:tc>
          <w:tcPr>
            <w:tcW w:w="1421" w:type="dxa"/>
            <w:tcBorders>
              <w:right w:val="single" w:sz="6" w:space="0" w:color="000000"/>
            </w:tcBorders>
          </w:tcPr>
          <w:p>
            <w:pPr>
              <w:pStyle w:val="TableParagraph"/>
              <w:spacing w:line="252" w:lineRule="exact" w:before="6"/>
              <w:ind w:left="261" w:right="245"/>
              <w:jc w:val="center"/>
              <w:rPr>
                <w:sz w:val="23"/>
              </w:rPr>
            </w:pPr>
            <w:r>
              <w:rPr>
                <w:sz w:val="23"/>
              </w:rPr>
              <w:t>127240,0</w:t>
            </w:r>
          </w:p>
        </w:tc>
      </w:tr>
      <w:tr>
        <w:trPr>
          <w:trHeight w:val="273" w:hRule="atLeast"/>
        </w:trPr>
        <w:tc>
          <w:tcPr>
            <w:tcW w:w="2559" w:type="dxa"/>
          </w:tcPr>
          <w:p>
            <w:pPr>
              <w:pStyle w:val="TableParagraph"/>
              <w:spacing w:line="252" w:lineRule="exact" w:before="1"/>
              <w:ind w:left="1019" w:right="1005"/>
              <w:jc w:val="center"/>
              <w:rPr>
                <w:sz w:val="23"/>
              </w:rPr>
            </w:pPr>
            <w:r>
              <w:rPr>
                <w:sz w:val="23"/>
              </w:rPr>
              <w:t>2014</w:t>
            </w:r>
          </w:p>
        </w:tc>
        <w:tc>
          <w:tcPr>
            <w:tcW w:w="1277" w:type="dxa"/>
          </w:tcPr>
          <w:p>
            <w:pPr>
              <w:pStyle w:val="TableParagraph"/>
              <w:spacing w:line="252" w:lineRule="exact" w:before="1"/>
              <w:ind w:left="117" w:right="107"/>
              <w:jc w:val="center"/>
              <w:rPr>
                <w:sz w:val="23"/>
              </w:rPr>
            </w:pPr>
            <w:r>
              <w:rPr>
                <w:sz w:val="23"/>
              </w:rPr>
              <w:t>1310,2</w:t>
            </w:r>
          </w:p>
        </w:tc>
        <w:tc>
          <w:tcPr>
            <w:tcW w:w="1272" w:type="dxa"/>
          </w:tcPr>
          <w:p>
            <w:pPr>
              <w:pStyle w:val="TableParagraph"/>
              <w:spacing w:line="252" w:lineRule="exact" w:before="1"/>
              <w:ind w:left="297" w:right="291"/>
              <w:jc w:val="center"/>
              <w:rPr>
                <w:sz w:val="23"/>
              </w:rPr>
            </w:pPr>
            <w:r>
              <w:rPr>
                <w:sz w:val="23"/>
              </w:rPr>
              <w:t>3732,8</w:t>
            </w:r>
          </w:p>
        </w:tc>
        <w:tc>
          <w:tcPr>
            <w:tcW w:w="1843" w:type="dxa"/>
          </w:tcPr>
          <w:p>
            <w:pPr>
              <w:pStyle w:val="TableParagraph"/>
              <w:spacing w:line="252" w:lineRule="exact" w:before="1"/>
              <w:ind w:left="265" w:right="253"/>
              <w:jc w:val="center"/>
              <w:rPr>
                <w:sz w:val="23"/>
              </w:rPr>
            </w:pPr>
            <w:r>
              <w:rPr>
                <w:sz w:val="23"/>
              </w:rPr>
              <w:t>205,5</w:t>
            </w:r>
          </w:p>
        </w:tc>
        <w:tc>
          <w:tcPr>
            <w:tcW w:w="1133" w:type="dxa"/>
          </w:tcPr>
          <w:p>
            <w:pPr>
              <w:pStyle w:val="TableParagraph"/>
              <w:spacing w:line="252" w:lineRule="exact" w:before="1"/>
              <w:ind w:left="135" w:right="121"/>
              <w:jc w:val="center"/>
              <w:rPr>
                <w:sz w:val="23"/>
              </w:rPr>
            </w:pPr>
            <w:r>
              <w:rPr>
                <w:sz w:val="23"/>
              </w:rPr>
              <w:t>23,8</w:t>
            </w:r>
          </w:p>
        </w:tc>
        <w:tc>
          <w:tcPr>
            <w:tcW w:w="1421" w:type="dxa"/>
            <w:tcBorders>
              <w:right w:val="single" w:sz="6" w:space="0" w:color="000000"/>
            </w:tcBorders>
          </w:tcPr>
          <w:p>
            <w:pPr>
              <w:pStyle w:val="TableParagraph"/>
              <w:spacing w:line="252" w:lineRule="exact" w:before="1"/>
              <w:ind w:left="261" w:right="245"/>
              <w:jc w:val="center"/>
              <w:rPr>
                <w:sz w:val="23"/>
              </w:rPr>
            </w:pPr>
            <w:r>
              <w:rPr>
                <w:sz w:val="23"/>
              </w:rPr>
              <w:t>122077,8</w:t>
            </w:r>
          </w:p>
        </w:tc>
      </w:tr>
      <w:tr>
        <w:trPr>
          <w:trHeight w:val="273" w:hRule="atLeast"/>
        </w:trPr>
        <w:tc>
          <w:tcPr>
            <w:tcW w:w="2559" w:type="dxa"/>
          </w:tcPr>
          <w:p>
            <w:pPr>
              <w:pStyle w:val="TableParagraph"/>
              <w:spacing w:line="252" w:lineRule="exact" w:before="1"/>
              <w:ind w:left="1019" w:right="1005"/>
              <w:jc w:val="center"/>
              <w:rPr>
                <w:sz w:val="23"/>
              </w:rPr>
            </w:pPr>
            <w:r>
              <w:rPr>
                <w:sz w:val="23"/>
              </w:rPr>
              <w:t>2015</w:t>
            </w:r>
          </w:p>
        </w:tc>
        <w:tc>
          <w:tcPr>
            <w:tcW w:w="1277" w:type="dxa"/>
          </w:tcPr>
          <w:p>
            <w:pPr>
              <w:pStyle w:val="TableParagraph"/>
              <w:spacing w:line="252" w:lineRule="exact" w:before="1"/>
              <w:ind w:left="117" w:right="107"/>
              <w:jc w:val="center"/>
              <w:rPr>
                <w:sz w:val="23"/>
              </w:rPr>
            </w:pPr>
            <w:r>
              <w:rPr>
                <w:sz w:val="23"/>
              </w:rPr>
              <w:t>1270,5</w:t>
            </w:r>
          </w:p>
        </w:tc>
        <w:tc>
          <w:tcPr>
            <w:tcW w:w="1272" w:type="dxa"/>
          </w:tcPr>
          <w:p>
            <w:pPr>
              <w:pStyle w:val="TableParagraph"/>
              <w:spacing w:line="252" w:lineRule="exact" w:before="1"/>
              <w:ind w:left="297" w:right="291"/>
              <w:jc w:val="center"/>
              <w:rPr>
                <w:sz w:val="23"/>
              </w:rPr>
            </w:pPr>
            <w:r>
              <w:rPr>
                <w:sz w:val="23"/>
              </w:rPr>
              <w:t>3704,0</w:t>
            </w:r>
          </w:p>
        </w:tc>
        <w:tc>
          <w:tcPr>
            <w:tcW w:w="1843" w:type="dxa"/>
          </w:tcPr>
          <w:p>
            <w:pPr>
              <w:pStyle w:val="TableParagraph"/>
              <w:spacing w:line="252" w:lineRule="exact" w:before="1"/>
              <w:ind w:left="265" w:right="253"/>
              <w:jc w:val="center"/>
              <w:rPr>
                <w:sz w:val="23"/>
              </w:rPr>
            </w:pPr>
            <w:r>
              <w:rPr>
                <w:sz w:val="23"/>
              </w:rPr>
              <w:t>186,9</w:t>
            </w:r>
          </w:p>
        </w:tc>
        <w:tc>
          <w:tcPr>
            <w:tcW w:w="1133" w:type="dxa"/>
          </w:tcPr>
          <w:p>
            <w:pPr>
              <w:pStyle w:val="TableParagraph"/>
              <w:spacing w:line="252" w:lineRule="exact" w:before="1"/>
              <w:ind w:left="135" w:right="121"/>
              <w:jc w:val="center"/>
              <w:rPr>
                <w:sz w:val="23"/>
              </w:rPr>
            </w:pPr>
            <w:r>
              <w:rPr>
                <w:sz w:val="23"/>
              </w:rPr>
              <w:t>21,2</w:t>
            </w:r>
          </w:p>
        </w:tc>
        <w:tc>
          <w:tcPr>
            <w:tcW w:w="1421" w:type="dxa"/>
            <w:tcBorders>
              <w:right w:val="single" w:sz="6" w:space="0" w:color="000000"/>
            </w:tcBorders>
          </w:tcPr>
          <w:p>
            <w:pPr>
              <w:pStyle w:val="TableParagraph"/>
              <w:spacing w:line="252" w:lineRule="exact" w:before="1"/>
              <w:ind w:left="261" w:right="245"/>
              <w:jc w:val="center"/>
              <w:rPr>
                <w:sz w:val="23"/>
              </w:rPr>
            </w:pPr>
            <w:r>
              <w:rPr>
                <w:sz w:val="23"/>
              </w:rPr>
              <w:t>112008,7</w:t>
            </w:r>
          </w:p>
        </w:tc>
      </w:tr>
      <w:tr>
        <w:trPr>
          <w:trHeight w:val="268" w:hRule="atLeast"/>
        </w:trPr>
        <w:tc>
          <w:tcPr>
            <w:tcW w:w="2559" w:type="dxa"/>
          </w:tcPr>
          <w:p>
            <w:pPr>
              <w:pStyle w:val="TableParagraph"/>
              <w:spacing w:line="248" w:lineRule="exact"/>
              <w:ind w:left="1019" w:right="1005"/>
              <w:jc w:val="center"/>
              <w:rPr>
                <w:sz w:val="23"/>
              </w:rPr>
            </w:pPr>
            <w:r>
              <w:rPr>
                <w:sz w:val="23"/>
              </w:rPr>
              <w:t>2016</w:t>
            </w:r>
          </w:p>
        </w:tc>
        <w:tc>
          <w:tcPr>
            <w:tcW w:w="1277" w:type="dxa"/>
          </w:tcPr>
          <w:p>
            <w:pPr>
              <w:pStyle w:val="TableParagraph"/>
              <w:spacing w:line="248" w:lineRule="exact"/>
              <w:ind w:left="117" w:right="107"/>
              <w:jc w:val="center"/>
              <w:rPr>
                <w:sz w:val="23"/>
              </w:rPr>
            </w:pPr>
            <w:r>
              <w:rPr>
                <w:sz w:val="23"/>
              </w:rPr>
              <w:t>1213,9</w:t>
            </w:r>
          </w:p>
        </w:tc>
        <w:tc>
          <w:tcPr>
            <w:tcW w:w="1272" w:type="dxa"/>
          </w:tcPr>
          <w:p>
            <w:pPr>
              <w:pStyle w:val="TableParagraph"/>
              <w:spacing w:line="248" w:lineRule="exact"/>
              <w:ind w:left="297" w:right="291"/>
              <w:jc w:val="center"/>
              <w:rPr>
                <w:sz w:val="23"/>
              </w:rPr>
            </w:pPr>
            <w:r>
              <w:rPr>
                <w:sz w:val="23"/>
              </w:rPr>
              <w:t>3565,9</w:t>
            </w:r>
          </w:p>
        </w:tc>
        <w:tc>
          <w:tcPr>
            <w:tcW w:w="1843" w:type="dxa"/>
          </w:tcPr>
          <w:p>
            <w:pPr>
              <w:pStyle w:val="TableParagraph"/>
              <w:spacing w:line="248" w:lineRule="exact"/>
              <w:ind w:left="265" w:right="253"/>
              <w:jc w:val="center"/>
              <w:rPr>
                <w:sz w:val="23"/>
              </w:rPr>
            </w:pPr>
            <w:r>
              <w:rPr>
                <w:sz w:val="23"/>
              </w:rPr>
              <w:t>187,2</w:t>
            </w:r>
          </w:p>
        </w:tc>
        <w:tc>
          <w:tcPr>
            <w:tcW w:w="1133" w:type="dxa"/>
          </w:tcPr>
          <w:p>
            <w:pPr>
              <w:pStyle w:val="TableParagraph"/>
              <w:spacing w:line="248" w:lineRule="exact"/>
              <w:ind w:left="135" w:right="121"/>
              <w:jc w:val="center"/>
              <w:rPr>
                <w:sz w:val="23"/>
              </w:rPr>
            </w:pPr>
            <w:r>
              <w:rPr>
                <w:sz w:val="23"/>
              </w:rPr>
              <w:t>19,3</w:t>
            </w:r>
          </w:p>
        </w:tc>
        <w:tc>
          <w:tcPr>
            <w:tcW w:w="1421" w:type="dxa"/>
            <w:tcBorders>
              <w:right w:val="single" w:sz="6" w:space="0" w:color="000000"/>
            </w:tcBorders>
          </w:tcPr>
          <w:p>
            <w:pPr>
              <w:pStyle w:val="TableParagraph"/>
              <w:spacing w:line="248" w:lineRule="exact"/>
              <w:ind w:left="261" w:right="245"/>
              <w:jc w:val="center"/>
              <w:rPr>
                <w:sz w:val="23"/>
              </w:rPr>
            </w:pPr>
            <w:r>
              <w:rPr>
                <w:sz w:val="23"/>
              </w:rPr>
              <w:t>109822,5</w:t>
            </w:r>
          </w:p>
        </w:tc>
      </w:tr>
      <w:tr>
        <w:trPr>
          <w:trHeight w:val="282" w:hRule="atLeast"/>
        </w:trPr>
        <w:tc>
          <w:tcPr>
            <w:tcW w:w="2559" w:type="dxa"/>
          </w:tcPr>
          <w:p>
            <w:pPr>
              <w:pStyle w:val="TableParagraph"/>
              <w:spacing w:line="252" w:lineRule="exact" w:before="10"/>
              <w:ind w:left="1019" w:right="1005"/>
              <w:jc w:val="center"/>
              <w:rPr>
                <w:sz w:val="23"/>
              </w:rPr>
            </w:pPr>
            <w:r>
              <w:rPr>
                <w:sz w:val="23"/>
              </w:rPr>
              <w:t>2017</w:t>
            </w:r>
          </w:p>
        </w:tc>
        <w:tc>
          <w:tcPr>
            <w:tcW w:w="1277" w:type="dxa"/>
          </w:tcPr>
          <w:p>
            <w:pPr>
              <w:pStyle w:val="TableParagraph"/>
              <w:spacing w:line="252" w:lineRule="exact" w:before="10"/>
              <w:ind w:left="117" w:right="107"/>
              <w:jc w:val="center"/>
              <w:rPr>
                <w:sz w:val="23"/>
              </w:rPr>
            </w:pPr>
            <w:r>
              <w:rPr>
                <w:sz w:val="23"/>
              </w:rPr>
              <w:t>1166,6</w:t>
            </w:r>
          </w:p>
        </w:tc>
        <w:tc>
          <w:tcPr>
            <w:tcW w:w="1272" w:type="dxa"/>
          </w:tcPr>
          <w:p>
            <w:pPr>
              <w:pStyle w:val="TableParagraph"/>
              <w:spacing w:line="252" w:lineRule="exact" w:before="10"/>
              <w:ind w:left="297" w:right="291"/>
              <w:jc w:val="center"/>
              <w:rPr>
                <w:sz w:val="23"/>
              </w:rPr>
            </w:pPr>
            <w:r>
              <w:rPr>
                <w:sz w:val="23"/>
              </w:rPr>
              <w:t>3303,6</w:t>
            </w:r>
          </w:p>
        </w:tc>
        <w:tc>
          <w:tcPr>
            <w:tcW w:w="1843" w:type="dxa"/>
          </w:tcPr>
          <w:p>
            <w:pPr>
              <w:pStyle w:val="TableParagraph"/>
              <w:spacing w:line="252" w:lineRule="exact" w:before="10"/>
              <w:ind w:left="265" w:right="253"/>
              <w:jc w:val="center"/>
              <w:rPr>
                <w:sz w:val="23"/>
              </w:rPr>
            </w:pPr>
            <w:r>
              <w:rPr>
                <w:sz w:val="23"/>
              </w:rPr>
              <w:t>187,0</w:t>
            </w:r>
          </w:p>
        </w:tc>
        <w:tc>
          <w:tcPr>
            <w:tcW w:w="1133" w:type="dxa"/>
          </w:tcPr>
          <w:p>
            <w:pPr>
              <w:pStyle w:val="TableParagraph"/>
              <w:spacing w:line="252" w:lineRule="exact" w:before="10"/>
              <w:ind w:left="135" w:right="121"/>
              <w:jc w:val="center"/>
              <w:rPr>
                <w:sz w:val="23"/>
              </w:rPr>
            </w:pPr>
            <w:r>
              <w:rPr>
                <w:sz w:val="23"/>
              </w:rPr>
              <w:t>17,0</w:t>
            </w:r>
          </w:p>
        </w:tc>
        <w:tc>
          <w:tcPr>
            <w:tcW w:w="1421" w:type="dxa"/>
            <w:tcBorders>
              <w:right w:val="single" w:sz="6" w:space="0" w:color="000000"/>
            </w:tcBorders>
          </w:tcPr>
          <w:p>
            <w:pPr>
              <w:pStyle w:val="TableParagraph"/>
              <w:spacing w:line="252" w:lineRule="exact" w:before="10"/>
              <w:ind w:left="261" w:right="245"/>
              <w:jc w:val="center"/>
              <w:rPr>
                <w:sz w:val="23"/>
              </w:rPr>
            </w:pPr>
            <w:r>
              <w:rPr>
                <w:sz w:val="23"/>
              </w:rPr>
              <w:t>112512,3</w:t>
            </w:r>
          </w:p>
        </w:tc>
      </w:tr>
      <w:tr>
        <w:trPr>
          <w:trHeight w:val="273" w:hRule="atLeast"/>
        </w:trPr>
        <w:tc>
          <w:tcPr>
            <w:tcW w:w="2559" w:type="dxa"/>
          </w:tcPr>
          <w:p>
            <w:pPr>
              <w:pStyle w:val="TableParagraph"/>
              <w:spacing w:line="252" w:lineRule="exact" w:before="1"/>
              <w:ind w:left="110"/>
              <w:rPr>
                <w:sz w:val="23"/>
              </w:rPr>
            </w:pPr>
            <w:r>
              <w:rPr>
                <w:sz w:val="23"/>
              </w:rPr>
              <w:t>2017 р. до 2013р., (+,-)</w:t>
            </w:r>
          </w:p>
        </w:tc>
        <w:tc>
          <w:tcPr>
            <w:tcW w:w="1277" w:type="dxa"/>
          </w:tcPr>
          <w:p>
            <w:pPr>
              <w:pStyle w:val="TableParagraph"/>
              <w:spacing w:line="252" w:lineRule="exact" w:before="1"/>
              <w:ind w:left="117" w:right="107"/>
              <w:jc w:val="center"/>
              <w:rPr>
                <w:sz w:val="23"/>
              </w:rPr>
            </w:pPr>
            <w:r>
              <w:rPr>
                <w:sz w:val="23"/>
              </w:rPr>
              <w:t>-251,0</w:t>
            </w:r>
          </w:p>
        </w:tc>
        <w:tc>
          <w:tcPr>
            <w:tcW w:w="1272" w:type="dxa"/>
          </w:tcPr>
          <w:p>
            <w:pPr>
              <w:pStyle w:val="TableParagraph"/>
              <w:spacing w:line="252" w:lineRule="exact" w:before="1"/>
              <w:ind w:left="297" w:right="291"/>
              <w:jc w:val="center"/>
              <w:rPr>
                <w:sz w:val="23"/>
              </w:rPr>
            </w:pPr>
            <w:r>
              <w:rPr>
                <w:sz w:val="23"/>
              </w:rPr>
              <w:t>-489,1</w:t>
            </w:r>
          </w:p>
        </w:tc>
        <w:tc>
          <w:tcPr>
            <w:tcW w:w="1843" w:type="dxa"/>
          </w:tcPr>
          <w:p>
            <w:pPr>
              <w:pStyle w:val="TableParagraph"/>
              <w:spacing w:line="252" w:lineRule="exact" w:before="1"/>
              <w:ind w:left="265" w:right="253"/>
              <w:jc w:val="center"/>
              <w:rPr>
                <w:sz w:val="23"/>
              </w:rPr>
            </w:pPr>
            <w:r>
              <w:rPr>
                <w:sz w:val="23"/>
              </w:rPr>
              <w:t>-46,0</w:t>
            </w:r>
          </w:p>
        </w:tc>
        <w:tc>
          <w:tcPr>
            <w:tcW w:w="1133" w:type="dxa"/>
          </w:tcPr>
          <w:p>
            <w:pPr>
              <w:pStyle w:val="TableParagraph"/>
              <w:spacing w:line="252" w:lineRule="exact" w:before="1"/>
              <w:ind w:left="135" w:right="121"/>
              <w:jc w:val="center"/>
              <w:rPr>
                <w:sz w:val="23"/>
              </w:rPr>
            </w:pPr>
            <w:r>
              <w:rPr>
                <w:sz w:val="23"/>
              </w:rPr>
              <w:t>-11,7</w:t>
            </w:r>
          </w:p>
        </w:tc>
        <w:tc>
          <w:tcPr>
            <w:tcW w:w="1421" w:type="dxa"/>
            <w:tcBorders>
              <w:right w:val="single" w:sz="6" w:space="0" w:color="000000"/>
            </w:tcBorders>
          </w:tcPr>
          <w:p>
            <w:pPr>
              <w:pStyle w:val="TableParagraph"/>
              <w:spacing w:line="252" w:lineRule="exact" w:before="1"/>
              <w:ind w:left="261" w:right="245"/>
              <w:jc w:val="center"/>
              <w:rPr>
                <w:sz w:val="23"/>
              </w:rPr>
            </w:pPr>
            <w:r>
              <w:rPr>
                <w:sz w:val="23"/>
              </w:rPr>
              <w:t>-14727,7</w:t>
            </w:r>
          </w:p>
        </w:tc>
      </w:tr>
      <w:tr>
        <w:trPr>
          <w:trHeight w:val="263" w:hRule="atLeast"/>
        </w:trPr>
        <w:tc>
          <w:tcPr>
            <w:tcW w:w="2559" w:type="dxa"/>
          </w:tcPr>
          <w:p>
            <w:pPr>
              <w:pStyle w:val="TableParagraph"/>
              <w:spacing w:line="244" w:lineRule="exact"/>
              <w:ind w:left="110"/>
              <w:rPr>
                <w:sz w:val="23"/>
              </w:rPr>
            </w:pPr>
            <w:r>
              <w:rPr>
                <w:sz w:val="23"/>
              </w:rPr>
              <w:t>2017 р. до 2013р., %</w:t>
            </w:r>
          </w:p>
        </w:tc>
        <w:tc>
          <w:tcPr>
            <w:tcW w:w="1277" w:type="dxa"/>
          </w:tcPr>
          <w:p>
            <w:pPr>
              <w:pStyle w:val="TableParagraph"/>
              <w:spacing w:line="244" w:lineRule="exact"/>
              <w:ind w:left="117" w:right="107"/>
              <w:jc w:val="center"/>
              <w:rPr>
                <w:sz w:val="23"/>
              </w:rPr>
            </w:pPr>
            <w:r>
              <w:rPr>
                <w:sz w:val="23"/>
              </w:rPr>
              <w:t>82,3</w:t>
            </w:r>
          </w:p>
        </w:tc>
        <w:tc>
          <w:tcPr>
            <w:tcW w:w="1272" w:type="dxa"/>
          </w:tcPr>
          <w:p>
            <w:pPr>
              <w:pStyle w:val="TableParagraph"/>
              <w:spacing w:line="244" w:lineRule="exact"/>
              <w:ind w:left="297" w:right="291"/>
              <w:jc w:val="center"/>
              <w:rPr>
                <w:sz w:val="23"/>
              </w:rPr>
            </w:pPr>
            <w:r>
              <w:rPr>
                <w:sz w:val="23"/>
              </w:rPr>
              <w:t>87,1</w:t>
            </w:r>
          </w:p>
        </w:tc>
        <w:tc>
          <w:tcPr>
            <w:tcW w:w="1843" w:type="dxa"/>
          </w:tcPr>
          <w:p>
            <w:pPr>
              <w:pStyle w:val="TableParagraph"/>
              <w:spacing w:line="244" w:lineRule="exact"/>
              <w:ind w:left="265" w:right="253"/>
              <w:jc w:val="center"/>
              <w:rPr>
                <w:sz w:val="23"/>
              </w:rPr>
            </w:pPr>
            <w:r>
              <w:rPr>
                <w:sz w:val="23"/>
              </w:rPr>
              <w:t>80,3</w:t>
            </w:r>
          </w:p>
        </w:tc>
        <w:tc>
          <w:tcPr>
            <w:tcW w:w="1133" w:type="dxa"/>
          </w:tcPr>
          <w:p>
            <w:pPr>
              <w:pStyle w:val="TableParagraph"/>
              <w:spacing w:line="244" w:lineRule="exact"/>
              <w:ind w:left="135" w:right="121"/>
              <w:jc w:val="center"/>
              <w:rPr>
                <w:sz w:val="23"/>
              </w:rPr>
            </w:pPr>
            <w:r>
              <w:rPr>
                <w:sz w:val="23"/>
              </w:rPr>
              <w:t>59,2</w:t>
            </w:r>
          </w:p>
        </w:tc>
        <w:tc>
          <w:tcPr>
            <w:tcW w:w="1421" w:type="dxa"/>
            <w:tcBorders>
              <w:right w:val="single" w:sz="6" w:space="0" w:color="000000"/>
            </w:tcBorders>
          </w:tcPr>
          <w:p>
            <w:pPr>
              <w:pStyle w:val="TableParagraph"/>
              <w:spacing w:line="244" w:lineRule="exact"/>
              <w:ind w:left="261" w:right="245"/>
              <w:jc w:val="center"/>
              <w:rPr>
                <w:sz w:val="23"/>
              </w:rPr>
            </w:pPr>
            <w:r>
              <w:rPr>
                <w:sz w:val="23"/>
              </w:rPr>
              <w:t>88,4</w:t>
            </w:r>
          </w:p>
        </w:tc>
      </w:tr>
    </w:tbl>
    <w:p>
      <w:pPr>
        <w:spacing w:before="0"/>
        <w:ind w:left="193" w:right="0" w:firstLine="0"/>
        <w:jc w:val="both"/>
        <w:rPr>
          <w:i/>
          <w:sz w:val="24"/>
        </w:rPr>
      </w:pPr>
      <w:r>
        <w:rPr>
          <w:i/>
          <w:sz w:val="24"/>
        </w:rPr>
        <w:t>Складено автором на основі джерела [5]</w:t>
      </w:r>
    </w:p>
    <w:p>
      <w:pPr>
        <w:pStyle w:val="BodyText"/>
        <w:spacing w:before="3"/>
        <w:ind w:left="0"/>
        <w:jc w:val="left"/>
        <w:rPr>
          <w:i/>
        </w:rPr>
      </w:pPr>
    </w:p>
    <w:p>
      <w:pPr>
        <w:pStyle w:val="BodyText"/>
        <w:ind w:right="609" w:firstLine="710"/>
      </w:pPr>
      <w:r>
        <w:rPr/>
        <w:t>За даними таблиці 6 можна зазначити про різке скорочення розмірів основних</w:t>
      </w:r>
      <w:r>
        <w:rPr>
          <w:spacing w:val="-8"/>
        </w:rPr>
        <w:t> </w:t>
      </w:r>
      <w:r>
        <w:rPr/>
        <w:t>галузей</w:t>
      </w:r>
      <w:r>
        <w:rPr>
          <w:spacing w:val="-3"/>
        </w:rPr>
        <w:t> </w:t>
      </w:r>
      <w:r>
        <w:rPr/>
        <w:t>тваринництва</w:t>
      </w:r>
      <w:r>
        <w:rPr>
          <w:spacing w:val="-2"/>
        </w:rPr>
        <w:t> </w:t>
      </w:r>
      <w:r>
        <w:rPr/>
        <w:t>в</w:t>
      </w:r>
      <w:r>
        <w:rPr>
          <w:spacing w:val="-4"/>
        </w:rPr>
        <w:t> </w:t>
      </w:r>
      <w:r>
        <w:rPr/>
        <w:t>Україні</w:t>
      </w:r>
      <w:r>
        <w:rPr>
          <w:spacing w:val="-4"/>
        </w:rPr>
        <w:t> </w:t>
      </w:r>
      <w:r>
        <w:rPr/>
        <w:t>у</w:t>
      </w:r>
      <w:r>
        <w:rPr>
          <w:spacing w:val="-7"/>
        </w:rPr>
        <w:t> </w:t>
      </w:r>
      <w:r>
        <w:rPr/>
        <w:t>2017</w:t>
      </w:r>
      <w:r>
        <w:rPr>
          <w:spacing w:val="-3"/>
        </w:rPr>
        <w:t> </w:t>
      </w:r>
      <w:r>
        <w:rPr/>
        <w:t>році</w:t>
      </w:r>
      <w:r>
        <w:rPr>
          <w:spacing w:val="-8"/>
        </w:rPr>
        <w:t> </w:t>
      </w:r>
      <w:r>
        <w:rPr/>
        <w:t>в</w:t>
      </w:r>
      <w:r>
        <w:rPr>
          <w:spacing w:val="-4"/>
        </w:rPr>
        <w:t> </w:t>
      </w:r>
      <w:r>
        <w:rPr/>
        <w:t>порівнянні</w:t>
      </w:r>
      <w:r>
        <w:rPr>
          <w:spacing w:val="-8"/>
        </w:rPr>
        <w:t> </w:t>
      </w:r>
      <w:r>
        <w:rPr/>
        <w:t>з</w:t>
      </w:r>
      <w:r>
        <w:rPr>
          <w:spacing w:val="-3"/>
        </w:rPr>
        <w:t> </w:t>
      </w:r>
      <w:r>
        <w:rPr/>
        <w:t>2013</w:t>
      </w:r>
      <w:r>
        <w:rPr>
          <w:spacing w:val="-3"/>
        </w:rPr>
        <w:t> </w:t>
      </w:r>
      <w:r>
        <w:rPr/>
        <w:t>роком. Особливо</w:t>
      </w:r>
      <w:r>
        <w:rPr>
          <w:spacing w:val="-13"/>
        </w:rPr>
        <w:t> </w:t>
      </w:r>
      <w:r>
        <w:rPr/>
        <w:t>різке</w:t>
      </w:r>
      <w:r>
        <w:rPr>
          <w:spacing w:val="-12"/>
        </w:rPr>
        <w:t> </w:t>
      </w:r>
      <w:r>
        <w:rPr/>
        <w:t>скорочення</w:t>
      </w:r>
      <w:r>
        <w:rPr>
          <w:spacing w:val="-11"/>
        </w:rPr>
        <w:t> </w:t>
      </w:r>
      <w:r>
        <w:rPr/>
        <w:t>поголів’я</w:t>
      </w:r>
      <w:r>
        <w:rPr>
          <w:spacing w:val="-12"/>
        </w:rPr>
        <w:t> </w:t>
      </w:r>
      <w:r>
        <w:rPr/>
        <w:t>коней</w:t>
      </w:r>
      <w:r>
        <w:rPr>
          <w:spacing w:val="-12"/>
        </w:rPr>
        <w:t> </w:t>
      </w:r>
      <w:r>
        <w:rPr/>
        <w:t>та</w:t>
      </w:r>
      <w:r>
        <w:rPr>
          <w:spacing w:val="-12"/>
        </w:rPr>
        <w:t> </w:t>
      </w:r>
      <w:r>
        <w:rPr/>
        <w:t>овець</w:t>
      </w:r>
      <w:r>
        <w:rPr>
          <w:spacing w:val="-11"/>
        </w:rPr>
        <w:t> </w:t>
      </w:r>
      <w:r>
        <w:rPr/>
        <w:t>і</w:t>
      </w:r>
      <w:r>
        <w:rPr>
          <w:spacing w:val="-17"/>
        </w:rPr>
        <w:t> </w:t>
      </w:r>
      <w:r>
        <w:rPr/>
        <w:t>кіз</w:t>
      </w:r>
      <w:r>
        <w:rPr>
          <w:spacing w:val="-8"/>
        </w:rPr>
        <w:t> </w:t>
      </w:r>
      <w:r>
        <w:rPr/>
        <w:t>відбулось</w:t>
      </w:r>
      <w:r>
        <w:rPr>
          <w:spacing w:val="-10"/>
        </w:rPr>
        <w:t> </w:t>
      </w:r>
      <w:r>
        <w:rPr/>
        <w:t>відповідно</w:t>
      </w:r>
      <w:r>
        <w:rPr>
          <w:spacing w:val="-13"/>
        </w:rPr>
        <w:t> </w:t>
      </w:r>
      <w:r>
        <w:rPr/>
        <w:t>за останні п’ять років на 40,8 % та 19,7 %. У 2017 році збільшились об’єми виробництва м’яса та молока усіх видів проти 2013року відповідно на 8,6 %та 8,1 %. Виробництво яєць та вовни скоротилось за зазначений період на 31,8 та 39,7 % (рис.3). Слід зазначити, що ефективність інновацій в аграрному секторі залежить від системи показників технологічної, економічної, соціальної та екологічної ефективності. Такий підхід гарантуватиме аграрному підприємству постійне отримання вичерпної інформації про стан і ефективність інноваційних процесів. Вініченко І.І. вважає, що інноваційний розвиток підприємств агропромислового виробництва можливий тільки на основі відповідної моделі, яка має враховувати регіональні особливості агропромислового виробництва та можливості інноваційного розвитку</w:t>
      </w:r>
      <w:r>
        <w:rPr>
          <w:spacing w:val="2"/>
        </w:rPr>
        <w:t> </w:t>
      </w:r>
      <w:r>
        <w:rPr/>
        <w:t>[4].</w:t>
      </w:r>
    </w:p>
    <w:p>
      <w:pPr>
        <w:spacing w:after="0"/>
        <w:sectPr>
          <w:pgSz w:w="11910" w:h="16840"/>
          <w:pgMar w:header="713" w:footer="778" w:top="1140" w:bottom="960" w:left="940" w:right="520"/>
        </w:sectPr>
      </w:pPr>
    </w:p>
    <w:p>
      <w:pPr>
        <w:pStyle w:val="BodyText"/>
        <w:spacing w:before="10" w:after="1"/>
        <w:ind w:left="0"/>
        <w:jc w:val="left"/>
        <w:rPr>
          <w:sz w:val="14"/>
        </w:rPr>
      </w:pPr>
    </w:p>
    <w:p>
      <w:pPr>
        <w:pStyle w:val="BodyText"/>
        <w:ind w:left="1085"/>
        <w:jc w:val="left"/>
        <w:rPr>
          <w:sz w:val="20"/>
        </w:rPr>
      </w:pPr>
      <w:r>
        <w:rPr>
          <w:sz w:val="20"/>
        </w:rPr>
        <w:drawing>
          <wp:inline distT="0" distB="0" distL="0" distR="0">
            <wp:extent cx="4357922" cy="2052256"/>
            <wp:effectExtent l="0" t="0" r="0" b="0"/>
            <wp:docPr id="25" name="image67.png"/>
            <wp:cNvGraphicFramePr>
              <a:graphicFrameLocks noChangeAspect="1"/>
            </wp:cNvGraphicFramePr>
            <a:graphic>
              <a:graphicData uri="http://schemas.openxmlformats.org/drawingml/2006/picture">
                <pic:pic>
                  <pic:nvPicPr>
                    <pic:cNvPr id="26" name="image67.png"/>
                    <pic:cNvPicPr/>
                  </pic:nvPicPr>
                  <pic:blipFill>
                    <a:blip r:embed="rId114" cstate="print"/>
                    <a:stretch>
                      <a:fillRect/>
                    </a:stretch>
                  </pic:blipFill>
                  <pic:spPr>
                    <a:xfrm>
                      <a:off x="0" y="0"/>
                      <a:ext cx="4357922" cy="2052256"/>
                    </a:xfrm>
                    <a:prstGeom prst="rect">
                      <a:avLst/>
                    </a:prstGeom>
                  </pic:spPr>
                </pic:pic>
              </a:graphicData>
            </a:graphic>
          </wp:inline>
        </w:drawing>
      </w:r>
      <w:r>
        <w:rPr>
          <w:sz w:val="20"/>
        </w:rPr>
      </w:r>
    </w:p>
    <w:p>
      <w:pPr>
        <w:pStyle w:val="BodyText"/>
        <w:spacing w:line="322" w:lineRule="exact" w:before="29"/>
        <w:ind w:left="903"/>
        <w:jc w:val="left"/>
      </w:pPr>
      <w:r>
        <w:rPr/>
        <w:t>Рис. 3. Виробництво основних видів продукції в Україні станом на кінець</w:t>
      </w:r>
    </w:p>
    <w:p>
      <w:pPr>
        <w:pStyle w:val="BodyText"/>
        <w:jc w:val="left"/>
      </w:pPr>
      <w:r>
        <w:rPr/>
        <w:t>року</w:t>
      </w:r>
    </w:p>
    <w:p>
      <w:pPr>
        <w:pStyle w:val="BodyText"/>
        <w:spacing w:before="5"/>
        <w:ind w:left="0"/>
        <w:jc w:val="left"/>
        <w:rPr>
          <w:sz w:val="20"/>
        </w:rPr>
      </w:pPr>
    </w:p>
    <w:p>
      <w:pPr>
        <w:pStyle w:val="BodyText"/>
        <w:spacing w:before="87"/>
        <w:ind w:right="608" w:firstLine="710"/>
      </w:pPr>
      <w:r>
        <w:rPr/>
        <w:t>Отже, ми дотримуємось думки, що інноваційний розвиток агропромислового комплексу повинен відбуватись завдяки спрямування інвестицій в аграрні галузі, які потребують відтворення з використанням сучасних прогресивних технологій, що забезпечить конкурентоспроможне виробництво агропродовольчої продукції. Так, необхідно відмітити, що за результатами І півріччя 2017 року в АПК України реалізується 233 інвестиційні проекти, загальна вартість яких становить понад 36,7 млрд гривень. Реалізація поточних</w:t>
      </w:r>
      <w:r>
        <w:rPr>
          <w:spacing w:val="-22"/>
        </w:rPr>
        <w:t> </w:t>
      </w:r>
      <w:r>
        <w:rPr/>
        <w:t>проектів</w:t>
      </w:r>
      <w:r>
        <w:rPr>
          <w:spacing w:val="-18"/>
        </w:rPr>
        <w:t> </w:t>
      </w:r>
      <w:r>
        <w:rPr/>
        <w:t>дозволить</w:t>
      </w:r>
      <w:r>
        <w:rPr>
          <w:spacing w:val="-18"/>
        </w:rPr>
        <w:t> </w:t>
      </w:r>
      <w:r>
        <w:rPr/>
        <w:t>створити</w:t>
      </w:r>
      <w:r>
        <w:rPr>
          <w:spacing w:val="-16"/>
        </w:rPr>
        <w:t> </w:t>
      </w:r>
      <w:r>
        <w:rPr/>
        <w:t>понад</w:t>
      </w:r>
      <w:r>
        <w:rPr>
          <w:spacing w:val="-15"/>
        </w:rPr>
        <w:t> </w:t>
      </w:r>
      <w:r>
        <w:rPr/>
        <w:t>16</w:t>
      </w:r>
      <w:r>
        <w:rPr>
          <w:spacing w:val="-16"/>
        </w:rPr>
        <w:t> </w:t>
      </w:r>
      <w:r>
        <w:rPr/>
        <w:t>тисяч</w:t>
      </w:r>
      <w:r>
        <w:rPr>
          <w:spacing w:val="-17"/>
        </w:rPr>
        <w:t> </w:t>
      </w:r>
      <w:r>
        <w:rPr/>
        <w:t>нових</w:t>
      </w:r>
      <w:r>
        <w:rPr>
          <w:spacing w:val="-17"/>
        </w:rPr>
        <w:t> </w:t>
      </w:r>
      <w:r>
        <w:rPr/>
        <w:t>робочих</w:t>
      </w:r>
      <w:r>
        <w:rPr>
          <w:spacing w:val="-21"/>
        </w:rPr>
        <w:t> </w:t>
      </w:r>
      <w:r>
        <w:rPr/>
        <w:t>місць.</w:t>
      </w:r>
      <w:r>
        <w:rPr>
          <w:spacing w:val="-14"/>
        </w:rPr>
        <w:t> </w:t>
      </w:r>
      <w:r>
        <w:rPr/>
        <w:t>Слід зазначити, що більшість проектів здійснюється малим та середнім бізнесом. За напрямами</w:t>
      </w:r>
      <w:r>
        <w:rPr>
          <w:spacing w:val="-20"/>
        </w:rPr>
        <w:t> </w:t>
      </w:r>
      <w:r>
        <w:rPr/>
        <w:t>проектів</w:t>
      </w:r>
      <w:r>
        <w:rPr>
          <w:spacing w:val="-21"/>
        </w:rPr>
        <w:t> </w:t>
      </w:r>
      <w:r>
        <w:rPr/>
        <w:t>стає</w:t>
      </w:r>
      <w:r>
        <w:rPr>
          <w:spacing w:val="-19"/>
        </w:rPr>
        <w:t> </w:t>
      </w:r>
      <w:r>
        <w:rPr/>
        <w:t>помітною</w:t>
      </w:r>
      <w:r>
        <w:rPr>
          <w:spacing w:val="-21"/>
        </w:rPr>
        <w:t> </w:t>
      </w:r>
      <w:r>
        <w:rPr/>
        <w:t>тенденція</w:t>
      </w:r>
      <w:r>
        <w:rPr>
          <w:spacing w:val="-18"/>
        </w:rPr>
        <w:t> </w:t>
      </w:r>
      <w:r>
        <w:rPr/>
        <w:t>до</w:t>
      </w:r>
      <w:r>
        <w:rPr>
          <w:spacing w:val="-19"/>
        </w:rPr>
        <w:t> </w:t>
      </w:r>
      <w:r>
        <w:rPr/>
        <w:t>зміни</w:t>
      </w:r>
      <w:r>
        <w:rPr>
          <w:spacing w:val="-20"/>
        </w:rPr>
        <w:t> </w:t>
      </w:r>
      <w:r>
        <w:rPr/>
        <w:t>акцентів</w:t>
      </w:r>
      <w:r>
        <w:rPr>
          <w:spacing w:val="-21"/>
        </w:rPr>
        <w:t> </w:t>
      </w:r>
      <w:r>
        <w:rPr/>
        <w:t>на</w:t>
      </w:r>
      <w:r>
        <w:rPr>
          <w:spacing w:val="-19"/>
        </w:rPr>
        <w:t> </w:t>
      </w:r>
      <w:r>
        <w:rPr/>
        <w:t>тваринництво, яке складає майже половину від усієї кількості проектів, а саме 49%. Зокрема, скотарство</w:t>
      </w:r>
      <w:r>
        <w:rPr>
          <w:spacing w:val="-8"/>
        </w:rPr>
        <w:t> </w:t>
      </w:r>
      <w:r>
        <w:rPr/>
        <w:t>–</w:t>
      </w:r>
      <w:r>
        <w:rPr>
          <w:spacing w:val="-9"/>
        </w:rPr>
        <w:t> </w:t>
      </w:r>
      <w:r>
        <w:rPr/>
        <w:t>25%,</w:t>
      </w:r>
      <w:r>
        <w:rPr>
          <w:spacing w:val="-8"/>
        </w:rPr>
        <w:t> </w:t>
      </w:r>
      <w:r>
        <w:rPr/>
        <w:t>свинарство</w:t>
      </w:r>
      <w:r>
        <w:rPr>
          <w:spacing w:val="-7"/>
        </w:rPr>
        <w:t> </w:t>
      </w:r>
      <w:r>
        <w:rPr/>
        <w:t>–</w:t>
      </w:r>
      <w:r>
        <w:rPr>
          <w:spacing w:val="-9"/>
        </w:rPr>
        <w:t> </w:t>
      </w:r>
      <w:r>
        <w:rPr/>
        <w:t>14%,</w:t>
      </w:r>
      <w:r>
        <w:rPr>
          <w:spacing w:val="-7"/>
        </w:rPr>
        <w:t> </w:t>
      </w:r>
      <w:r>
        <w:rPr/>
        <w:t>птахівництво</w:t>
      </w:r>
      <w:r>
        <w:rPr>
          <w:spacing w:val="-8"/>
        </w:rPr>
        <w:t> </w:t>
      </w:r>
      <w:r>
        <w:rPr/>
        <w:t>–</w:t>
      </w:r>
      <w:r>
        <w:rPr>
          <w:spacing w:val="-9"/>
        </w:rPr>
        <w:t> </w:t>
      </w:r>
      <w:r>
        <w:rPr/>
        <w:t>10%.</w:t>
      </w:r>
      <w:r>
        <w:rPr>
          <w:spacing w:val="-7"/>
        </w:rPr>
        <w:t> </w:t>
      </w:r>
      <w:r>
        <w:rPr/>
        <w:t>Серед</w:t>
      </w:r>
      <w:r>
        <w:rPr>
          <w:spacing w:val="-11"/>
        </w:rPr>
        <w:t> </w:t>
      </w:r>
      <w:r>
        <w:rPr/>
        <w:t>інших</w:t>
      </w:r>
      <w:r>
        <w:rPr>
          <w:spacing w:val="-14"/>
        </w:rPr>
        <w:t> </w:t>
      </w:r>
      <w:r>
        <w:rPr/>
        <w:t>напрямів реалізації інвестиційних проектів: обробка, зберігання та переробка зернових та технічних культур (21%), овоче- та фруктосховища (9%), переробка сільськогосподарської сировини (7%), багаторічні насадження (5%), зрошення – 10 од. (4%), інші (5%). Необхідно зазначити, що у 2017 році АПК отримав 5,45 млрд. грн. на підтримку аграріїв </w:t>
      </w:r>
      <w:r>
        <w:rPr>
          <w:spacing w:val="-3"/>
        </w:rPr>
        <w:t>із </w:t>
      </w:r>
      <w:r>
        <w:rPr/>
        <w:t>державного бюджету. Програми підтримки АПК на 2017 рік передбачені за такими напрямами: бюджетна дотація; часткова компенсація вартості с.-г. техніки у 20%; компенсація відсоткової ставки за кредитами;</w:t>
      </w:r>
      <w:r>
        <w:rPr>
          <w:spacing w:val="-9"/>
        </w:rPr>
        <w:t> </w:t>
      </w:r>
      <w:r>
        <w:rPr/>
        <w:t>кредити</w:t>
      </w:r>
      <w:r>
        <w:rPr>
          <w:spacing w:val="-8"/>
        </w:rPr>
        <w:t> </w:t>
      </w:r>
      <w:r>
        <w:rPr/>
        <w:t>фермерам;</w:t>
      </w:r>
      <w:r>
        <w:rPr>
          <w:spacing w:val="-8"/>
        </w:rPr>
        <w:t> </w:t>
      </w:r>
      <w:r>
        <w:rPr/>
        <w:t>підтримки</w:t>
      </w:r>
      <w:r>
        <w:rPr>
          <w:spacing w:val="-8"/>
        </w:rPr>
        <w:t> </w:t>
      </w:r>
      <w:r>
        <w:rPr/>
        <w:t>тваринництва</w:t>
      </w:r>
      <w:r>
        <w:rPr>
          <w:spacing w:val="-7"/>
        </w:rPr>
        <w:t> </w:t>
      </w:r>
      <w:r>
        <w:rPr/>
        <w:t>[6,</w:t>
      </w:r>
      <w:r>
        <w:rPr>
          <w:spacing w:val="-6"/>
        </w:rPr>
        <w:t> </w:t>
      </w:r>
      <w:r>
        <w:rPr/>
        <w:t>7].</w:t>
      </w:r>
      <w:r>
        <w:rPr>
          <w:spacing w:val="-2"/>
        </w:rPr>
        <w:t> </w:t>
      </w:r>
      <w:r>
        <w:rPr/>
        <w:t>Ми</w:t>
      </w:r>
      <w:r>
        <w:rPr>
          <w:spacing w:val="-8"/>
        </w:rPr>
        <w:t> </w:t>
      </w:r>
      <w:r>
        <w:rPr/>
        <w:t>вважаємо,</w:t>
      </w:r>
      <w:r>
        <w:rPr>
          <w:spacing w:val="-5"/>
        </w:rPr>
        <w:t> </w:t>
      </w:r>
      <w:r>
        <w:rPr/>
        <w:t>що аграрні товаровиробники в Україні у напрямку агроінноваційного розвитку повинні враховувати особливості вітчизняного сільськогосподарського виробництва</w:t>
      </w:r>
      <w:r>
        <w:rPr>
          <w:spacing w:val="-10"/>
        </w:rPr>
        <w:t> </w:t>
      </w:r>
      <w:r>
        <w:rPr/>
        <w:t>та</w:t>
      </w:r>
      <w:r>
        <w:rPr>
          <w:spacing w:val="-13"/>
        </w:rPr>
        <w:t> </w:t>
      </w:r>
      <w:r>
        <w:rPr/>
        <w:t>необхідність</w:t>
      </w:r>
      <w:r>
        <w:rPr>
          <w:spacing w:val="-16"/>
        </w:rPr>
        <w:t> </w:t>
      </w:r>
      <w:r>
        <w:rPr/>
        <w:t>забезпечення</w:t>
      </w:r>
      <w:r>
        <w:rPr>
          <w:spacing w:val="-13"/>
        </w:rPr>
        <w:t> </w:t>
      </w:r>
      <w:r>
        <w:rPr/>
        <w:t>національних</w:t>
      </w:r>
      <w:r>
        <w:rPr>
          <w:spacing w:val="-14"/>
        </w:rPr>
        <w:t> </w:t>
      </w:r>
      <w:r>
        <w:rPr/>
        <w:t>інтересів,</w:t>
      </w:r>
      <w:r>
        <w:rPr>
          <w:spacing w:val="-12"/>
        </w:rPr>
        <w:t> </w:t>
      </w:r>
      <w:r>
        <w:rPr/>
        <w:t>насамперед,</w:t>
      </w:r>
      <w:r>
        <w:rPr>
          <w:spacing w:val="-12"/>
        </w:rPr>
        <w:t> </w:t>
      </w:r>
      <w:r>
        <w:rPr/>
        <w:t>з питань технологічної безпеки. У сільському господарстві України, незважаючи на нестабільність інноваційної активності, потрібно інтегрувати передові науково-технічні розробки і адаптувати їх у власне виробництво. Особливої уваги заслуговують новітні технології рослинництва, тваринництва та енергозберігаючі системи землеробства. У рослинництві сучасні інноваційні підходи пов’язані з селекційною роботою, генною інженерією, органічним землеробством, мікрозрошенням, космічними інформаційними технологіями, нанотехнологіями. Прогресивні технології у галузі тваринництва полягають</w:t>
      </w:r>
      <w:r>
        <w:rPr>
          <w:spacing w:val="44"/>
        </w:rPr>
        <w:t> </w:t>
      </w:r>
      <w:r>
        <w:rPr/>
        <w:t>у</w:t>
      </w:r>
    </w:p>
    <w:p>
      <w:pPr>
        <w:spacing w:after="0"/>
        <w:sectPr>
          <w:pgSz w:w="11910" w:h="16840"/>
          <w:pgMar w:header="713" w:footer="778" w:top="1140" w:bottom="960" w:left="940" w:right="520"/>
        </w:sectPr>
      </w:pPr>
    </w:p>
    <w:p>
      <w:pPr>
        <w:pStyle w:val="BodyText"/>
        <w:spacing w:before="92"/>
        <w:ind w:right="608"/>
      </w:pPr>
      <w:r>
        <w:rPr/>
        <w:t>впровадженні інтенсивних систем годівлі, біотехнологій, сучасного техніко- технологічного забезпечення, селекційно-племінної роботи, енерго- та ресурсозберігаючих технологій. Отже, на нашу думку, агроінноваційний розвиток в Україні повинен здійснюватись за допомогою:</w:t>
      </w:r>
    </w:p>
    <w:p>
      <w:pPr>
        <w:pStyle w:val="ListParagraph"/>
        <w:numPr>
          <w:ilvl w:val="0"/>
          <w:numId w:val="30"/>
        </w:numPr>
        <w:tabs>
          <w:tab w:pos="1164" w:val="left" w:leader="none"/>
        </w:tabs>
        <w:spacing w:line="242" w:lineRule="auto" w:before="0" w:after="0"/>
        <w:ind w:left="193" w:right="625" w:firstLine="710"/>
        <w:jc w:val="both"/>
        <w:rPr>
          <w:sz w:val="28"/>
        </w:rPr>
      </w:pPr>
      <w:r>
        <w:rPr>
          <w:sz w:val="28"/>
        </w:rPr>
        <w:t>сучасних підходів в організації та управління АПК, що відповідає світовим</w:t>
      </w:r>
      <w:r>
        <w:rPr>
          <w:spacing w:val="1"/>
          <w:sz w:val="28"/>
        </w:rPr>
        <w:t> </w:t>
      </w:r>
      <w:r>
        <w:rPr>
          <w:sz w:val="28"/>
        </w:rPr>
        <w:t>тенденціям;</w:t>
      </w:r>
    </w:p>
    <w:p>
      <w:pPr>
        <w:pStyle w:val="ListParagraph"/>
        <w:numPr>
          <w:ilvl w:val="0"/>
          <w:numId w:val="30"/>
        </w:numPr>
        <w:tabs>
          <w:tab w:pos="1149" w:val="left" w:leader="none"/>
        </w:tabs>
        <w:spacing w:line="240" w:lineRule="auto" w:before="0" w:after="0"/>
        <w:ind w:left="193" w:right="616" w:firstLine="710"/>
        <w:jc w:val="both"/>
        <w:rPr>
          <w:sz w:val="28"/>
        </w:rPr>
      </w:pPr>
      <w:r>
        <w:rPr>
          <w:sz w:val="28"/>
        </w:rPr>
        <w:t>зростання інвестицій в основний капітал АПК, оновлення основних засобів;</w:t>
      </w:r>
    </w:p>
    <w:p>
      <w:pPr>
        <w:pStyle w:val="ListParagraph"/>
        <w:numPr>
          <w:ilvl w:val="0"/>
          <w:numId w:val="30"/>
        </w:numPr>
        <w:tabs>
          <w:tab w:pos="1058" w:val="left" w:leader="none"/>
        </w:tabs>
        <w:spacing w:line="240" w:lineRule="auto" w:before="0" w:after="0"/>
        <w:ind w:left="193" w:right="624" w:firstLine="710"/>
        <w:jc w:val="both"/>
        <w:rPr>
          <w:sz w:val="28"/>
        </w:rPr>
      </w:pPr>
      <w:r>
        <w:rPr>
          <w:sz w:val="28"/>
        </w:rPr>
        <w:t>зростання</w:t>
      </w:r>
      <w:r>
        <w:rPr>
          <w:spacing w:val="-13"/>
          <w:sz w:val="28"/>
        </w:rPr>
        <w:t> </w:t>
      </w:r>
      <w:r>
        <w:rPr>
          <w:sz w:val="28"/>
        </w:rPr>
        <w:t>рентабельності</w:t>
      </w:r>
      <w:r>
        <w:rPr>
          <w:spacing w:val="-18"/>
          <w:sz w:val="28"/>
        </w:rPr>
        <w:t> </w:t>
      </w:r>
      <w:r>
        <w:rPr>
          <w:sz w:val="28"/>
        </w:rPr>
        <w:t>аграрного</w:t>
      </w:r>
      <w:r>
        <w:rPr>
          <w:spacing w:val="-14"/>
          <w:sz w:val="28"/>
        </w:rPr>
        <w:t> </w:t>
      </w:r>
      <w:r>
        <w:rPr>
          <w:sz w:val="28"/>
        </w:rPr>
        <w:t>виробництва</w:t>
      </w:r>
      <w:r>
        <w:rPr>
          <w:spacing w:val="-13"/>
          <w:sz w:val="28"/>
        </w:rPr>
        <w:t> </w:t>
      </w:r>
      <w:r>
        <w:rPr>
          <w:sz w:val="28"/>
        </w:rPr>
        <w:t>до</w:t>
      </w:r>
      <w:r>
        <w:rPr>
          <w:spacing w:val="-13"/>
          <w:sz w:val="28"/>
        </w:rPr>
        <w:t> </w:t>
      </w:r>
      <w:r>
        <w:rPr>
          <w:sz w:val="28"/>
        </w:rPr>
        <w:t>рівня,</w:t>
      </w:r>
      <w:r>
        <w:rPr>
          <w:spacing w:val="-12"/>
          <w:sz w:val="28"/>
        </w:rPr>
        <w:t> </w:t>
      </w:r>
      <w:r>
        <w:rPr>
          <w:sz w:val="28"/>
        </w:rPr>
        <w:t>що</w:t>
      </w:r>
      <w:r>
        <w:rPr>
          <w:spacing w:val="-14"/>
          <w:sz w:val="28"/>
        </w:rPr>
        <w:t> </w:t>
      </w:r>
      <w:r>
        <w:rPr>
          <w:sz w:val="28"/>
        </w:rPr>
        <w:t>забезпечує відтворення родючості грунтів, матеріальних і трудових</w:t>
      </w:r>
      <w:r>
        <w:rPr>
          <w:spacing w:val="-12"/>
          <w:sz w:val="28"/>
        </w:rPr>
        <w:t> </w:t>
      </w:r>
      <w:r>
        <w:rPr>
          <w:sz w:val="28"/>
        </w:rPr>
        <w:t>ресурсів;</w:t>
      </w:r>
    </w:p>
    <w:p>
      <w:pPr>
        <w:pStyle w:val="ListParagraph"/>
        <w:numPr>
          <w:ilvl w:val="0"/>
          <w:numId w:val="30"/>
        </w:numPr>
        <w:tabs>
          <w:tab w:pos="1101" w:val="left" w:leader="none"/>
        </w:tabs>
        <w:spacing w:line="240" w:lineRule="auto" w:before="0" w:after="0"/>
        <w:ind w:left="193" w:right="607" w:firstLine="710"/>
        <w:jc w:val="both"/>
        <w:rPr>
          <w:sz w:val="28"/>
        </w:rPr>
      </w:pPr>
      <w:r>
        <w:rPr>
          <w:sz w:val="28"/>
        </w:rPr>
        <w:t>створення умов, що забезпечують збереження і відновлення родючості грунтів і підвищення на цій основі врожайності вирощуваних сільськогосподарських</w:t>
      </w:r>
      <w:r>
        <w:rPr>
          <w:spacing w:val="-4"/>
          <w:sz w:val="28"/>
        </w:rPr>
        <w:t> </w:t>
      </w:r>
      <w:r>
        <w:rPr>
          <w:sz w:val="28"/>
        </w:rPr>
        <w:t>культур;</w:t>
      </w:r>
    </w:p>
    <w:p>
      <w:pPr>
        <w:pStyle w:val="ListParagraph"/>
        <w:numPr>
          <w:ilvl w:val="0"/>
          <w:numId w:val="30"/>
        </w:numPr>
        <w:tabs>
          <w:tab w:pos="1068" w:val="left" w:leader="none"/>
        </w:tabs>
        <w:spacing w:line="321" w:lineRule="exact" w:before="0" w:after="0"/>
        <w:ind w:left="1067" w:right="0" w:hanging="165"/>
        <w:jc w:val="both"/>
        <w:rPr>
          <w:sz w:val="28"/>
        </w:rPr>
      </w:pPr>
      <w:r>
        <w:rPr>
          <w:sz w:val="28"/>
        </w:rPr>
        <w:t>розширення посівних площ, які засіваються елітним</w:t>
      </w:r>
      <w:r>
        <w:rPr>
          <w:spacing w:val="-6"/>
          <w:sz w:val="28"/>
        </w:rPr>
        <w:t> </w:t>
      </w:r>
      <w:r>
        <w:rPr>
          <w:sz w:val="28"/>
        </w:rPr>
        <w:t>насінням;</w:t>
      </w:r>
    </w:p>
    <w:p>
      <w:pPr>
        <w:pStyle w:val="ListParagraph"/>
        <w:numPr>
          <w:ilvl w:val="0"/>
          <w:numId w:val="30"/>
        </w:numPr>
        <w:tabs>
          <w:tab w:pos="1159" w:val="left" w:leader="none"/>
        </w:tabs>
        <w:spacing w:line="240" w:lineRule="auto" w:before="0" w:after="0"/>
        <w:ind w:left="193" w:right="618" w:firstLine="710"/>
        <w:jc w:val="both"/>
        <w:rPr>
          <w:sz w:val="28"/>
        </w:rPr>
      </w:pPr>
      <w:r>
        <w:rPr>
          <w:sz w:val="28"/>
        </w:rPr>
        <w:t>розвитку кооперації та інтеграції з метою зростання прибутковості сільськогосподарських товаровиробників і забезпечення їх доступу на агропродовольчий ринок;</w:t>
      </w:r>
    </w:p>
    <w:p>
      <w:pPr>
        <w:pStyle w:val="ListParagraph"/>
        <w:numPr>
          <w:ilvl w:val="0"/>
          <w:numId w:val="30"/>
        </w:numPr>
        <w:tabs>
          <w:tab w:pos="1313" w:val="left" w:leader="none"/>
        </w:tabs>
        <w:spacing w:line="240" w:lineRule="auto" w:before="0" w:after="0"/>
        <w:ind w:left="193" w:right="618" w:firstLine="710"/>
        <w:jc w:val="both"/>
        <w:rPr>
          <w:sz w:val="28"/>
        </w:rPr>
      </w:pPr>
      <w:r>
        <w:rPr>
          <w:sz w:val="28"/>
        </w:rPr>
        <w:t>створення організаційно-економічних умов для вдосконалення розміщення і спеціалізації агропромислового виробництва, що забезпечує поліпшення використання природного потенціалу, ресурсозбереження, підвищення ефективності</w:t>
      </w:r>
      <w:r>
        <w:rPr>
          <w:spacing w:val="2"/>
          <w:sz w:val="28"/>
        </w:rPr>
        <w:t> </w:t>
      </w:r>
      <w:r>
        <w:rPr>
          <w:sz w:val="28"/>
        </w:rPr>
        <w:t>виробництва;</w:t>
      </w:r>
    </w:p>
    <w:p>
      <w:pPr>
        <w:pStyle w:val="ListParagraph"/>
        <w:numPr>
          <w:ilvl w:val="0"/>
          <w:numId w:val="30"/>
        </w:numPr>
        <w:tabs>
          <w:tab w:pos="1068" w:val="left" w:leader="none"/>
        </w:tabs>
        <w:spacing w:line="322" w:lineRule="exact" w:before="0" w:after="0"/>
        <w:ind w:left="1067" w:right="0" w:hanging="165"/>
        <w:jc w:val="both"/>
        <w:rPr>
          <w:sz w:val="28"/>
        </w:rPr>
      </w:pPr>
      <w:r>
        <w:rPr>
          <w:sz w:val="28"/>
        </w:rPr>
        <w:t>впровадження ресурсо- і енергозберігаючих технологій у</w:t>
      </w:r>
      <w:r>
        <w:rPr>
          <w:spacing w:val="-9"/>
          <w:sz w:val="28"/>
        </w:rPr>
        <w:t> </w:t>
      </w:r>
      <w:r>
        <w:rPr>
          <w:sz w:val="28"/>
        </w:rPr>
        <w:t>рослинництві;</w:t>
      </w:r>
    </w:p>
    <w:p>
      <w:pPr>
        <w:pStyle w:val="ListParagraph"/>
        <w:numPr>
          <w:ilvl w:val="0"/>
          <w:numId w:val="30"/>
        </w:numPr>
        <w:tabs>
          <w:tab w:pos="1068" w:val="left" w:leader="none"/>
        </w:tabs>
        <w:spacing w:line="240" w:lineRule="auto" w:before="0" w:after="0"/>
        <w:ind w:left="193" w:right="608" w:firstLine="710"/>
        <w:jc w:val="both"/>
        <w:rPr>
          <w:sz w:val="28"/>
        </w:rPr>
      </w:pPr>
      <w:r>
        <w:rPr>
          <w:sz w:val="28"/>
        </w:rPr>
        <w:t>вдосконалення державного регулювання сільського господарства і</w:t>
      </w:r>
      <w:r>
        <w:rPr>
          <w:spacing w:val="-47"/>
          <w:sz w:val="28"/>
        </w:rPr>
        <w:t> </w:t>
      </w:r>
      <w:r>
        <w:rPr>
          <w:sz w:val="28"/>
        </w:rPr>
        <w:t>ринку сільгосппродукції, збільшення державної підтримки з метою захисту інтересів товаровиробників, підвищення ефективності та інвестиційної привабливості сільського господарства, встановлення пропорційності у відносинах між сферами АПК;</w:t>
      </w:r>
    </w:p>
    <w:p>
      <w:pPr>
        <w:pStyle w:val="ListParagraph"/>
        <w:numPr>
          <w:ilvl w:val="0"/>
          <w:numId w:val="30"/>
        </w:numPr>
        <w:tabs>
          <w:tab w:pos="1063" w:val="left" w:leader="none"/>
        </w:tabs>
        <w:spacing w:line="240" w:lineRule="auto" w:before="0" w:after="0"/>
        <w:ind w:left="193" w:right="619" w:firstLine="710"/>
        <w:jc w:val="both"/>
        <w:rPr>
          <w:sz w:val="28"/>
        </w:rPr>
      </w:pPr>
      <w:r>
        <w:rPr>
          <w:sz w:val="28"/>
        </w:rPr>
        <w:t>підвищення</w:t>
      </w:r>
      <w:r>
        <w:rPr>
          <w:spacing w:val="-10"/>
          <w:sz w:val="28"/>
        </w:rPr>
        <w:t> </w:t>
      </w:r>
      <w:r>
        <w:rPr>
          <w:sz w:val="28"/>
        </w:rPr>
        <w:t>доступності</w:t>
      </w:r>
      <w:r>
        <w:rPr>
          <w:spacing w:val="-16"/>
          <w:sz w:val="28"/>
        </w:rPr>
        <w:t> </w:t>
      </w:r>
      <w:r>
        <w:rPr>
          <w:sz w:val="28"/>
        </w:rPr>
        <w:t>кредитних</w:t>
      </w:r>
      <w:r>
        <w:rPr>
          <w:spacing w:val="-14"/>
          <w:sz w:val="28"/>
        </w:rPr>
        <w:t> </w:t>
      </w:r>
      <w:r>
        <w:rPr>
          <w:sz w:val="28"/>
        </w:rPr>
        <w:t>ресурсів,</w:t>
      </w:r>
      <w:r>
        <w:rPr>
          <w:spacing w:val="-9"/>
          <w:sz w:val="28"/>
        </w:rPr>
        <w:t> </w:t>
      </w:r>
      <w:r>
        <w:rPr>
          <w:sz w:val="28"/>
        </w:rPr>
        <w:t>розвитку</w:t>
      </w:r>
      <w:r>
        <w:rPr>
          <w:spacing w:val="-15"/>
          <w:sz w:val="28"/>
        </w:rPr>
        <w:t> </w:t>
      </w:r>
      <w:r>
        <w:rPr>
          <w:sz w:val="28"/>
        </w:rPr>
        <w:t>земельної</w:t>
      </w:r>
      <w:r>
        <w:rPr>
          <w:spacing w:val="-15"/>
          <w:sz w:val="28"/>
        </w:rPr>
        <w:t> </w:t>
      </w:r>
      <w:r>
        <w:rPr>
          <w:sz w:val="28"/>
        </w:rPr>
        <w:t>іпотеки, посилення конкурентних засад в сферах кредитування і страхування і на ринку лізингових</w:t>
      </w:r>
      <w:r>
        <w:rPr>
          <w:spacing w:val="-4"/>
          <w:sz w:val="28"/>
        </w:rPr>
        <w:t> </w:t>
      </w:r>
      <w:r>
        <w:rPr>
          <w:sz w:val="28"/>
        </w:rPr>
        <w:t>послуг;</w:t>
      </w:r>
    </w:p>
    <w:p>
      <w:pPr>
        <w:pStyle w:val="ListParagraph"/>
        <w:numPr>
          <w:ilvl w:val="0"/>
          <w:numId w:val="30"/>
        </w:numPr>
        <w:tabs>
          <w:tab w:pos="1217" w:val="left" w:leader="none"/>
        </w:tabs>
        <w:spacing w:line="242" w:lineRule="auto" w:before="0" w:after="0"/>
        <w:ind w:left="193" w:right="620" w:firstLine="710"/>
        <w:jc w:val="both"/>
        <w:rPr>
          <w:sz w:val="28"/>
        </w:rPr>
      </w:pPr>
      <w:r>
        <w:rPr>
          <w:sz w:val="28"/>
        </w:rPr>
        <w:t>підтримки рівня субсидування відсоткових ставок за кредитами, отриманими сільгосптоваровиробниками в комерційних</w:t>
      </w:r>
      <w:r>
        <w:rPr>
          <w:spacing w:val="-6"/>
          <w:sz w:val="28"/>
        </w:rPr>
        <w:t> </w:t>
      </w:r>
      <w:r>
        <w:rPr>
          <w:sz w:val="28"/>
        </w:rPr>
        <w:t>банках;</w:t>
      </w:r>
    </w:p>
    <w:p>
      <w:pPr>
        <w:pStyle w:val="ListParagraph"/>
        <w:numPr>
          <w:ilvl w:val="0"/>
          <w:numId w:val="30"/>
        </w:numPr>
        <w:tabs>
          <w:tab w:pos="1068" w:val="left" w:leader="none"/>
        </w:tabs>
        <w:spacing w:line="320" w:lineRule="exact" w:before="0" w:after="0"/>
        <w:ind w:left="1067" w:right="0" w:hanging="165"/>
        <w:jc w:val="both"/>
        <w:rPr>
          <w:sz w:val="28"/>
        </w:rPr>
      </w:pPr>
      <w:r>
        <w:rPr>
          <w:sz w:val="28"/>
        </w:rPr>
        <w:t>часткової компенсації подорожчання матеріально-технічних</w:t>
      </w:r>
      <w:r>
        <w:rPr>
          <w:spacing w:val="-16"/>
          <w:sz w:val="28"/>
        </w:rPr>
        <w:t> </w:t>
      </w:r>
      <w:r>
        <w:rPr>
          <w:sz w:val="28"/>
        </w:rPr>
        <w:t>ресурсів;</w:t>
      </w:r>
    </w:p>
    <w:p>
      <w:pPr>
        <w:pStyle w:val="ListParagraph"/>
        <w:numPr>
          <w:ilvl w:val="0"/>
          <w:numId w:val="30"/>
        </w:numPr>
        <w:tabs>
          <w:tab w:pos="1087" w:val="left" w:leader="none"/>
        </w:tabs>
        <w:spacing w:line="240" w:lineRule="auto" w:before="0" w:after="0"/>
        <w:ind w:left="193" w:right="609" w:firstLine="710"/>
        <w:jc w:val="both"/>
        <w:rPr>
          <w:sz w:val="28"/>
        </w:rPr>
      </w:pPr>
      <w:r>
        <w:rPr>
          <w:sz w:val="28"/>
        </w:rPr>
        <w:t>надання державної підтримки в будівництві та реконструкції об’єктів </w:t>
      </w:r>
      <w:r>
        <w:rPr>
          <w:spacing w:val="2"/>
          <w:sz w:val="28"/>
        </w:rPr>
        <w:t>зі </w:t>
      </w:r>
      <w:r>
        <w:rPr>
          <w:sz w:val="28"/>
        </w:rPr>
        <w:t>зберігання та первинної переробки</w:t>
      </w:r>
      <w:r>
        <w:rPr>
          <w:spacing w:val="-3"/>
          <w:sz w:val="28"/>
        </w:rPr>
        <w:t> </w:t>
      </w:r>
      <w:r>
        <w:rPr>
          <w:sz w:val="28"/>
        </w:rPr>
        <w:t>сільгосппродукції;</w:t>
      </w:r>
    </w:p>
    <w:p>
      <w:pPr>
        <w:pStyle w:val="ListParagraph"/>
        <w:numPr>
          <w:ilvl w:val="0"/>
          <w:numId w:val="30"/>
        </w:numPr>
        <w:tabs>
          <w:tab w:pos="1058" w:val="left" w:leader="none"/>
          <w:tab w:pos="1675" w:val="left" w:leader="none"/>
          <w:tab w:pos="1806" w:val="left" w:leader="none"/>
          <w:tab w:pos="2078" w:val="left" w:leader="none"/>
          <w:tab w:pos="2286" w:val="left" w:leader="none"/>
          <w:tab w:pos="2442" w:val="left" w:leader="none"/>
          <w:tab w:pos="3320" w:val="left" w:leader="none"/>
          <w:tab w:pos="3481" w:val="left" w:leader="none"/>
          <w:tab w:pos="4255" w:val="left" w:leader="none"/>
          <w:tab w:pos="4721" w:val="left" w:leader="none"/>
          <w:tab w:pos="5468" w:val="left" w:leader="none"/>
          <w:tab w:pos="5647" w:val="left" w:leader="none"/>
          <w:tab w:pos="5924" w:val="left" w:leader="none"/>
          <w:tab w:pos="6030" w:val="left" w:leader="none"/>
          <w:tab w:pos="6158" w:val="left" w:leader="none"/>
          <w:tab w:pos="6232" w:val="left" w:leader="none"/>
          <w:tab w:pos="6524" w:val="left" w:leader="none"/>
          <w:tab w:pos="7272" w:val="left" w:leader="none"/>
          <w:tab w:pos="8115" w:val="left" w:leader="none"/>
          <w:tab w:pos="8265" w:val="left" w:leader="none"/>
          <w:tab w:pos="8452" w:val="left" w:leader="none"/>
          <w:tab w:pos="8639" w:val="left" w:leader="none"/>
        </w:tabs>
        <w:spacing w:line="240" w:lineRule="auto" w:before="0" w:after="0"/>
        <w:ind w:left="193" w:right="609" w:firstLine="710"/>
        <w:jc w:val="right"/>
        <w:rPr>
          <w:sz w:val="28"/>
        </w:rPr>
      </w:pPr>
      <w:r>
        <w:rPr>
          <w:sz w:val="28"/>
        </w:rPr>
        <w:t>державної</w:t>
      </w:r>
      <w:r>
        <w:rPr>
          <w:spacing w:val="-19"/>
          <w:sz w:val="28"/>
        </w:rPr>
        <w:t> </w:t>
      </w:r>
      <w:r>
        <w:rPr>
          <w:sz w:val="28"/>
        </w:rPr>
        <w:t>підтримки</w:t>
      </w:r>
      <w:r>
        <w:rPr>
          <w:spacing w:val="-14"/>
          <w:sz w:val="28"/>
        </w:rPr>
        <w:t> </w:t>
      </w:r>
      <w:r>
        <w:rPr>
          <w:sz w:val="28"/>
        </w:rPr>
        <w:t>розвитку</w:t>
      </w:r>
      <w:r>
        <w:rPr>
          <w:spacing w:val="-19"/>
          <w:sz w:val="28"/>
        </w:rPr>
        <w:t> </w:t>
      </w:r>
      <w:r>
        <w:rPr>
          <w:sz w:val="28"/>
        </w:rPr>
        <w:t>горизонтальної</w:t>
      </w:r>
      <w:r>
        <w:rPr>
          <w:spacing w:val="-15"/>
          <w:sz w:val="28"/>
        </w:rPr>
        <w:t> </w:t>
      </w:r>
      <w:r>
        <w:rPr>
          <w:sz w:val="28"/>
        </w:rPr>
        <w:t>та</w:t>
      </w:r>
      <w:r>
        <w:rPr>
          <w:spacing w:val="-13"/>
          <w:sz w:val="28"/>
        </w:rPr>
        <w:t> </w:t>
      </w:r>
      <w:r>
        <w:rPr>
          <w:sz w:val="28"/>
        </w:rPr>
        <w:t>вертикальної</w:t>
      </w:r>
      <w:r>
        <w:rPr>
          <w:spacing w:val="-15"/>
          <w:sz w:val="28"/>
        </w:rPr>
        <w:t> </w:t>
      </w:r>
      <w:r>
        <w:rPr>
          <w:sz w:val="28"/>
        </w:rPr>
        <w:t>інтеграції.</w:t>
      </w:r>
      <w:r>
        <w:rPr>
          <w:w w:val="99"/>
          <w:sz w:val="28"/>
        </w:rPr>
        <w:t> </w:t>
      </w:r>
      <w:r>
        <w:rPr>
          <w:b/>
          <w:sz w:val="28"/>
        </w:rPr>
        <w:t>Висновки.</w:t>
        <w:tab/>
        <w:tab/>
      </w:r>
      <w:r>
        <w:rPr>
          <w:sz w:val="28"/>
        </w:rPr>
        <w:t>В</w:t>
        <w:tab/>
        <w:tab/>
        <w:t>Україні</w:t>
        <w:tab/>
        <w:tab/>
        <w:t>спостерігається</w:t>
        <w:tab/>
        <w:tab/>
        <w:t>зменшення</w:t>
        <w:tab/>
        <w:t>кількості</w:t>
        <w:tab/>
        <w:tab/>
        <w:t>с.-г. підприємств. Аналіз показників виробництва продукції</w:t>
      </w:r>
      <w:r>
        <w:rPr>
          <w:spacing w:val="-13"/>
          <w:sz w:val="28"/>
        </w:rPr>
        <w:t> </w:t>
      </w:r>
      <w:r>
        <w:rPr>
          <w:sz w:val="28"/>
        </w:rPr>
        <w:t>сільського</w:t>
      </w:r>
      <w:r>
        <w:rPr>
          <w:spacing w:val="-3"/>
          <w:sz w:val="28"/>
        </w:rPr>
        <w:t> </w:t>
      </w:r>
      <w:r>
        <w:rPr>
          <w:sz w:val="28"/>
        </w:rPr>
        <w:t>господарства</w:t>
      </w:r>
      <w:r>
        <w:rPr>
          <w:w w:val="99"/>
          <w:sz w:val="28"/>
        </w:rPr>
        <w:t> </w:t>
      </w:r>
      <w:r>
        <w:rPr>
          <w:sz w:val="28"/>
        </w:rPr>
        <w:t>виявив негативні зрушення в діяльності с.-г. підприємств.</w:t>
      </w:r>
      <w:r>
        <w:rPr>
          <w:spacing w:val="24"/>
          <w:sz w:val="28"/>
        </w:rPr>
        <w:t> </w:t>
      </w:r>
      <w:r>
        <w:rPr>
          <w:sz w:val="28"/>
        </w:rPr>
        <w:t>Сучасний</w:t>
      </w:r>
      <w:r>
        <w:rPr>
          <w:spacing w:val="35"/>
          <w:sz w:val="28"/>
        </w:rPr>
        <w:t> </w:t>
      </w:r>
      <w:r>
        <w:rPr>
          <w:sz w:val="28"/>
        </w:rPr>
        <w:t>стан</w:t>
      </w:r>
      <w:r>
        <w:rPr>
          <w:w w:val="99"/>
          <w:sz w:val="28"/>
        </w:rPr>
        <w:t> </w:t>
      </w:r>
      <w:r>
        <w:rPr>
          <w:sz w:val="28"/>
        </w:rPr>
        <w:t>аграрної галузі обумовлюється глобальним впливом</w:t>
      </w:r>
      <w:r>
        <w:rPr>
          <w:spacing w:val="-28"/>
          <w:sz w:val="28"/>
        </w:rPr>
        <w:t> </w:t>
      </w:r>
      <w:r>
        <w:rPr>
          <w:sz w:val="28"/>
        </w:rPr>
        <w:t>технологічної</w:t>
      </w:r>
      <w:r>
        <w:rPr>
          <w:spacing w:val="-9"/>
          <w:sz w:val="28"/>
        </w:rPr>
        <w:t> </w:t>
      </w:r>
      <w:r>
        <w:rPr>
          <w:sz w:val="28"/>
        </w:rPr>
        <w:t>модернізації.</w:t>
      </w:r>
      <w:r>
        <w:rPr>
          <w:w w:val="99"/>
          <w:sz w:val="28"/>
        </w:rPr>
        <w:t> </w:t>
      </w:r>
      <w:r>
        <w:rPr>
          <w:sz w:val="28"/>
        </w:rPr>
        <w:t>Тому Україна, прагнучи дотримуватися основних</w:t>
      </w:r>
      <w:r>
        <w:rPr>
          <w:spacing w:val="24"/>
          <w:sz w:val="28"/>
        </w:rPr>
        <w:t> </w:t>
      </w:r>
      <w:r>
        <w:rPr>
          <w:sz w:val="28"/>
        </w:rPr>
        <w:t>принципів</w:t>
      </w:r>
      <w:r>
        <w:rPr>
          <w:spacing w:val="3"/>
          <w:sz w:val="28"/>
        </w:rPr>
        <w:t> </w:t>
      </w:r>
      <w:r>
        <w:rPr>
          <w:sz w:val="28"/>
        </w:rPr>
        <w:t>агроінноваційного</w:t>
      </w:r>
      <w:r>
        <w:rPr>
          <w:w w:val="99"/>
          <w:sz w:val="28"/>
        </w:rPr>
        <w:t> </w:t>
      </w:r>
      <w:r>
        <w:rPr>
          <w:sz w:val="28"/>
        </w:rPr>
        <w:t>розвитку,</w:t>
        <w:tab/>
        <w:t>має</w:t>
        <w:tab/>
        <w:tab/>
        <w:t>враховувати</w:t>
        <w:tab/>
        <w:t>особливості</w:t>
        <w:tab/>
        <w:tab/>
        <w:t>й</w:t>
        <w:tab/>
        <w:tab/>
        <w:t>можливості</w:t>
        <w:tab/>
        <w:tab/>
      </w:r>
      <w:r>
        <w:rPr>
          <w:spacing w:val="-1"/>
          <w:sz w:val="28"/>
        </w:rPr>
        <w:t>вітчизняного</w:t>
      </w:r>
      <w:r>
        <w:rPr>
          <w:w w:val="99"/>
          <w:sz w:val="28"/>
        </w:rPr>
        <w:t> </w:t>
      </w:r>
      <w:r>
        <w:rPr>
          <w:sz w:val="28"/>
        </w:rPr>
        <w:t>сільськогосподарського</w:t>
        <w:tab/>
        <w:tab/>
        <w:t>виробництва</w:t>
        <w:tab/>
        <w:t>та</w:t>
        <w:tab/>
        <w:tab/>
        <w:tab/>
        <w:t>необхідність</w:t>
        <w:tab/>
      </w:r>
      <w:r>
        <w:rPr>
          <w:w w:val="95"/>
          <w:sz w:val="28"/>
        </w:rPr>
        <w:t>впровадження </w:t>
      </w:r>
      <w:r>
        <w:rPr>
          <w:sz w:val="28"/>
        </w:rPr>
        <w:t>технологічної</w:t>
        <w:tab/>
        <w:t>безпеки,</w:t>
        <w:tab/>
        <w:t>перевірки</w:t>
        <w:tab/>
        <w:t>наявних</w:t>
        <w:tab/>
        <w:t>і</w:t>
        <w:tab/>
        <w:tab/>
        <w:tab/>
        <w:t>впроваджуваних</w:t>
        <w:tab/>
        <w:tab/>
      </w:r>
      <w:r>
        <w:rPr>
          <w:spacing w:val="-1"/>
          <w:sz w:val="28"/>
        </w:rPr>
        <w:t>технологій.</w:t>
      </w:r>
    </w:p>
    <w:p>
      <w:pPr>
        <w:spacing w:after="0" w:line="240" w:lineRule="auto"/>
        <w:jc w:val="right"/>
        <w:rPr>
          <w:sz w:val="28"/>
        </w:rPr>
        <w:sectPr>
          <w:pgSz w:w="11910" w:h="16840"/>
          <w:pgMar w:header="713" w:footer="778" w:top="1140" w:bottom="960" w:left="940" w:right="520"/>
        </w:sectPr>
      </w:pPr>
    </w:p>
    <w:p>
      <w:pPr>
        <w:pStyle w:val="BodyText"/>
        <w:spacing w:before="92"/>
        <w:ind w:right="608"/>
      </w:pPr>
      <w:r>
        <w:rPr/>
        <w:t>Сільське господарство України, незважаючи на нестабільність інноваційної активності, повинно інтегрувати передові науково-технічні розробки й адаптувати їх у власне виробництво. Забезпечення подальшого інноваційного розвитку аграрних підприємств потребує проведення подальших досліджень, спрямованих на створення високотехнологічних виробництв і освоєння цих результатів в аграрних підприємствах.</w:t>
      </w:r>
    </w:p>
    <w:p>
      <w:pPr>
        <w:pStyle w:val="BodyText"/>
        <w:spacing w:before="7"/>
        <w:ind w:left="0"/>
        <w:jc w:val="left"/>
      </w:pPr>
    </w:p>
    <w:p>
      <w:pPr>
        <w:pStyle w:val="Heading1"/>
        <w:spacing w:line="319" w:lineRule="exact"/>
        <w:ind w:left="187"/>
      </w:pPr>
      <w:r>
        <w:rPr/>
        <w:t>ЛІТЕРАТУРА</w:t>
      </w:r>
    </w:p>
    <w:p>
      <w:pPr>
        <w:pStyle w:val="ListParagraph"/>
        <w:numPr>
          <w:ilvl w:val="0"/>
          <w:numId w:val="31"/>
        </w:numPr>
        <w:tabs>
          <w:tab w:pos="1188" w:val="left" w:leader="none"/>
        </w:tabs>
        <w:spacing w:line="240" w:lineRule="auto" w:before="0" w:after="0"/>
        <w:ind w:left="193" w:right="625" w:firstLine="710"/>
        <w:jc w:val="both"/>
        <w:rPr>
          <w:sz w:val="28"/>
        </w:rPr>
      </w:pPr>
      <w:r>
        <w:rPr>
          <w:sz w:val="28"/>
        </w:rPr>
        <w:t>Бездудный Ф.Ф., Смирнова Г.А., Нечаєва О.Д. Сущность понятия инновация и его классификация. </w:t>
      </w:r>
      <w:r>
        <w:rPr>
          <w:i/>
          <w:sz w:val="28"/>
        </w:rPr>
        <w:t>Инновации</w:t>
      </w:r>
      <w:r>
        <w:rPr>
          <w:sz w:val="28"/>
        </w:rPr>
        <w:t>. 1998. №2.-3. С.</w:t>
      </w:r>
      <w:r>
        <w:rPr>
          <w:spacing w:val="20"/>
          <w:sz w:val="28"/>
        </w:rPr>
        <w:t> </w:t>
      </w:r>
      <w:r>
        <w:rPr>
          <w:spacing w:val="-3"/>
          <w:sz w:val="28"/>
        </w:rPr>
        <w:t>4.</w:t>
      </w:r>
    </w:p>
    <w:p>
      <w:pPr>
        <w:pStyle w:val="ListParagraph"/>
        <w:numPr>
          <w:ilvl w:val="0"/>
          <w:numId w:val="31"/>
        </w:numPr>
        <w:tabs>
          <w:tab w:pos="1188" w:val="left" w:leader="none"/>
        </w:tabs>
        <w:spacing w:line="240" w:lineRule="auto" w:before="0" w:after="0"/>
        <w:ind w:left="193" w:right="613" w:firstLine="710"/>
        <w:jc w:val="both"/>
        <w:rPr>
          <w:sz w:val="28"/>
        </w:rPr>
      </w:pPr>
      <w:r>
        <w:rPr>
          <w:sz w:val="28"/>
        </w:rPr>
        <w:t>Шевченко</w:t>
      </w:r>
      <w:r>
        <w:rPr>
          <w:spacing w:val="-14"/>
          <w:sz w:val="28"/>
        </w:rPr>
        <w:t> </w:t>
      </w:r>
      <w:r>
        <w:rPr>
          <w:sz w:val="28"/>
        </w:rPr>
        <w:t>А.А.,</w:t>
      </w:r>
      <w:r>
        <w:rPr>
          <w:spacing w:val="-16"/>
          <w:sz w:val="28"/>
        </w:rPr>
        <w:t> </w:t>
      </w:r>
      <w:r>
        <w:rPr>
          <w:sz w:val="28"/>
        </w:rPr>
        <w:t>Петренко</w:t>
      </w:r>
      <w:r>
        <w:rPr>
          <w:spacing w:val="-17"/>
          <w:sz w:val="28"/>
        </w:rPr>
        <w:t> </w:t>
      </w:r>
      <w:r>
        <w:rPr>
          <w:sz w:val="28"/>
        </w:rPr>
        <w:t>О.П.,</w:t>
      </w:r>
      <w:r>
        <w:rPr>
          <w:spacing w:val="-16"/>
          <w:sz w:val="28"/>
        </w:rPr>
        <w:t> </w:t>
      </w:r>
      <w:r>
        <w:rPr>
          <w:sz w:val="28"/>
        </w:rPr>
        <w:t>Добрянська</w:t>
      </w:r>
      <w:r>
        <w:rPr>
          <w:spacing w:val="-12"/>
          <w:sz w:val="28"/>
        </w:rPr>
        <w:t> </w:t>
      </w:r>
      <w:r>
        <w:rPr>
          <w:sz w:val="28"/>
        </w:rPr>
        <w:t>Н.А.</w:t>
      </w:r>
      <w:r>
        <w:rPr>
          <w:spacing w:val="-16"/>
          <w:sz w:val="28"/>
        </w:rPr>
        <w:t> </w:t>
      </w:r>
      <w:r>
        <w:rPr>
          <w:sz w:val="28"/>
        </w:rPr>
        <w:t>Інноваційний</w:t>
      </w:r>
      <w:r>
        <w:rPr>
          <w:spacing w:val="-17"/>
          <w:sz w:val="28"/>
        </w:rPr>
        <w:t> </w:t>
      </w:r>
      <w:r>
        <w:rPr>
          <w:sz w:val="28"/>
        </w:rPr>
        <w:t>розвиток аграрних підприємств. </w:t>
      </w:r>
      <w:r>
        <w:rPr>
          <w:i/>
          <w:sz w:val="28"/>
        </w:rPr>
        <w:t>Аграрний вісник Причорномор’я</w:t>
      </w:r>
      <w:r>
        <w:rPr>
          <w:sz w:val="28"/>
        </w:rPr>
        <w:t>. 2017. С.</w:t>
      </w:r>
      <w:r>
        <w:rPr>
          <w:spacing w:val="6"/>
          <w:sz w:val="28"/>
        </w:rPr>
        <w:t> </w:t>
      </w:r>
      <w:r>
        <w:rPr>
          <w:sz w:val="28"/>
        </w:rPr>
        <w:t>200-213.</w:t>
      </w:r>
    </w:p>
    <w:p>
      <w:pPr>
        <w:pStyle w:val="ListParagraph"/>
        <w:numPr>
          <w:ilvl w:val="0"/>
          <w:numId w:val="31"/>
        </w:numPr>
        <w:tabs>
          <w:tab w:pos="1188" w:val="left" w:leader="none"/>
        </w:tabs>
        <w:spacing w:line="240" w:lineRule="auto" w:before="0" w:after="0"/>
        <w:ind w:left="193" w:right="619" w:firstLine="710"/>
        <w:jc w:val="both"/>
        <w:rPr>
          <w:sz w:val="28"/>
        </w:rPr>
      </w:pPr>
      <w:r>
        <w:rPr>
          <w:sz w:val="28"/>
        </w:rPr>
        <w:t>Розвиток інноваційної діяльності в аграрній сфері: менеджмент та ефективність: монографія / за ред. О.Г. Шпикуляк, М.І. Грицаєнко. Херсон: ОЛДІ-ПЛЮС, 2016. 424</w:t>
      </w:r>
      <w:r>
        <w:rPr>
          <w:spacing w:val="8"/>
          <w:sz w:val="28"/>
        </w:rPr>
        <w:t> </w:t>
      </w:r>
      <w:r>
        <w:rPr>
          <w:sz w:val="28"/>
        </w:rPr>
        <w:t>с.</w:t>
      </w:r>
    </w:p>
    <w:p>
      <w:pPr>
        <w:pStyle w:val="ListParagraph"/>
        <w:numPr>
          <w:ilvl w:val="0"/>
          <w:numId w:val="31"/>
        </w:numPr>
        <w:tabs>
          <w:tab w:pos="1188" w:val="left" w:leader="none"/>
        </w:tabs>
        <w:spacing w:line="240" w:lineRule="auto" w:before="0" w:after="0"/>
        <w:ind w:left="193" w:right="623" w:firstLine="710"/>
        <w:jc w:val="both"/>
        <w:rPr>
          <w:sz w:val="28"/>
        </w:rPr>
      </w:pPr>
      <w:r>
        <w:rPr>
          <w:sz w:val="28"/>
        </w:rPr>
        <w:t>Вініченко І.І. Інноваційна діяльність аграрних підприємств: стан та пріоритети.</w:t>
      </w:r>
      <w:r>
        <w:rPr>
          <w:spacing w:val="-19"/>
          <w:sz w:val="28"/>
        </w:rPr>
        <w:t> </w:t>
      </w:r>
      <w:r>
        <w:rPr>
          <w:sz w:val="28"/>
        </w:rPr>
        <w:t>Бюлетень</w:t>
      </w:r>
      <w:r>
        <w:rPr>
          <w:spacing w:val="-22"/>
          <w:sz w:val="28"/>
        </w:rPr>
        <w:t> </w:t>
      </w:r>
      <w:r>
        <w:rPr>
          <w:sz w:val="28"/>
        </w:rPr>
        <w:t>Міжнародного</w:t>
      </w:r>
      <w:r>
        <w:rPr>
          <w:spacing w:val="-15"/>
          <w:sz w:val="28"/>
        </w:rPr>
        <w:t> </w:t>
      </w:r>
      <w:r>
        <w:rPr>
          <w:sz w:val="28"/>
        </w:rPr>
        <w:t>Нобелівського</w:t>
      </w:r>
      <w:r>
        <w:rPr>
          <w:spacing w:val="-21"/>
          <w:sz w:val="28"/>
        </w:rPr>
        <w:t> </w:t>
      </w:r>
      <w:r>
        <w:rPr>
          <w:sz w:val="28"/>
        </w:rPr>
        <w:t>економічного</w:t>
      </w:r>
      <w:r>
        <w:rPr>
          <w:spacing w:val="-20"/>
          <w:sz w:val="28"/>
        </w:rPr>
        <w:t> </w:t>
      </w:r>
      <w:r>
        <w:rPr>
          <w:sz w:val="28"/>
        </w:rPr>
        <w:t>форуму.</w:t>
      </w:r>
      <w:r>
        <w:rPr>
          <w:spacing w:val="-18"/>
          <w:sz w:val="28"/>
        </w:rPr>
        <w:t> </w:t>
      </w:r>
      <w:r>
        <w:rPr>
          <w:sz w:val="28"/>
        </w:rPr>
        <w:t>2012.</w:t>
      </w:r>
    </w:p>
    <w:p>
      <w:pPr>
        <w:pStyle w:val="BodyText"/>
        <w:spacing w:line="321" w:lineRule="exact"/>
      </w:pPr>
      <w:r>
        <w:rPr/>
        <w:t>№ 1 (5). Т. 1. С. 44-48.</w:t>
      </w:r>
    </w:p>
    <w:p>
      <w:pPr>
        <w:pStyle w:val="ListParagraph"/>
        <w:numPr>
          <w:ilvl w:val="0"/>
          <w:numId w:val="31"/>
        </w:numPr>
        <w:tabs>
          <w:tab w:pos="1188" w:val="left" w:leader="none"/>
        </w:tabs>
        <w:spacing w:line="240" w:lineRule="auto" w:before="0" w:after="0"/>
        <w:ind w:left="193" w:right="614" w:firstLine="710"/>
        <w:jc w:val="both"/>
        <w:rPr>
          <w:sz w:val="28"/>
        </w:rPr>
      </w:pPr>
      <w:r>
        <w:rPr>
          <w:sz w:val="28"/>
        </w:rPr>
        <w:t>Сільське, лісове та рибне господарство. URL: www.ukrstat. gov.ua/druk/publicat/ kat_u/publ7_u.htm (дата звернення:</w:t>
      </w:r>
      <w:r>
        <w:rPr>
          <w:spacing w:val="-9"/>
          <w:sz w:val="28"/>
        </w:rPr>
        <w:t> </w:t>
      </w:r>
      <w:r>
        <w:rPr>
          <w:sz w:val="28"/>
        </w:rPr>
        <w:t>27.08.2019).</w:t>
      </w:r>
    </w:p>
    <w:p>
      <w:pPr>
        <w:pStyle w:val="ListParagraph"/>
        <w:numPr>
          <w:ilvl w:val="0"/>
          <w:numId w:val="31"/>
        </w:numPr>
        <w:tabs>
          <w:tab w:pos="1188" w:val="left" w:leader="none"/>
        </w:tabs>
        <w:spacing w:line="240" w:lineRule="auto" w:before="0" w:after="0"/>
        <w:ind w:left="193" w:right="621" w:firstLine="710"/>
        <w:jc w:val="both"/>
        <w:rPr>
          <w:sz w:val="28"/>
        </w:rPr>
      </w:pPr>
      <w:r>
        <w:rPr>
          <w:sz w:val="28"/>
        </w:rPr>
        <w:t>Офіційний веб-сайт Міністерства аграрної політики та продовольства України. URL: </w:t>
      </w:r>
      <w:hyperlink r:id="rId115">
        <w:r>
          <w:rPr>
            <w:sz w:val="28"/>
          </w:rPr>
          <w:t>http://www.minagro.gov.ua</w:t>
        </w:r>
      </w:hyperlink>
      <w:r>
        <w:rPr>
          <w:sz w:val="28"/>
        </w:rPr>
        <w:t>. (дата звернення:</w:t>
      </w:r>
      <w:r>
        <w:rPr>
          <w:spacing w:val="-2"/>
          <w:sz w:val="28"/>
        </w:rPr>
        <w:t> </w:t>
      </w:r>
      <w:r>
        <w:rPr>
          <w:sz w:val="28"/>
        </w:rPr>
        <w:t>27.08.2019).</w:t>
      </w:r>
    </w:p>
    <w:p>
      <w:pPr>
        <w:pStyle w:val="ListParagraph"/>
        <w:numPr>
          <w:ilvl w:val="0"/>
          <w:numId w:val="31"/>
        </w:numPr>
        <w:tabs>
          <w:tab w:pos="1188" w:val="left" w:leader="none"/>
        </w:tabs>
        <w:spacing w:line="240" w:lineRule="auto" w:before="0" w:after="0"/>
        <w:ind w:left="193" w:right="611" w:firstLine="710"/>
        <w:jc w:val="both"/>
        <w:rPr>
          <w:sz w:val="28"/>
        </w:rPr>
      </w:pPr>
      <w:hyperlink r:id="rId111">
        <w:r>
          <w:rPr>
            <w:sz w:val="28"/>
          </w:rPr>
          <w:t>Халатур С. М. </w:t>
        </w:r>
      </w:hyperlink>
      <w:r>
        <w:rPr>
          <w:sz w:val="28"/>
        </w:rPr>
        <w:t>Сталий розвиток сільського господарства та його інноваційне забезпечення. </w:t>
      </w:r>
      <w:hyperlink r:id="rId116">
        <w:r>
          <w:rPr>
            <w:sz w:val="28"/>
          </w:rPr>
          <w:t>Економічний вісник університету</w:t>
        </w:r>
      </w:hyperlink>
      <w:r>
        <w:rPr>
          <w:sz w:val="28"/>
        </w:rPr>
        <w:t>. 2017.Вип. 34(1).</w:t>
      </w:r>
      <w:r>
        <w:rPr>
          <w:spacing w:val="-47"/>
          <w:sz w:val="28"/>
        </w:rPr>
        <w:t> </w:t>
      </w:r>
      <w:r>
        <w:rPr>
          <w:sz w:val="28"/>
        </w:rPr>
        <w:t>С. 97-105.</w:t>
      </w:r>
    </w:p>
    <w:p>
      <w:pPr>
        <w:pStyle w:val="BodyText"/>
        <w:spacing w:before="3"/>
        <w:ind w:left="0"/>
        <w:jc w:val="left"/>
      </w:pPr>
    </w:p>
    <w:p>
      <w:pPr>
        <w:spacing w:line="322" w:lineRule="exact" w:before="0"/>
        <w:ind w:left="285" w:right="5" w:firstLine="0"/>
        <w:jc w:val="center"/>
        <w:rPr>
          <w:b/>
          <w:sz w:val="28"/>
        </w:rPr>
      </w:pPr>
      <w:r>
        <w:rPr>
          <w:b/>
          <w:color w:val="212121"/>
          <w:sz w:val="28"/>
        </w:rPr>
        <w:t>АГРОИННОВАЦИЯ КАК ПЕРСПЕКТИВА РАЗВИТИЯ АГРАРНЫХ</w:t>
      </w:r>
    </w:p>
    <w:p>
      <w:pPr>
        <w:spacing w:line="319" w:lineRule="exact" w:before="0"/>
        <w:ind w:left="185" w:right="603" w:firstLine="0"/>
        <w:jc w:val="center"/>
        <w:rPr>
          <w:b/>
          <w:sz w:val="28"/>
        </w:rPr>
      </w:pPr>
      <w:r>
        <w:rPr>
          <w:b/>
          <w:color w:val="212121"/>
          <w:sz w:val="28"/>
        </w:rPr>
        <w:t>ПРЕДПРИЯТИЙ</w:t>
      </w:r>
    </w:p>
    <w:p>
      <w:pPr>
        <w:pStyle w:val="BodyText"/>
        <w:spacing w:line="319" w:lineRule="exact"/>
        <w:ind w:left="3088"/>
      </w:pPr>
      <w:r>
        <w:rPr/>
        <w:t>Шевченко А., Згадова Н., Данкогло Е.</w:t>
      </w:r>
    </w:p>
    <w:p>
      <w:pPr>
        <w:spacing w:line="240" w:lineRule="auto" w:before="0"/>
        <w:ind w:left="193" w:right="616" w:firstLine="542"/>
        <w:jc w:val="both"/>
        <w:rPr>
          <w:i/>
          <w:sz w:val="28"/>
        </w:rPr>
      </w:pPr>
      <w:r>
        <w:rPr>
          <w:i/>
          <w:sz w:val="28"/>
        </w:rPr>
        <w:t>Уточнено понятие инновационного развития. Обосновано понятие </w:t>
      </w:r>
      <w:r>
        <w:rPr>
          <w:i/>
          <w:sz w:val="28"/>
        </w:rPr>
        <w:t>агроинновация как вектор эффективного функционирования субъектов хозяйствования в направлении соблюдения миссии существования их. Проанализированы</w:t>
      </w:r>
      <w:r>
        <w:rPr>
          <w:i/>
          <w:spacing w:val="-20"/>
          <w:sz w:val="28"/>
        </w:rPr>
        <w:t> </w:t>
      </w:r>
      <w:r>
        <w:rPr>
          <w:i/>
          <w:sz w:val="28"/>
        </w:rPr>
        <w:t>результаты</w:t>
      </w:r>
      <w:r>
        <w:rPr>
          <w:i/>
          <w:spacing w:val="-20"/>
          <w:sz w:val="28"/>
        </w:rPr>
        <w:t> </w:t>
      </w:r>
      <w:r>
        <w:rPr>
          <w:i/>
          <w:sz w:val="28"/>
        </w:rPr>
        <w:t>деятельности</w:t>
      </w:r>
      <w:r>
        <w:rPr>
          <w:i/>
          <w:spacing w:val="-18"/>
          <w:sz w:val="28"/>
        </w:rPr>
        <w:t> </w:t>
      </w:r>
      <w:r>
        <w:rPr>
          <w:i/>
          <w:sz w:val="28"/>
        </w:rPr>
        <w:t>аграрных</w:t>
      </w:r>
      <w:r>
        <w:rPr>
          <w:i/>
          <w:spacing w:val="-18"/>
          <w:sz w:val="28"/>
        </w:rPr>
        <w:t> </w:t>
      </w:r>
      <w:r>
        <w:rPr>
          <w:i/>
          <w:sz w:val="28"/>
        </w:rPr>
        <w:t>предприятий</w:t>
      </w:r>
      <w:r>
        <w:rPr>
          <w:i/>
          <w:spacing w:val="-19"/>
          <w:sz w:val="28"/>
        </w:rPr>
        <w:t> </w:t>
      </w:r>
      <w:r>
        <w:rPr>
          <w:i/>
          <w:sz w:val="28"/>
        </w:rPr>
        <w:t>в</w:t>
      </w:r>
      <w:r>
        <w:rPr>
          <w:i/>
          <w:spacing w:val="-19"/>
          <w:sz w:val="28"/>
        </w:rPr>
        <w:t> </w:t>
      </w:r>
      <w:r>
        <w:rPr>
          <w:i/>
          <w:sz w:val="28"/>
        </w:rPr>
        <w:t>Украине и в Одесской области за 2015-2017 гг. с целью выявления тенденций их функционирования и возможностей дальнейшего инновационного развития. Обоснованы инновационные факторы развития аграрных предприятий на перспективу.</w:t>
      </w:r>
    </w:p>
    <w:p>
      <w:pPr>
        <w:spacing w:before="3"/>
        <w:ind w:left="193" w:right="614" w:firstLine="542"/>
        <w:jc w:val="both"/>
        <w:rPr>
          <w:i/>
          <w:sz w:val="28"/>
        </w:rPr>
      </w:pPr>
      <w:r>
        <w:rPr>
          <w:b/>
          <w:i/>
          <w:sz w:val="28"/>
        </w:rPr>
        <w:t>Ключевые слова: </w:t>
      </w:r>
      <w:r>
        <w:rPr>
          <w:i/>
          <w:sz w:val="28"/>
        </w:rPr>
        <w:t>инновация, агроинновация, развитие, аграрное </w:t>
      </w:r>
      <w:r>
        <w:rPr>
          <w:i/>
          <w:sz w:val="28"/>
        </w:rPr>
        <w:t>предприятие, валовая продукция, производство, рентабельность, эффективность.</w:t>
      </w:r>
    </w:p>
    <w:p>
      <w:pPr>
        <w:spacing w:after="0"/>
        <w:jc w:val="both"/>
        <w:rPr>
          <w:sz w:val="28"/>
        </w:rPr>
        <w:sectPr>
          <w:pgSz w:w="11910" w:h="16840"/>
          <w:pgMar w:header="713" w:footer="778" w:top="1140" w:bottom="960" w:left="940" w:right="520"/>
        </w:sectPr>
      </w:pPr>
    </w:p>
    <w:p>
      <w:pPr>
        <w:pStyle w:val="Heading1"/>
        <w:spacing w:before="96"/>
        <w:ind w:left="2853" w:right="1070" w:hanging="2190"/>
        <w:jc w:val="left"/>
      </w:pPr>
      <w:r>
        <w:rPr/>
        <w:t>AGRO-INNOVATION AS A PERSPECTIVE OF DEVELOPMENT OF AGRICULTURAL ENTERPRISES</w:t>
      </w:r>
    </w:p>
    <w:p>
      <w:pPr>
        <w:pStyle w:val="BodyText"/>
        <w:spacing w:line="316" w:lineRule="exact"/>
        <w:ind w:left="2632"/>
      </w:pPr>
      <w:r>
        <w:rPr>
          <w:color w:val="212121"/>
        </w:rPr>
        <w:t>Shevchenko A., Zgadova N., Dankoglo K.</w:t>
      </w:r>
    </w:p>
    <w:p>
      <w:pPr>
        <w:spacing w:line="240" w:lineRule="auto" w:before="0"/>
        <w:ind w:left="193" w:right="608" w:firstLine="710"/>
        <w:jc w:val="both"/>
        <w:rPr>
          <w:i/>
          <w:sz w:val="28"/>
        </w:rPr>
      </w:pPr>
      <w:r>
        <w:rPr>
          <w:i/>
          <w:sz w:val="28"/>
        </w:rPr>
        <w:t>Nowadays, the main challenge of the world innovation and technological </w:t>
      </w:r>
      <w:r>
        <w:rPr>
          <w:i/>
          <w:sz w:val="28"/>
        </w:rPr>
        <w:t>processes is the development of agriculture, which is aimed at the dynamics of agricultural production through the use of advanced technologies. Despite the large number</w:t>
      </w:r>
      <w:r>
        <w:rPr>
          <w:i/>
          <w:spacing w:val="-6"/>
          <w:sz w:val="28"/>
        </w:rPr>
        <w:t> </w:t>
      </w:r>
      <w:r>
        <w:rPr>
          <w:i/>
          <w:sz w:val="28"/>
        </w:rPr>
        <w:t>of</w:t>
      </w:r>
      <w:r>
        <w:rPr>
          <w:i/>
          <w:spacing w:val="-3"/>
          <w:sz w:val="28"/>
        </w:rPr>
        <w:t> </w:t>
      </w:r>
      <w:r>
        <w:rPr>
          <w:i/>
          <w:sz w:val="28"/>
        </w:rPr>
        <w:t>works</w:t>
      </w:r>
      <w:r>
        <w:rPr>
          <w:i/>
          <w:spacing w:val="-5"/>
          <w:sz w:val="28"/>
        </w:rPr>
        <w:t> </w:t>
      </w:r>
      <w:r>
        <w:rPr>
          <w:i/>
          <w:sz w:val="28"/>
        </w:rPr>
        <w:t>devoted</w:t>
      </w:r>
      <w:r>
        <w:rPr>
          <w:i/>
          <w:spacing w:val="-7"/>
          <w:sz w:val="28"/>
        </w:rPr>
        <w:t> </w:t>
      </w:r>
      <w:r>
        <w:rPr>
          <w:i/>
          <w:sz w:val="28"/>
        </w:rPr>
        <w:t>to</w:t>
      </w:r>
      <w:r>
        <w:rPr>
          <w:i/>
          <w:spacing w:val="-8"/>
          <w:sz w:val="28"/>
        </w:rPr>
        <w:t> </w:t>
      </w:r>
      <w:r>
        <w:rPr>
          <w:i/>
          <w:sz w:val="28"/>
        </w:rPr>
        <w:t>the</w:t>
      </w:r>
      <w:r>
        <w:rPr>
          <w:i/>
          <w:spacing w:val="-7"/>
          <w:sz w:val="28"/>
        </w:rPr>
        <w:t> </w:t>
      </w:r>
      <w:r>
        <w:rPr>
          <w:i/>
          <w:sz w:val="28"/>
        </w:rPr>
        <w:t>study</w:t>
      </w:r>
      <w:r>
        <w:rPr>
          <w:i/>
          <w:spacing w:val="-7"/>
          <w:sz w:val="28"/>
        </w:rPr>
        <w:t> </w:t>
      </w:r>
      <w:r>
        <w:rPr>
          <w:i/>
          <w:sz w:val="28"/>
        </w:rPr>
        <w:t>of</w:t>
      </w:r>
      <w:r>
        <w:rPr>
          <w:i/>
          <w:spacing w:val="-8"/>
          <w:sz w:val="28"/>
        </w:rPr>
        <w:t> </w:t>
      </w:r>
      <w:r>
        <w:rPr>
          <w:i/>
          <w:sz w:val="28"/>
        </w:rPr>
        <w:t>various</w:t>
      </w:r>
      <w:r>
        <w:rPr>
          <w:i/>
          <w:spacing w:val="-6"/>
          <w:sz w:val="28"/>
        </w:rPr>
        <w:t> </w:t>
      </w:r>
      <w:r>
        <w:rPr>
          <w:i/>
          <w:sz w:val="28"/>
        </w:rPr>
        <w:t>aspects</w:t>
      </w:r>
      <w:r>
        <w:rPr>
          <w:i/>
          <w:spacing w:val="-7"/>
          <w:sz w:val="28"/>
        </w:rPr>
        <w:t> </w:t>
      </w:r>
      <w:r>
        <w:rPr>
          <w:i/>
          <w:sz w:val="28"/>
        </w:rPr>
        <w:t>of</w:t>
      </w:r>
      <w:r>
        <w:rPr>
          <w:i/>
          <w:spacing w:val="-8"/>
          <w:sz w:val="28"/>
        </w:rPr>
        <w:t> </w:t>
      </w:r>
      <w:r>
        <w:rPr>
          <w:i/>
          <w:sz w:val="28"/>
        </w:rPr>
        <w:t>the</w:t>
      </w:r>
      <w:r>
        <w:rPr>
          <w:i/>
          <w:spacing w:val="-7"/>
          <w:sz w:val="28"/>
        </w:rPr>
        <w:t> </w:t>
      </w:r>
      <w:r>
        <w:rPr>
          <w:i/>
          <w:sz w:val="28"/>
        </w:rPr>
        <w:t>innovative</w:t>
      </w:r>
      <w:r>
        <w:rPr>
          <w:i/>
          <w:spacing w:val="-6"/>
          <w:sz w:val="28"/>
        </w:rPr>
        <w:t> </w:t>
      </w:r>
      <w:r>
        <w:rPr>
          <w:i/>
          <w:sz w:val="28"/>
        </w:rPr>
        <w:t>development of the agricultural sector, these issues have been poorly understood. The purpose of the article is to identify the main tendencies of activity of agricultural enterprises and substantiation of modern approaches in their agro-innovative development. In the article it is specified that innovative development of agrarian enterprises </w:t>
      </w:r>
      <w:r>
        <w:rPr>
          <w:i/>
          <w:spacing w:val="-3"/>
          <w:sz w:val="28"/>
        </w:rPr>
        <w:t>is </w:t>
      </w:r>
      <w:r>
        <w:rPr>
          <w:i/>
          <w:sz w:val="28"/>
        </w:rPr>
        <w:t>a complex use of high-tech factors of production in technological, organizational, economic and managerial activity for ensuring sustainable high competitiveness of production of agrarian enterprises in internal and external markets. It is established that </w:t>
      </w:r>
      <w:r>
        <w:rPr>
          <w:i/>
          <w:spacing w:val="2"/>
          <w:sz w:val="28"/>
        </w:rPr>
        <w:t>agro- </w:t>
      </w:r>
      <w:r>
        <w:rPr>
          <w:i/>
          <w:sz w:val="28"/>
        </w:rPr>
        <w:t>innovation is a modern advanced transformation in agricultural production, which is carried out </w:t>
      </w:r>
      <w:r>
        <w:rPr>
          <w:i/>
          <w:spacing w:val="-3"/>
          <w:sz w:val="28"/>
        </w:rPr>
        <w:t>with </w:t>
      </w:r>
      <w:r>
        <w:rPr>
          <w:i/>
          <w:sz w:val="28"/>
        </w:rPr>
        <w:t>the aim of obtaining economic effect on the basis of meeting the growing</w:t>
      </w:r>
      <w:r>
        <w:rPr>
          <w:i/>
          <w:spacing w:val="-13"/>
          <w:sz w:val="28"/>
        </w:rPr>
        <w:t> </w:t>
      </w:r>
      <w:r>
        <w:rPr>
          <w:i/>
          <w:sz w:val="28"/>
        </w:rPr>
        <w:t>needs</w:t>
      </w:r>
      <w:r>
        <w:rPr>
          <w:i/>
          <w:spacing w:val="-10"/>
          <w:sz w:val="28"/>
        </w:rPr>
        <w:t> </w:t>
      </w:r>
      <w:r>
        <w:rPr>
          <w:i/>
          <w:sz w:val="28"/>
        </w:rPr>
        <w:t>of</w:t>
      </w:r>
      <w:r>
        <w:rPr>
          <w:i/>
          <w:spacing w:val="-13"/>
          <w:sz w:val="28"/>
        </w:rPr>
        <w:t> </w:t>
      </w:r>
      <w:r>
        <w:rPr>
          <w:i/>
          <w:sz w:val="28"/>
        </w:rPr>
        <w:t>society</w:t>
      </w:r>
      <w:r>
        <w:rPr>
          <w:i/>
          <w:spacing w:val="-11"/>
          <w:sz w:val="28"/>
        </w:rPr>
        <w:t> </w:t>
      </w:r>
      <w:r>
        <w:rPr>
          <w:i/>
          <w:sz w:val="28"/>
        </w:rPr>
        <w:t>and</w:t>
      </w:r>
      <w:r>
        <w:rPr>
          <w:i/>
          <w:spacing w:val="-12"/>
          <w:sz w:val="28"/>
        </w:rPr>
        <w:t> </w:t>
      </w:r>
      <w:r>
        <w:rPr>
          <w:i/>
          <w:sz w:val="28"/>
        </w:rPr>
        <w:t>ensuring</w:t>
      </w:r>
      <w:r>
        <w:rPr>
          <w:i/>
          <w:spacing w:val="-13"/>
          <w:sz w:val="28"/>
        </w:rPr>
        <w:t> </w:t>
      </w:r>
      <w:r>
        <w:rPr>
          <w:i/>
          <w:sz w:val="28"/>
        </w:rPr>
        <w:t>the</w:t>
      </w:r>
      <w:r>
        <w:rPr>
          <w:i/>
          <w:spacing w:val="-12"/>
          <w:sz w:val="28"/>
        </w:rPr>
        <w:t> </w:t>
      </w:r>
      <w:r>
        <w:rPr>
          <w:i/>
          <w:sz w:val="28"/>
        </w:rPr>
        <w:t>food</w:t>
      </w:r>
      <w:r>
        <w:rPr>
          <w:i/>
          <w:spacing w:val="-11"/>
          <w:sz w:val="28"/>
        </w:rPr>
        <w:t> </w:t>
      </w:r>
      <w:r>
        <w:rPr>
          <w:i/>
          <w:sz w:val="28"/>
        </w:rPr>
        <w:t>security</w:t>
      </w:r>
      <w:r>
        <w:rPr>
          <w:i/>
          <w:spacing w:val="-11"/>
          <w:sz w:val="28"/>
        </w:rPr>
        <w:t> </w:t>
      </w:r>
      <w:r>
        <w:rPr>
          <w:i/>
          <w:sz w:val="28"/>
        </w:rPr>
        <w:t>of</w:t>
      </w:r>
      <w:r>
        <w:rPr>
          <w:i/>
          <w:spacing w:val="-13"/>
          <w:sz w:val="28"/>
        </w:rPr>
        <w:t> </w:t>
      </w:r>
      <w:r>
        <w:rPr>
          <w:i/>
          <w:sz w:val="28"/>
        </w:rPr>
        <w:t>the</w:t>
      </w:r>
      <w:r>
        <w:rPr>
          <w:i/>
          <w:spacing w:val="-12"/>
          <w:sz w:val="28"/>
        </w:rPr>
        <w:t> </w:t>
      </w:r>
      <w:r>
        <w:rPr>
          <w:i/>
          <w:sz w:val="28"/>
        </w:rPr>
        <w:t>country.</w:t>
      </w:r>
      <w:r>
        <w:rPr>
          <w:i/>
          <w:spacing w:val="-15"/>
          <w:sz w:val="28"/>
        </w:rPr>
        <w:t> </w:t>
      </w:r>
      <w:r>
        <w:rPr>
          <w:i/>
          <w:sz w:val="28"/>
        </w:rPr>
        <w:t>It</w:t>
      </w:r>
      <w:r>
        <w:rPr>
          <w:i/>
          <w:spacing w:val="-12"/>
          <w:sz w:val="28"/>
        </w:rPr>
        <w:t> </w:t>
      </w:r>
      <w:r>
        <w:rPr>
          <w:i/>
          <w:sz w:val="28"/>
        </w:rPr>
        <w:t>is</w:t>
      </w:r>
      <w:r>
        <w:rPr>
          <w:i/>
          <w:spacing w:val="-11"/>
          <w:sz w:val="28"/>
        </w:rPr>
        <w:t> </w:t>
      </w:r>
      <w:r>
        <w:rPr>
          <w:i/>
          <w:sz w:val="28"/>
        </w:rPr>
        <w:t>determined that the reduction in the number of agricultural enterprises is associated </w:t>
      </w:r>
      <w:r>
        <w:rPr>
          <w:i/>
          <w:spacing w:val="-3"/>
          <w:sz w:val="28"/>
        </w:rPr>
        <w:t>with </w:t>
      </w:r>
      <w:r>
        <w:rPr>
          <w:i/>
          <w:sz w:val="28"/>
        </w:rPr>
        <w:t>the difficulties of further innovative development in the agricultural sector, the low level of awareness of farmers about the current prospective global approaches to development, the existing problems and risks. Positive changes in the production of crop production in the agricultural area were noted in the article. enterprises in Ukraine and including in Odessa region. But the downward trend is the decline in livestock production. According to the research results, it is revealed that agrarians choose to produce the most competitive products, </w:t>
      </w:r>
      <w:r>
        <w:rPr>
          <w:i/>
          <w:spacing w:val="-3"/>
          <w:sz w:val="28"/>
        </w:rPr>
        <w:t>with </w:t>
      </w:r>
      <w:r>
        <w:rPr>
          <w:i/>
          <w:sz w:val="28"/>
        </w:rPr>
        <w:t>the highest rates of return on invested capital. The consequence of this trend is structural sectoral shifts towards an increase in the share of crop production. Changes occur in violation of the scientific foundations</w:t>
      </w:r>
      <w:r>
        <w:rPr>
          <w:i/>
          <w:spacing w:val="-10"/>
          <w:sz w:val="28"/>
        </w:rPr>
        <w:t> </w:t>
      </w:r>
      <w:r>
        <w:rPr>
          <w:i/>
          <w:sz w:val="28"/>
        </w:rPr>
        <w:t>of</w:t>
      </w:r>
      <w:r>
        <w:rPr>
          <w:i/>
          <w:spacing w:val="-13"/>
          <w:sz w:val="28"/>
        </w:rPr>
        <w:t> </w:t>
      </w:r>
      <w:r>
        <w:rPr>
          <w:i/>
          <w:sz w:val="28"/>
        </w:rPr>
        <w:t>the</w:t>
      </w:r>
      <w:r>
        <w:rPr>
          <w:i/>
          <w:spacing w:val="-12"/>
          <w:sz w:val="28"/>
        </w:rPr>
        <w:t> </w:t>
      </w:r>
      <w:r>
        <w:rPr>
          <w:i/>
          <w:sz w:val="28"/>
        </w:rPr>
        <w:t>farming</w:t>
      </w:r>
      <w:r>
        <w:rPr>
          <w:i/>
          <w:spacing w:val="-16"/>
          <w:sz w:val="28"/>
        </w:rPr>
        <w:t> </w:t>
      </w:r>
      <w:r>
        <w:rPr>
          <w:i/>
          <w:sz w:val="28"/>
        </w:rPr>
        <w:t>system.</w:t>
      </w:r>
      <w:r>
        <w:rPr>
          <w:i/>
          <w:spacing w:val="-15"/>
          <w:sz w:val="28"/>
        </w:rPr>
        <w:t> </w:t>
      </w:r>
      <w:r>
        <w:rPr>
          <w:i/>
          <w:sz w:val="28"/>
        </w:rPr>
        <w:t>The</w:t>
      </w:r>
      <w:r>
        <w:rPr>
          <w:i/>
          <w:spacing w:val="-7"/>
          <w:sz w:val="28"/>
        </w:rPr>
        <w:t> </w:t>
      </w:r>
      <w:r>
        <w:rPr>
          <w:i/>
          <w:sz w:val="28"/>
        </w:rPr>
        <w:t>size</w:t>
      </w:r>
      <w:r>
        <w:rPr>
          <w:i/>
          <w:spacing w:val="-16"/>
          <w:sz w:val="28"/>
        </w:rPr>
        <w:t> </w:t>
      </w:r>
      <w:r>
        <w:rPr>
          <w:i/>
          <w:sz w:val="28"/>
        </w:rPr>
        <w:t>of</w:t>
      </w:r>
      <w:r>
        <w:rPr>
          <w:i/>
          <w:spacing w:val="-12"/>
          <w:sz w:val="28"/>
        </w:rPr>
        <w:t> </w:t>
      </w:r>
      <w:r>
        <w:rPr>
          <w:i/>
          <w:sz w:val="28"/>
        </w:rPr>
        <w:t>the</w:t>
      </w:r>
      <w:r>
        <w:rPr>
          <w:i/>
          <w:spacing w:val="-12"/>
          <w:sz w:val="28"/>
        </w:rPr>
        <w:t> </w:t>
      </w:r>
      <w:r>
        <w:rPr>
          <w:i/>
          <w:sz w:val="28"/>
        </w:rPr>
        <w:t>major</w:t>
      </w:r>
      <w:r>
        <w:rPr>
          <w:i/>
          <w:spacing w:val="-10"/>
          <w:sz w:val="28"/>
        </w:rPr>
        <w:t> </w:t>
      </w:r>
      <w:r>
        <w:rPr>
          <w:i/>
          <w:sz w:val="28"/>
        </w:rPr>
        <w:t>livestock</w:t>
      </w:r>
      <w:r>
        <w:rPr>
          <w:i/>
          <w:spacing w:val="-15"/>
          <w:sz w:val="28"/>
        </w:rPr>
        <w:t> </w:t>
      </w:r>
      <w:r>
        <w:rPr>
          <w:i/>
          <w:sz w:val="28"/>
        </w:rPr>
        <w:t>industries</w:t>
      </w:r>
      <w:r>
        <w:rPr>
          <w:i/>
          <w:spacing w:val="-13"/>
          <w:sz w:val="28"/>
        </w:rPr>
        <w:t> </w:t>
      </w:r>
      <w:r>
        <w:rPr>
          <w:i/>
          <w:sz w:val="28"/>
        </w:rPr>
        <w:t>in</w:t>
      </w:r>
      <w:r>
        <w:rPr>
          <w:i/>
          <w:spacing w:val="-13"/>
          <w:sz w:val="28"/>
        </w:rPr>
        <w:t> </w:t>
      </w:r>
      <w:r>
        <w:rPr>
          <w:i/>
          <w:sz w:val="28"/>
        </w:rPr>
        <w:t>Ukraine in 2017 compared to 2013 </w:t>
      </w:r>
      <w:r>
        <w:rPr>
          <w:i/>
          <w:spacing w:val="-3"/>
          <w:sz w:val="28"/>
        </w:rPr>
        <w:t>was </w:t>
      </w:r>
      <w:r>
        <w:rPr>
          <w:i/>
          <w:sz w:val="28"/>
        </w:rPr>
        <w:t>noted. Stagnation in the entrepreneurial model of agrarian behavior in Ukraine has been identified, which is related to the traditional conservative</w:t>
      </w:r>
      <w:r>
        <w:rPr>
          <w:i/>
          <w:spacing w:val="-16"/>
          <w:sz w:val="28"/>
        </w:rPr>
        <w:t> </w:t>
      </w:r>
      <w:r>
        <w:rPr>
          <w:i/>
          <w:sz w:val="28"/>
        </w:rPr>
        <w:t>approach</w:t>
      </w:r>
      <w:r>
        <w:rPr>
          <w:i/>
          <w:spacing w:val="-16"/>
          <w:sz w:val="28"/>
        </w:rPr>
        <w:t> </w:t>
      </w:r>
      <w:r>
        <w:rPr>
          <w:i/>
          <w:sz w:val="28"/>
        </w:rPr>
        <w:t>to</w:t>
      </w:r>
      <w:r>
        <w:rPr>
          <w:i/>
          <w:spacing w:val="-16"/>
          <w:sz w:val="28"/>
        </w:rPr>
        <w:t> </w:t>
      </w:r>
      <w:r>
        <w:rPr>
          <w:i/>
          <w:sz w:val="28"/>
        </w:rPr>
        <w:t>crop</w:t>
      </w:r>
      <w:r>
        <w:rPr>
          <w:i/>
          <w:spacing w:val="-16"/>
          <w:sz w:val="28"/>
        </w:rPr>
        <w:t> </w:t>
      </w:r>
      <w:r>
        <w:rPr>
          <w:i/>
          <w:sz w:val="28"/>
        </w:rPr>
        <w:t>production.</w:t>
      </w:r>
      <w:r>
        <w:rPr>
          <w:i/>
          <w:spacing w:val="-15"/>
          <w:sz w:val="28"/>
        </w:rPr>
        <w:t> </w:t>
      </w:r>
      <w:r>
        <w:rPr>
          <w:i/>
          <w:sz w:val="28"/>
        </w:rPr>
        <w:t>It</w:t>
      </w:r>
      <w:r>
        <w:rPr>
          <w:i/>
          <w:spacing w:val="-16"/>
          <w:sz w:val="28"/>
        </w:rPr>
        <w:t> </w:t>
      </w:r>
      <w:r>
        <w:rPr>
          <w:i/>
          <w:sz w:val="28"/>
        </w:rPr>
        <w:t>is</w:t>
      </w:r>
      <w:r>
        <w:rPr>
          <w:i/>
          <w:spacing w:val="-15"/>
          <w:sz w:val="28"/>
        </w:rPr>
        <w:t> </w:t>
      </w:r>
      <w:r>
        <w:rPr>
          <w:i/>
          <w:sz w:val="28"/>
        </w:rPr>
        <w:t>proved</w:t>
      </w:r>
      <w:r>
        <w:rPr>
          <w:i/>
          <w:spacing w:val="-16"/>
          <w:sz w:val="28"/>
        </w:rPr>
        <w:t> </w:t>
      </w:r>
      <w:r>
        <w:rPr>
          <w:i/>
          <w:sz w:val="28"/>
        </w:rPr>
        <w:t>that</w:t>
      </w:r>
      <w:r>
        <w:rPr>
          <w:i/>
          <w:spacing w:val="-17"/>
          <w:sz w:val="28"/>
        </w:rPr>
        <w:t> </w:t>
      </w:r>
      <w:r>
        <w:rPr>
          <w:i/>
          <w:sz w:val="28"/>
        </w:rPr>
        <w:t>the</w:t>
      </w:r>
      <w:r>
        <w:rPr>
          <w:i/>
          <w:spacing w:val="-16"/>
          <w:sz w:val="28"/>
        </w:rPr>
        <w:t> </w:t>
      </w:r>
      <w:r>
        <w:rPr>
          <w:i/>
          <w:sz w:val="28"/>
        </w:rPr>
        <w:t>innovative</w:t>
      </w:r>
      <w:r>
        <w:rPr>
          <w:i/>
          <w:spacing w:val="-14"/>
          <w:sz w:val="28"/>
        </w:rPr>
        <w:t> </w:t>
      </w:r>
      <w:r>
        <w:rPr>
          <w:i/>
          <w:sz w:val="28"/>
        </w:rPr>
        <w:t>development of the agro-industrial complex should be due to the directing of investments in agricultural industries, which need reproduction with the use of modern advanced technologies,</w:t>
      </w:r>
      <w:r>
        <w:rPr>
          <w:i/>
          <w:spacing w:val="-3"/>
          <w:sz w:val="28"/>
        </w:rPr>
        <w:t> </w:t>
      </w:r>
      <w:r>
        <w:rPr>
          <w:i/>
          <w:sz w:val="28"/>
        </w:rPr>
        <w:t>which</w:t>
      </w:r>
      <w:r>
        <w:rPr>
          <w:i/>
          <w:spacing w:val="-5"/>
          <w:sz w:val="28"/>
        </w:rPr>
        <w:t> </w:t>
      </w:r>
      <w:r>
        <w:rPr>
          <w:i/>
          <w:sz w:val="28"/>
        </w:rPr>
        <w:t>will</w:t>
      </w:r>
      <w:r>
        <w:rPr>
          <w:i/>
          <w:spacing w:val="-10"/>
          <w:sz w:val="28"/>
        </w:rPr>
        <w:t> </w:t>
      </w:r>
      <w:r>
        <w:rPr>
          <w:i/>
          <w:sz w:val="28"/>
        </w:rPr>
        <w:t>ensure</w:t>
      </w:r>
      <w:r>
        <w:rPr>
          <w:i/>
          <w:spacing w:val="-10"/>
          <w:sz w:val="28"/>
        </w:rPr>
        <w:t> </w:t>
      </w:r>
      <w:r>
        <w:rPr>
          <w:i/>
          <w:sz w:val="28"/>
        </w:rPr>
        <w:t>the</w:t>
      </w:r>
      <w:r>
        <w:rPr>
          <w:i/>
          <w:spacing w:val="-9"/>
          <w:sz w:val="28"/>
        </w:rPr>
        <w:t> </w:t>
      </w:r>
      <w:r>
        <w:rPr>
          <w:i/>
          <w:sz w:val="28"/>
        </w:rPr>
        <w:t>competitive</w:t>
      </w:r>
      <w:r>
        <w:rPr>
          <w:i/>
          <w:spacing w:val="-3"/>
          <w:sz w:val="28"/>
        </w:rPr>
        <w:t> </w:t>
      </w:r>
      <w:r>
        <w:rPr>
          <w:i/>
          <w:sz w:val="28"/>
        </w:rPr>
        <w:t>production</w:t>
      </w:r>
      <w:r>
        <w:rPr>
          <w:i/>
          <w:spacing w:val="-9"/>
          <w:sz w:val="28"/>
        </w:rPr>
        <w:t> </w:t>
      </w:r>
      <w:r>
        <w:rPr>
          <w:i/>
          <w:sz w:val="28"/>
        </w:rPr>
        <w:t>of</w:t>
      </w:r>
      <w:r>
        <w:rPr>
          <w:i/>
          <w:spacing w:val="-11"/>
          <w:sz w:val="28"/>
        </w:rPr>
        <w:t> </w:t>
      </w:r>
      <w:r>
        <w:rPr>
          <w:i/>
          <w:sz w:val="28"/>
        </w:rPr>
        <w:t>agro-food</w:t>
      </w:r>
      <w:r>
        <w:rPr>
          <w:i/>
          <w:spacing w:val="-10"/>
          <w:sz w:val="28"/>
        </w:rPr>
        <w:t> </w:t>
      </w:r>
      <w:r>
        <w:rPr>
          <w:i/>
          <w:sz w:val="28"/>
        </w:rPr>
        <w:t>products.</w:t>
      </w:r>
      <w:r>
        <w:rPr>
          <w:i/>
          <w:spacing w:val="-7"/>
          <w:sz w:val="28"/>
        </w:rPr>
        <w:t> </w:t>
      </w:r>
      <w:r>
        <w:rPr>
          <w:i/>
          <w:sz w:val="28"/>
        </w:rPr>
        <w:t>The best basis for agro-innovation in crop production is modern innovative approaches related to breeding, genetic engineering, organic farming, micro-irrigation, space information technology, nanotechnology. The advanced technologies in the field of animal husbandry are the introduction of intensive feeding systems, biotechnology, modern</w:t>
      </w:r>
      <w:r>
        <w:rPr>
          <w:i/>
          <w:spacing w:val="-8"/>
          <w:sz w:val="28"/>
        </w:rPr>
        <w:t> </w:t>
      </w:r>
      <w:r>
        <w:rPr>
          <w:i/>
          <w:sz w:val="28"/>
        </w:rPr>
        <w:t>technical</w:t>
      </w:r>
      <w:r>
        <w:rPr>
          <w:i/>
          <w:spacing w:val="-7"/>
          <w:sz w:val="28"/>
        </w:rPr>
        <w:t> </w:t>
      </w:r>
      <w:r>
        <w:rPr>
          <w:i/>
          <w:sz w:val="28"/>
        </w:rPr>
        <w:t>and</w:t>
      </w:r>
      <w:r>
        <w:rPr>
          <w:i/>
          <w:spacing w:val="-7"/>
          <w:sz w:val="28"/>
        </w:rPr>
        <w:t> </w:t>
      </w:r>
      <w:r>
        <w:rPr>
          <w:i/>
          <w:sz w:val="28"/>
        </w:rPr>
        <w:t>technological</w:t>
      </w:r>
      <w:r>
        <w:rPr>
          <w:i/>
          <w:spacing w:val="-8"/>
          <w:sz w:val="28"/>
        </w:rPr>
        <w:t> </w:t>
      </w:r>
      <w:r>
        <w:rPr>
          <w:i/>
          <w:sz w:val="28"/>
        </w:rPr>
        <w:t>support,</w:t>
      </w:r>
      <w:r>
        <w:rPr>
          <w:i/>
          <w:spacing w:val="-6"/>
          <w:sz w:val="28"/>
        </w:rPr>
        <w:t> </w:t>
      </w:r>
      <w:r>
        <w:rPr>
          <w:i/>
          <w:sz w:val="28"/>
        </w:rPr>
        <w:t>breeding</w:t>
      </w:r>
      <w:r>
        <w:rPr>
          <w:i/>
          <w:spacing w:val="-8"/>
          <w:sz w:val="28"/>
        </w:rPr>
        <w:t> </w:t>
      </w:r>
      <w:r>
        <w:rPr>
          <w:i/>
          <w:sz w:val="28"/>
        </w:rPr>
        <w:t>and</w:t>
      </w:r>
      <w:r>
        <w:rPr>
          <w:i/>
          <w:spacing w:val="-7"/>
          <w:sz w:val="28"/>
        </w:rPr>
        <w:t> </w:t>
      </w:r>
      <w:r>
        <w:rPr>
          <w:i/>
          <w:sz w:val="28"/>
        </w:rPr>
        <w:t>breeding</w:t>
      </w:r>
      <w:r>
        <w:rPr>
          <w:i/>
          <w:spacing w:val="-4"/>
          <w:sz w:val="28"/>
        </w:rPr>
        <w:t> </w:t>
      </w:r>
      <w:r>
        <w:rPr>
          <w:i/>
          <w:sz w:val="28"/>
        </w:rPr>
        <w:t>work,</w:t>
      </w:r>
      <w:r>
        <w:rPr>
          <w:i/>
          <w:spacing w:val="-5"/>
          <w:sz w:val="28"/>
        </w:rPr>
        <w:t> </w:t>
      </w:r>
      <w:r>
        <w:rPr>
          <w:i/>
          <w:sz w:val="28"/>
        </w:rPr>
        <w:t>energy</w:t>
      </w:r>
      <w:r>
        <w:rPr>
          <w:i/>
          <w:spacing w:val="-7"/>
          <w:sz w:val="28"/>
        </w:rPr>
        <w:t> </w:t>
      </w:r>
      <w:r>
        <w:rPr>
          <w:i/>
          <w:sz w:val="28"/>
        </w:rPr>
        <w:t>and resource-saving technologies.</w:t>
      </w:r>
    </w:p>
    <w:p>
      <w:pPr>
        <w:spacing w:before="4"/>
        <w:ind w:left="193" w:right="611" w:firstLine="710"/>
        <w:jc w:val="both"/>
        <w:rPr>
          <w:i/>
          <w:sz w:val="28"/>
        </w:rPr>
      </w:pPr>
      <w:r>
        <w:rPr>
          <w:b/>
          <w:i/>
          <w:sz w:val="28"/>
        </w:rPr>
        <w:t>Key words: </w:t>
      </w:r>
      <w:r>
        <w:rPr>
          <w:i/>
          <w:sz w:val="28"/>
        </w:rPr>
        <w:t>innovation, agro-innovation, development, agrarian enterprise, </w:t>
      </w:r>
      <w:r>
        <w:rPr>
          <w:i/>
          <w:sz w:val="28"/>
        </w:rPr>
        <w:t>gross production, production, profitability, efficiency.</w:t>
      </w:r>
    </w:p>
    <w:p>
      <w:pPr>
        <w:spacing w:after="0"/>
        <w:jc w:val="both"/>
        <w:rPr>
          <w:sz w:val="28"/>
        </w:rPr>
        <w:sectPr>
          <w:pgSz w:w="11910" w:h="16840"/>
          <w:pgMar w:header="713" w:footer="778" w:top="1140" w:bottom="960" w:left="940" w:right="520"/>
        </w:sectPr>
      </w:pPr>
    </w:p>
    <w:p>
      <w:pPr>
        <w:pStyle w:val="Heading1"/>
        <w:spacing w:before="96"/>
        <w:ind w:left="891"/>
      </w:pPr>
      <w:r>
        <w:rPr/>
        <w:t>ТЕХНІЧНІ НАУКИ</w:t>
      </w:r>
    </w:p>
    <w:p>
      <w:pPr>
        <w:pStyle w:val="BodyText"/>
        <w:spacing w:before="5"/>
        <w:ind w:left="0"/>
        <w:jc w:val="left"/>
        <w:rPr>
          <w:b/>
          <w:sz w:val="27"/>
        </w:rPr>
      </w:pPr>
    </w:p>
    <w:p>
      <w:pPr>
        <w:tabs>
          <w:tab w:pos="5859" w:val="left" w:leader="none"/>
        </w:tabs>
        <w:spacing w:line="650" w:lineRule="atLeast" w:before="0"/>
        <w:ind w:left="1624" w:right="799" w:hanging="1431"/>
        <w:jc w:val="left"/>
        <w:rPr>
          <w:b/>
          <w:sz w:val="28"/>
        </w:rPr>
      </w:pPr>
      <w:r>
        <w:rPr>
          <w:b/>
          <w:spacing w:val="-6"/>
          <w:sz w:val="28"/>
        </w:rPr>
        <w:t>УДК</w:t>
      </w:r>
      <w:r>
        <w:rPr>
          <w:b/>
          <w:spacing w:val="-19"/>
          <w:sz w:val="28"/>
        </w:rPr>
        <w:t> </w:t>
      </w:r>
      <w:r>
        <w:rPr>
          <w:b/>
          <w:spacing w:val="-9"/>
          <w:sz w:val="28"/>
        </w:rPr>
        <w:t>622.75:629.7</w:t>
        <w:tab/>
      </w:r>
      <w:r>
        <w:rPr>
          <w:b/>
          <w:sz w:val="28"/>
        </w:rPr>
        <w:t>DOI: 10.37000/abbsl.2020.96.20 </w:t>
      </w:r>
      <w:r>
        <w:rPr>
          <w:b/>
          <w:spacing w:val="-9"/>
          <w:sz w:val="28"/>
        </w:rPr>
        <w:t>ГІДРОДИНАМІЧНЕ ОБЛАДНАННЯ </w:t>
      </w:r>
      <w:r>
        <w:rPr>
          <w:b/>
          <w:spacing w:val="-6"/>
          <w:sz w:val="28"/>
        </w:rPr>
        <w:t>ДЛЯ</w:t>
      </w:r>
      <w:r>
        <w:rPr>
          <w:b/>
          <w:spacing w:val="-34"/>
          <w:sz w:val="28"/>
        </w:rPr>
        <w:t> </w:t>
      </w:r>
      <w:r>
        <w:rPr>
          <w:b/>
          <w:sz w:val="28"/>
        </w:rPr>
        <w:t>ДЕЗОДОРАЦІЯ</w:t>
      </w:r>
    </w:p>
    <w:p>
      <w:pPr>
        <w:spacing w:line="320" w:lineRule="exact" w:before="0"/>
        <w:ind w:left="182" w:right="603" w:firstLine="0"/>
        <w:jc w:val="center"/>
        <w:rPr>
          <w:b/>
          <w:sz w:val="28"/>
        </w:rPr>
      </w:pPr>
      <w:r>
        <w:rPr>
          <w:b/>
          <w:sz w:val="28"/>
        </w:rPr>
        <w:t>РОСЛИННОЇ ОЛІЇ</w:t>
      </w:r>
    </w:p>
    <w:p>
      <w:pPr>
        <w:spacing w:line="319" w:lineRule="exact" w:before="0"/>
        <w:ind w:left="0" w:right="981" w:firstLine="0"/>
        <w:jc w:val="center"/>
        <w:rPr>
          <w:b/>
          <w:sz w:val="28"/>
        </w:rPr>
      </w:pPr>
      <w:r>
        <w:rPr>
          <w:b/>
          <w:sz w:val="28"/>
        </w:rPr>
        <w:t>С. Уминський, В. Макарчук , М. Королькова, С. Дмитрієва, С. Житков</w:t>
      </w:r>
    </w:p>
    <w:p>
      <w:pPr>
        <w:spacing w:line="319" w:lineRule="exact" w:before="0"/>
        <w:ind w:left="754" w:right="603" w:firstLine="0"/>
        <w:jc w:val="center"/>
        <w:rPr>
          <w:i/>
          <w:sz w:val="28"/>
        </w:rPr>
      </w:pPr>
      <w:r>
        <w:rPr>
          <w:i/>
          <w:sz w:val="28"/>
        </w:rPr>
        <w:t>Одеський державний аграрний університет</w:t>
      </w:r>
    </w:p>
    <w:p>
      <w:pPr>
        <w:pStyle w:val="BodyText"/>
        <w:spacing w:before="11"/>
        <w:ind w:left="0"/>
        <w:jc w:val="left"/>
        <w:rPr>
          <w:i/>
          <w:sz w:val="27"/>
        </w:rPr>
      </w:pPr>
    </w:p>
    <w:p>
      <w:pPr>
        <w:spacing w:line="240" w:lineRule="auto" w:before="0"/>
        <w:ind w:left="193" w:right="607" w:firstLine="561"/>
        <w:jc w:val="both"/>
        <w:rPr>
          <w:i/>
          <w:sz w:val="28"/>
        </w:rPr>
      </w:pPr>
      <w:r>
        <w:rPr>
          <w:i/>
          <w:sz w:val="28"/>
        </w:rPr>
        <w:t>Якість і безпека споживання жирових продуктів харчування є </w:t>
      </w:r>
      <w:r>
        <w:rPr>
          <w:i/>
          <w:sz w:val="28"/>
        </w:rPr>
        <w:t>першочерговим завданням інноваційного розвитку масложирової промисловості. Наведено гідродинамічну установку для дезодорації рослинної олії в умовах фермерських господарств агровиробництва. Запропанована установка для дезодорації рослинної олії дає змогу отримати екологічно чисту рослинну олію по безвідхідній технології, підвищити ефективність отримання висвітленої екологічно чистої рослинної олії при зберіганні органолептичних якостей та смакових цінностей продукту , одноразово зі спрощенням конструкції та зменшенням габаритних розмірів установки, зниженням енергоспоживання на реалізацію технологічного процесу.</w:t>
      </w:r>
    </w:p>
    <w:p>
      <w:pPr>
        <w:spacing w:before="2"/>
        <w:ind w:left="193" w:right="614" w:firstLine="710"/>
        <w:jc w:val="both"/>
        <w:rPr>
          <w:i/>
          <w:sz w:val="28"/>
        </w:rPr>
      </w:pPr>
      <w:r>
        <w:rPr>
          <w:b/>
          <w:i/>
          <w:sz w:val="28"/>
        </w:rPr>
        <w:t>Ключові слова: </w:t>
      </w:r>
      <w:r>
        <w:rPr>
          <w:i/>
          <w:sz w:val="28"/>
        </w:rPr>
        <w:t>соняшникова олія, очищення, механічні домішки, фракція, </w:t>
      </w:r>
      <w:r>
        <w:rPr>
          <w:i/>
          <w:sz w:val="28"/>
        </w:rPr>
        <w:t>дезодорація, освітлення, гідродинамічна обробка.</w:t>
      </w:r>
    </w:p>
    <w:p>
      <w:pPr>
        <w:pStyle w:val="BodyText"/>
        <w:spacing w:before="10"/>
        <w:ind w:left="0"/>
        <w:jc w:val="left"/>
        <w:rPr>
          <w:i/>
          <w:sz w:val="27"/>
        </w:rPr>
      </w:pPr>
    </w:p>
    <w:p>
      <w:pPr>
        <w:pStyle w:val="BodyText"/>
        <w:ind w:right="610" w:firstLine="710"/>
      </w:pPr>
      <w:r>
        <w:rPr>
          <w:b/>
        </w:rPr>
        <w:t>Вступ. </w:t>
      </w:r>
      <w:r>
        <w:rPr/>
        <w:t>В даний час якість і безпека споживання жирових продуктів харчування є першочерговим завданням інноваційного розвитку масложирової промисловості. Поліпшення фізико-хімічних показників і максимальне збереження в рафінованих оліях біологічно активних речовин, сприяють підвищенню</w:t>
      </w:r>
      <w:r>
        <w:rPr>
          <w:spacing w:val="-5"/>
        </w:rPr>
        <w:t> </w:t>
      </w:r>
      <w:r>
        <w:rPr/>
        <w:t>їх</w:t>
      </w:r>
      <w:r>
        <w:rPr>
          <w:spacing w:val="-9"/>
        </w:rPr>
        <w:t> </w:t>
      </w:r>
      <w:r>
        <w:rPr/>
        <w:t>окисної</w:t>
      </w:r>
      <w:r>
        <w:rPr>
          <w:spacing w:val="-9"/>
        </w:rPr>
        <w:t> </w:t>
      </w:r>
      <w:r>
        <w:rPr/>
        <w:t>стабільності</w:t>
      </w:r>
      <w:r>
        <w:rPr>
          <w:spacing w:val="-8"/>
        </w:rPr>
        <w:t> </w:t>
      </w:r>
      <w:r>
        <w:rPr/>
        <w:t>і</w:t>
      </w:r>
      <w:r>
        <w:rPr>
          <w:spacing w:val="-9"/>
        </w:rPr>
        <w:t> </w:t>
      </w:r>
      <w:r>
        <w:rPr/>
        <w:t>тривалого</w:t>
      </w:r>
      <w:r>
        <w:rPr>
          <w:spacing w:val="-4"/>
        </w:rPr>
        <w:t> </w:t>
      </w:r>
      <w:r>
        <w:rPr/>
        <w:t>збереження</w:t>
      </w:r>
      <w:r>
        <w:rPr>
          <w:spacing w:val="-2"/>
        </w:rPr>
        <w:t> </w:t>
      </w:r>
      <w:r>
        <w:rPr/>
        <w:t>якісних</w:t>
      </w:r>
      <w:r>
        <w:rPr>
          <w:spacing w:val="-4"/>
        </w:rPr>
        <w:t> </w:t>
      </w:r>
      <w:r>
        <w:rPr/>
        <w:t>і</w:t>
      </w:r>
      <w:r>
        <w:rPr>
          <w:spacing w:val="-9"/>
        </w:rPr>
        <w:t> </w:t>
      </w:r>
      <w:r>
        <w:rPr/>
        <w:t>кількісних властивостей. Рішення даної проблеми, які не потребують значних капіталовкладень, особливо актуальні для фермерських господарств , що дозволить останнім бути більш рентабельними. Для отимання дієтичних та кашерних продуктів, виробництва майонеза і маргарина необхідно рослинну олію</w:t>
      </w:r>
      <w:r>
        <w:rPr>
          <w:spacing w:val="-15"/>
        </w:rPr>
        <w:t> </w:t>
      </w:r>
      <w:r>
        <w:rPr/>
        <w:t>дезодорувати</w:t>
      </w:r>
      <w:r>
        <w:rPr>
          <w:spacing w:val="-5"/>
        </w:rPr>
        <w:t> </w:t>
      </w:r>
      <w:r>
        <w:rPr/>
        <w:t>[1,2].</w:t>
      </w:r>
      <w:r>
        <w:rPr>
          <w:spacing w:val="-11"/>
        </w:rPr>
        <w:t> </w:t>
      </w:r>
      <w:r>
        <w:rPr/>
        <w:t>Дезодорація</w:t>
      </w:r>
      <w:r>
        <w:rPr>
          <w:spacing w:val="-11"/>
        </w:rPr>
        <w:t> </w:t>
      </w:r>
      <w:r>
        <w:rPr/>
        <w:t>рослинної</w:t>
      </w:r>
      <w:r>
        <w:rPr>
          <w:spacing w:val="-17"/>
        </w:rPr>
        <w:t> </w:t>
      </w:r>
      <w:r>
        <w:rPr/>
        <w:t>олії</w:t>
      </w:r>
      <w:r>
        <w:rPr>
          <w:spacing w:val="-10"/>
        </w:rPr>
        <w:t> </w:t>
      </w:r>
      <w:r>
        <w:rPr/>
        <w:t>здійснюється</w:t>
      </w:r>
      <w:r>
        <w:rPr>
          <w:spacing w:val="-11"/>
        </w:rPr>
        <w:t> </w:t>
      </w:r>
      <w:r>
        <w:rPr/>
        <w:t>для</w:t>
      </w:r>
      <w:r>
        <w:rPr>
          <w:spacing w:val="-11"/>
        </w:rPr>
        <w:t> </w:t>
      </w:r>
      <w:r>
        <w:rPr/>
        <w:t>видалення вологи і одорантів (запахів), надає олії приємний присмак і підвищує споживчі властивості продукта. Високоякісна гідратована і нейтралізована соняшникова олія</w:t>
      </w:r>
      <w:r>
        <w:rPr>
          <w:spacing w:val="-8"/>
        </w:rPr>
        <w:t> </w:t>
      </w:r>
      <w:r>
        <w:rPr/>
        <w:t>є</w:t>
      </w:r>
      <w:r>
        <w:rPr>
          <w:spacing w:val="-9"/>
        </w:rPr>
        <w:t> </w:t>
      </w:r>
      <w:r>
        <w:rPr/>
        <w:t>дієтичним</w:t>
      </w:r>
      <w:r>
        <w:rPr>
          <w:spacing w:val="-9"/>
        </w:rPr>
        <w:t> </w:t>
      </w:r>
      <w:r>
        <w:rPr/>
        <w:t>продуктом</w:t>
      </w:r>
      <w:r>
        <w:rPr>
          <w:spacing w:val="-8"/>
        </w:rPr>
        <w:t> </w:t>
      </w:r>
      <w:r>
        <w:rPr/>
        <w:t>і</w:t>
      </w:r>
      <w:r>
        <w:rPr>
          <w:spacing w:val="-15"/>
        </w:rPr>
        <w:t> </w:t>
      </w:r>
      <w:r>
        <w:rPr/>
        <w:t>може</w:t>
      </w:r>
      <w:r>
        <w:rPr>
          <w:spacing w:val="-9"/>
        </w:rPr>
        <w:t> </w:t>
      </w:r>
      <w:r>
        <w:rPr/>
        <w:t>бути</w:t>
      </w:r>
      <w:r>
        <w:rPr>
          <w:spacing w:val="-5"/>
        </w:rPr>
        <w:t> </w:t>
      </w:r>
      <w:r>
        <w:rPr/>
        <w:t>використано</w:t>
      </w:r>
      <w:r>
        <w:rPr>
          <w:spacing w:val="-9"/>
        </w:rPr>
        <w:t> </w:t>
      </w:r>
      <w:r>
        <w:rPr/>
        <w:t>при</w:t>
      </w:r>
      <w:r>
        <w:rPr>
          <w:spacing w:val="-10"/>
        </w:rPr>
        <w:t> </w:t>
      </w:r>
      <w:r>
        <w:rPr/>
        <w:t>створенні</w:t>
      </w:r>
      <w:r>
        <w:rPr>
          <w:spacing w:val="-14"/>
        </w:rPr>
        <w:t> </w:t>
      </w:r>
      <w:r>
        <w:rPr/>
        <w:t>емульсійних продуктів харчування з раціональними</w:t>
      </w:r>
      <w:r>
        <w:rPr>
          <w:spacing w:val="5"/>
        </w:rPr>
        <w:t> </w:t>
      </w:r>
      <w:r>
        <w:rPr/>
        <w:t>властивостями.</w:t>
      </w:r>
    </w:p>
    <w:p>
      <w:pPr>
        <w:pStyle w:val="BodyText"/>
        <w:spacing w:before="1"/>
        <w:ind w:right="612" w:firstLine="710"/>
      </w:pPr>
      <w:r>
        <w:rPr>
          <w:b/>
        </w:rPr>
        <w:t>Аналіз останніх досліджень та публікацій. </w:t>
      </w:r>
      <w:r>
        <w:rPr/>
        <w:t>Олійно-жирова промисловість є провідною галуззю харчової індустрії і визначає продовольчу безпеку країни. Рослинні олії, які використовуються безпосередньо в їжу, так і направляються на переробку, необхідно піддавати повному циклу рафінації з метою виведення шкідливих для організму речовин, поліпшення товарного вигляду, підвищення органолептичних показників, а також забезпечення стійкості до окислення. При рафінації олій супутні речовини послідовно</w:t>
      </w:r>
    </w:p>
    <w:p>
      <w:pPr>
        <w:spacing w:after="0"/>
        <w:sectPr>
          <w:pgSz w:w="11910" w:h="16840"/>
          <w:pgMar w:header="713" w:footer="778" w:top="1140" w:bottom="960" w:left="940" w:right="520"/>
        </w:sectPr>
      </w:pPr>
    </w:p>
    <w:p>
      <w:pPr>
        <w:pStyle w:val="BodyText"/>
        <w:spacing w:before="92"/>
        <w:ind w:right="610"/>
      </w:pPr>
      <w:r>
        <w:rPr/>
        <w:t>виводяться на різних цільових стадіях процесу: фосфоліпіди при гідратації, жирні кислоти при хімічної нейтралізації (або дистилляційній рафінації), пігменти - на стадії адсорбційної рафінації, воски та воскоподібні речовини при вінтеризації олії, одоруючі речовини при дезодорації. Сучасна технологія отримання рослинних олій включає різнохарактерний вплив на переробляєму олійну сировину. Відомі установки для дезодорації олії [3], які містять ємність для сирої рослинної олії, горизонтальний дезодоратор, скрубер, вузол нагріву у вигляді пароінжекторного блоку, систему оборотної води, накопичувальні ємності для жирних кислот, жировмістюючий води і готової продукції, систему трубопроводів з запірною арматурою, холодильнік. Основними недоліками таких установок є - значні енергозавитрати, великі виробничі площі, які потребують додаткових матеріальних витрат на обслуговування, що веде до подорожчання готової продукції; - використування в якості нагрівача пара (перегрітого під досить високим тиском), що погіршує якість готової продукції, так як по ходу технологічного процесу обробки сирої рослинної олії не виключається вплив на неї кисню (окислення); - не виключається викид жирних кислот; - при використанні пароінжекторного блоку не виключені додаткові матеріальні витрати, пов'язані з виконанням вимог служби котлонагляду.</w:t>
      </w:r>
    </w:p>
    <w:p>
      <w:pPr>
        <w:pStyle w:val="BodyText"/>
        <w:spacing w:before="4"/>
        <w:ind w:right="613" w:firstLine="710"/>
      </w:pPr>
      <w:r>
        <w:rPr>
          <w:b/>
        </w:rPr>
        <w:t>Мета</w:t>
      </w:r>
      <w:r>
        <w:rPr>
          <w:b/>
          <w:spacing w:val="-15"/>
        </w:rPr>
        <w:t> </w:t>
      </w:r>
      <w:r>
        <w:rPr>
          <w:b/>
        </w:rPr>
        <w:t>досліджень:</w:t>
      </w:r>
      <w:r>
        <w:rPr>
          <w:b/>
          <w:spacing w:val="-12"/>
        </w:rPr>
        <w:t> </w:t>
      </w:r>
      <w:r>
        <w:rPr/>
        <w:t>на</w:t>
      </w:r>
      <w:r>
        <w:rPr>
          <w:spacing w:val="-14"/>
        </w:rPr>
        <w:t> </w:t>
      </w:r>
      <w:r>
        <w:rPr/>
        <w:t>основі</w:t>
      </w:r>
      <w:r>
        <w:rPr>
          <w:spacing w:val="-18"/>
        </w:rPr>
        <w:t> </w:t>
      </w:r>
      <w:r>
        <w:rPr/>
        <w:t>проведених</w:t>
      </w:r>
      <w:r>
        <w:rPr>
          <w:spacing w:val="-15"/>
        </w:rPr>
        <w:t> </w:t>
      </w:r>
      <w:r>
        <w:rPr/>
        <w:t>аналітичних</w:t>
      </w:r>
      <w:r>
        <w:rPr>
          <w:spacing w:val="-14"/>
        </w:rPr>
        <w:t> </w:t>
      </w:r>
      <w:r>
        <w:rPr/>
        <w:t>і</w:t>
      </w:r>
      <w:r>
        <w:rPr>
          <w:spacing w:val="-19"/>
        </w:rPr>
        <w:t> </w:t>
      </w:r>
      <w:r>
        <w:rPr/>
        <w:t>експериментальних досліджень обґрунтувати та розробити гідродинамічну установку для дезодорації олії в умовах міні-цехів з метою її доочищення шляхом видалення вологи і одорантів (запахів), отримання продукту високої</w:t>
      </w:r>
      <w:r>
        <w:rPr>
          <w:spacing w:val="-5"/>
        </w:rPr>
        <w:t> </w:t>
      </w:r>
      <w:r>
        <w:rPr/>
        <w:t>якості.</w:t>
      </w:r>
    </w:p>
    <w:p>
      <w:pPr>
        <w:pStyle w:val="BodyText"/>
        <w:ind w:right="613" w:firstLine="710"/>
      </w:pPr>
      <w:r>
        <w:rPr>
          <w:b/>
        </w:rPr>
        <w:t>Результати досліджень. </w:t>
      </w:r>
      <w:r>
        <w:rPr/>
        <w:t>Відмінною особливістю запропанованої гідродинамічної</w:t>
      </w:r>
      <w:r>
        <w:rPr>
          <w:spacing w:val="-17"/>
        </w:rPr>
        <w:t> </w:t>
      </w:r>
      <w:r>
        <w:rPr/>
        <w:t>установки</w:t>
      </w:r>
      <w:r>
        <w:rPr>
          <w:spacing w:val="-19"/>
        </w:rPr>
        <w:t> </w:t>
      </w:r>
      <w:r>
        <w:rPr/>
        <w:t>для</w:t>
      </w:r>
      <w:r>
        <w:rPr>
          <w:spacing w:val="-14"/>
        </w:rPr>
        <w:t> </w:t>
      </w:r>
      <w:r>
        <w:rPr/>
        <w:t>дезодорації</w:t>
      </w:r>
      <w:r>
        <w:rPr>
          <w:spacing w:val="-20"/>
        </w:rPr>
        <w:t> </w:t>
      </w:r>
      <w:r>
        <w:rPr/>
        <w:t>олії</w:t>
      </w:r>
      <w:r>
        <w:rPr>
          <w:spacing w:val="-23"/>
        </w:rPr>
        <w:t> </w:t>
      </w:r>
      <w:r>
        <w:rPr/>
        <w:t>є</w:t>
      </w:r>
      <w:r>
        <w:rPr>
          <w:spacing w:val="-18"/>
        </w:rPr>
        <w:t> </w:t>
      </w:r>
      <w:r>
        <w:rPr/>
        <w:t>використання</w:t>
      </w:r>
      <w:r>
        <w:rPr>
          <w:spacing w:val="-18"/>
        </w:rPr>
        <w:t> </w:t>
      </w:r>
      <w:r>
        <w:rPr/>
        <w:t>фізичного</w:t>
      </w:r>
      <w:r>
        <w:rPr>
          <w:spacing w:val="-18"/>
        </w:rPr>
        <w:t> </w:t>
      </w:r>
      <w:r>
        <w:rPr/>
        <w:t>метода</w:t>
      </w:r>
    </w:p>
    <w:p>
      <w:pPr>
        <w:pStyle w:val="ListParagraph"/>
        <w:numPr>
          <w:ilvl w:val="0"/>
          <w:numId w:val="14"/>
        </w:numPr>
        <w:tabs>
          <w:tab w:pos="434" w:val="left" w:leader="none"/>
        </w:tabs>
        <w:spacing w:line="240" w:lineRule="auto" w:before="0" w:after="0"/>
        <w:ind w:left="193" w:right="602" w:firstLine="0"/>
        <w:jc w:val="both"/>
        <w:rPr>
          <w:sz w:val="28"/>
        </w:rPr>
      </w:pPr>
      <w:r>
        <w:rPr>
          <w:sz w:val="28"/>
        </w:rPr>
        <w:t>гідродинамічної кавітації олії при глибокому вакуумі (менш 0,1 мм. рт. ст.). тобто видалення вологи і одорантів без використання пари. Процес дезодорації проходить по екологічно чистій безвідходній технології. Відходи, які складають 3-5 % від вихідного об’єму олії, зливаються в ємність для зберігання і можуть бути використані для виготовлення кормових добавок для тварин і птахів [4]. Принципова схема гідродинамічної установки представлена на рис 1. Установка містить:1 – електродвигун; 2 – з’єднувальна муфта; 3 – масляний насос; 4 – 12 – крани;13</w:t>
      </w:r>
      <w:r>
        <w:rPr>
          <w:spacing w:val="-10"/>
          <w:sz w:val="28"/>
        </w:rPr>
        <w:t> </w:t>
      </w:r>
      <w:r>
        <w:rPr>
          <w:sz w:val="28"/>
        </w:rPr>
        <w:t>–</w:t>
      </w:r>
      <w:r>
        <w:rPr>
          <w:spacing w:val="-10"/>
          <w:sz w:val="28"/>
        </w:rPr>
        <w:t> </w:t>
      </w:r>
      <w:r>
        <w:rPr>
          <w:sz w:val="28"/>
        </w:rPr>
        <w:t>теплообмінник;</w:t>
      </w:r>
      <w:r>
        <w:rPr>
          <w:spacing w:val="-11"/>
          <w:sz w:val="28"/>
        </w:rPr>
        <w:t> </w:t>
      </w:r>
      <w:r>
        <w:rPr>
          <w:sz w:val="28"/>
        </w:rPr>
        <w:t>14,18</w:t>
      </w:r>
      <w:r>
        <w:rPr>
          <w:spacing w:val="-9"/>
          <w:sz w:val="28"/>
        </w:rPr>
        <w:t> </w:t>
      </w:r>
      <w:r>
        <w:rPr>
          <w:sz w:val="28"/>
        </w:rPr>
        <w:t>–</w:t>
      </w:r>
      <w:r>
        <w:rPr>
          <w:spacing w:val="-10"/>
          <w:sz w:val="28"/>
        </w:rPr>
        <w:t> </w:t>
      </w:r>
      <w:r>
        <w:rPr>
          <w:sz w:val="28"/>
        </w:rPr>
        <w:t>манометр;</w:t>
      </w:r>
      <w:r>
        <w:rPr>
          <w:spacing w:val="-12"/>
          <w:sz w:val="28"/>
        </w:rPr>
        <w:t> </w:t>
      </w:r>
      <w:r>
        <w:rPr>
          <w:sz w:val="28"/>
        </w:rPr>
        <w:t>15</w:t>
      </w:r>
      <w:r>
        <w:rPr>
          <w:spacing w:val="-8"/>
          <w:sz w:val="28"/>
        </w:rPr>
        <w:t> </w:t>
      </w:r>
      <w:r>
        <w:rPr>
          <w:sz w:val="28"/>
        </w:rPr>
        <w:t>–</w:t>
      </w:r>
      <w:r>
        <w:rPr>
          <w:spacing w:val="-10"/>
          <w:sz w:val="28"/>
        </w:rPr>
        <w:t> </w:t>
      </w:r>
      <w:r>
        <w:rPr>
          <w:sz w:val="28"/>
        </w:rPr>
        <w:t>гідродинамічний</w:t>
      </w:r>
      <w:r>
        <w:rPr>
          <w:spacing w:val="-12"/>
          <w:sz w:val="28"/>
        </w:rPr>
        <w:t> </w:t>
      </w:r>
      <w:r>
        <w:rPr>
          <w:sz w:val="28"/>
        </w:rPr>
        <w:t>кавітатор;</w:t>
      </w:r>
      <w:r>
        <w:rPr>
          <w:spacing w:val="-11"/>
          <w:sz w:val="28"/>
        </w:rPr>
        <w:t> </w:t>
      </w:r>
      <w:r>
        <w:rPr>
          <w:sz w:val="28"/>
        </w:rPr>
        <w:t>17</w:t>
      </w:r>
    </w:p>
    <w:p>
      <w:pPr>
        <w:pStyle w:val="BodyText"/>
        <w:spacing w:line="322" w:lineRule="exact" w:before="1"/>
      </w:pPr>
      <w:r>
        <w:rPr/>
        <w:t>– </w:t>
      </w:r>
      <w:r>
        <w:rPr>
          <w:spacing w:val="9"/>
        </w:rPr>
        <w:t> </w:t>
      </w:r>
      <w:r>
        <w:rPr/>
        <w:t>розпилювач; </w:t>
      </w:r>
      <w:r>
        <w:rPr>
          <w:spacing w:val="8"/>
        </w:rPr>
        <w:t> </w:t>
      </w:r>
      <w:r>
        <w:rPr/>
        <w:t>18 </w:t>
      </w:r>
      <w:r>
        <w:rPr>
          <w:spacing w:val="11"/>
        </w:rPr>
        <w:t> </w:t>
      </w:r>
      <w:r>
        <w:rPr/>
        <w:t>– </w:t>
      </w:r>
      <w:r>
        <w:rPr>
          <w:spacing w:val="9"/>
        </w:rPr>
        <w:t> </w:t>
      </w:r>
      <w:r>
        <w:rPr/>
        <w:t>краплевідбійник; </w:t>
      </w:r>
      <w:r>
        <w:rPr>
          <w:spacing w:val="14"/>
        </w:rPr>
        <w:t> </w:t>
      </w:r>
      <w:r>
        <w:rPr/>
        <w:t>19 </w:t>
      </w:r>
      <w:r>
        <w:rPr>
          <w:spacing w:val="12"/>
        </w:rPr>
        <w:t> </w:t>
      </w:r>
      <w:r>
        <w:rPr/>
        <w:t>– </w:t>
      </w:r>
      <w:r>
        <w:rPr>
          <w:spacing w:val="9"/>
        </w:rPr>
        <w:t> </w:t>
      </w:r>
      <w:r>
        <w:rPr/>
        <w:t>ємність; </w:t>
      </w:r>
      <w:r>
        <w:rPr>
          <w:spacing w:val="8"/>
        </w:rPr>
        <w:t> </w:t>
      </w:r>
      <w:r>
        <w:rPr/>
        <w:t>20 </w:t>
      </w:r>
      <w:r>
        <w:rPr>
          <w:spacing w:val="11"/>
        </w:rPr>
        <w:t> </w:t>
      </w:r>
      <w:r>
        <w:rPr/>
        <w:t>– </w:t>
      </w:r>
      <w:r>
        <w:rPr>
          <w:spacing w:val="10"/>
        </w:rPr>
        <w:t> </w:t>
      </w:r>
      <w:r>
        <w:rPr/>
        <w:t>вакуумметр; </w:t>
      </w:r>
      <w:r>
        <w:rPr>
          <w:spacing w:val="8"/>
        </w:rPr>
        <w:t> </w:t>
      </w:r>
      <w:r>
        <w:rPr/>
        <w:t>21 </w:t>
      </w:r>
      <w:r>
        <w:rPr>
          <w:spacing w:val="16"/>
        </w:rPr>
        <w:t> </w:t>
      </w:r>
      <w:r>
        <w:rPr/>
        <w:t>-</w:t>
      </w:r>
    </w:p>
    <w:p>
      <w:pPr>
        <w:pStyle w:val="BodyText"/>
        <w:ind w:right="606"/>
      </w:pPr>
      <w:r>
        <w:rPr/>
        <w:t>конденсатозбірник; 22 – вакуумний насос; 23 – фільтр; 24 – термометр; 25 – рівнемір; 26– магістраль для зливу залишків олії і жиру; 27 – магістраль для всмоктування олії в ємність; 28 – магістраль для зливу висушеної олії; 29 – магістраль для зливу конденсата. Видалення вологи та летючих речовин з </w:t>
      </w:r>
      <w:r>
        <w:rPr>
          <w:spacing w:val="2"/>
        </w:rPr>
        <w:t>олії </w:t>
      </w:r>
      <w:r>
        <w:rPr/>
        <w:t>здійснюється таким чином: відкриваються крани 4 та 5; інші крани перекриваються; включається насосна станція 3. При цьому олія </w:t>
      </w:r>
      <w:r>
        <w:rPr>
          <w:spacing w:val="-3"/>
        </w:rPr>
        <w:t>із </w:t>
      </w:r>
      <w:r>
        <w:rPr/>
        <w:t>зовнішнього джерела подається до магістралі 27 для всмоктування олії в ємність за допомогою насосу 3, подавання здійснюється до заданого рівня. Після заповнення олією бака крани 4 та 5 перекриваються, а кран 6 відкривається, при цьому</w:t>
      </w:r>
      <w:r>
        <w:rPr>
          <w:spacing w:val="-12"/>
        </w:rPr>
        <w:t> </w:t>
      </w:r>
      <w:r>
        <w:rPr/>
        <w:t>олія</w:t>
      </w:r>
      <w:r>
        <w:rPr>
          <w:spacing w:val="-1"/>
        </w:rPr>
        <w:t> </w:t>
      </w:r>
      <w:r>
        <w:rPr/>
        <w:t>з</w:t>
      </w:r>
      <w:r>
        <w:rPr>
          <w:spacing w:val="-6"/>
        </w:rPr>
        <w:t> </w:t>
      </w:r>
      <w:r>
        <w:rPr/>
        <w:t>магістралі</w:t>
      </w:r>
      <w:r>
        <w:rPr>
          <w:spacing w:val="-4"/>
        </w:rPr>
        <w:t> </w:t>
      </w:r>
      <w:r>
        <w:rPr>
          <w:i/>
        </w:rPr>
        <w:t>27</w:t>
      </w:r>
      <w:r>
        <w:rPr>
          <w:i/>
          <w:spacing w:val="-6"/>
        </w:rPr>
        <w:t> </w:t>
      </w:r>
      <w:r>
        <w:rPr/>
        <w:t>подається</w:t>
      </w:r>
      <w:r>
        <w:rPr>
          <w:spacing w:val="-6"/>
        </w:rPr>
        <w:t> </w:t>
      </w:r>
      <w:r>
        <w:rPr/>
        <w:t>до</w:t>
      </w:r>
      <w:r>
        <w:rPr>
          <w:spacing w:val="-3"/>
        </w:rPr>
        <w:t> </w:t>
      </w:r>
      <w:r>
        <w:rPr/>
        <w:t>насосу</w:t>
      </w:r>
      <w:r>
        <w:rPr>
          <w:spacing w:val="-11"/>
        </w:rPr>
        <w:t> </w:t>
      </w:r>
      <w:r>
        <w:rPr/>
        <w:t>3</w:t>
      </w:r>
      <w:r>
        <w:rPr>
          <w:spacing w:val="-3"/>
        </w:rPr>
        <w:t> </w:t>
      </w:r>
      <w:r>
        <w:rPr/>
        <w:t>та</w:t>
      </w:r>
      <w:r>
        <w:rPr>
          <w:spacing w:val="-6"/>
        </w:rPr>
        <w:t> </w:t>
      </w:r>
      <w:r>
        <w:rPr/>
        <w:t>далі</w:t>
      </w:r>
      <w:r>
        <w:rPr>
          <w:spacing w:val="-13"/>
        </w:rPr>
        <w:t> </w:t>
      </w:r>
      <w:r>
        <w:rPr/>
        <w:t>через</w:t>
      </w:r>
      <w:r>
        <w:rPr>
          <w:spacing w:val="-2"/>
        </w:rPr>
        <w:t> </w:t>
      </w:r>
      <w:r>
        <w:rPr/>
        <w:t>теплообмінник</w:t>
      </w:r>
      <w:r>
        <w:rPr>
          <w:spacing w:val="-8"/>
        </w:rPr>
        <w:t> </w:t>
      </w:r>
      <w:r>
        <w:rPr/>
        <w:t>13, до</w:t>
      </w:r>
      <w:r>
        <w:rPr>
          <w:spacing w:val="16"/>
        </w:rPr>
        <w:t> </w:t>
      </w:r>
      <w:r>
        <w:rPr/>
        <w:t>ємністі</w:t>
      </w:r>
      <w:r>
        <w:rPr>
          <w:spacing w:val="10"/>
        </w:rPr>
        <w:t> </w:t>
      </w:r>
      <w:r>
        <w:rPr/>
        <w:t>19.</w:t>
      </w:r>
      <w:r>
        <w:rPr>
          <w:spacing w:val="18"/>
        </w:rPr>
        <w:t> </w:t>
      </w:r>
      <w:r>
        <w:rPr/>
        <w:t>Олія</w:t>
      </w:r>
      <w:r>
        <w:rPr>
          <w:spacing w:val="17"/>
        </w:rPr>
        <w:t> </w:t>
      </w:r>
      <w:r>
        <w:rPr/>
        <w:t>нагрівається</w:t>
      </w:r>
      <w:r>
        <w:rPr>
          <w:spacing w:val="17"/>
        </w:rPr>
        <w:t> </w:t>
      </w:r>
      <w:r>
        <w:rPr/>
        <w:t>до</w:t>
      </w:r>
      <w:r>
        <w:rPr>
          <w:spacing w:val="16"/>
        </w:rPr>
        <w:t> </w:t>
      </w:r>
      <w:r>
        <w:rPr/>
        <w:t>температури</w:t>
      </w:r>
      <w:r>
        <w:rPr>
          <w:spacing w:val="15"/>
        </w:rPr>
        <w:t> </w:t>
      </w:r>
      <w:r>
        <w:rPr/>
        <w:t>плавлення</w:t>
      </w:r>
      <w:r>
        <w:rPr>
          <w:spacing w:val="17"/>
        </w:rPr>
        <w:t> </w:t>
      </w:r>
      <w:r>
        <w:rPr/>
        <w:t>восків.</w:t>
      </w:r>
      <w:r>
        <w:rPr>
          <w:spacing w:val="18"/>
        </w:rPr>
        <w:t> </w:t>
      </w:r>
      <w:r>
        <w:rPr/>
        <w:t>Контроль</w:t>
      </w:r>
      <w:r>
        <w:rPr>
          <w:spacing w:val="14"/>
        </w:rPr>
        <w:t> </w:t>
      </w:r>
      <w:r>
        <w:rPr/>
        <w:t>за</w:t>
      </w:r>
    </w:p>
    <w:p>
      <w:pPr>
        <w:spacing w:after="0"/>
        <w:sectPr>
          <w:pgSz w:w="11910" w:h="16840"/>
          <w:pgMar w:header="713" w:footer="778" w:top="1140" w:bottom="960" w:left="940" w:right="520"/>
        </w:sectPr>
      </w:pPr>
    </w:p>
    <w:p>
      <w:pPr>
        <w:pStyle w:val="BodyText"/>
        <w:spacing w:line="322" w:lineRule="exact" w:before="92"/>
        <w:jc w:val="left"/>
      </w:pPr>
      <w:r>
        <w:rPr/>
        <w:t>температурою нагріву олії проводиться за допомогою показуючого термометра</w:t>
      </w:r>
    </w:p>
    <w:p>
      <w:pPr>
        <w:pStyle w:val="BodyText"/>
        <w:jc w:val="left"/>
      </w:pPr>
      <w:r>
        <w:rPr/>
        <w:t>24. після нагріву олії до потрібної температури електродвигун 1 вимикають від електричної сітки.</w:t>
      </w:r>
    </w:p>
    <w:p>
      <w:pPr>
        <w:pStyle w:val="BodyText"/>
        <w:spacing w:before="1"/>
        <w:ind w:left="0"/>
        <w:jc w:val="left"/>
        <w:rPr>
          <w:sz w:val="11"/>
        </w:rPr>
      </w:pPr>
    </w:p>
    <w:p>
      <w:pPr>
        <w:pStyle w:val="BodyText"/>
        <w:ind w:left="2338"/>
        <w:jc w:val="left"/>
        <w:rPr>
          <w:sz w:val="20"/>
        </w:rPr>
      </w:pPr>
      <w:r>
        <w:rPr>
          <w:sz w:val="20"/>
        </w:rPr>
        <w:drawing>
          <wp:inline distT="0" distB="0" distL="0" distR="0">
            <wp:extent cx="3749618" cy="3581400"/>
            <wp:effectExtent l="0" t="0" r="0" b="0"/>
            <wp:docPr id="27" name="image68.jpeg"/>
            <wp:cNvGraphicFramePr>
              <a:graphicFrameLocks noChangeAspect="1"/>
            </wp:cNvGraphicFramePr>
            <a:graphic>
              <a:graphicData uri="http://schemas.openxmlformats.org/drawingml/2006/picture">
                <pic:pic>
                  <pic:nvPicPr>
                    <pic:cNvPr id="28" name="image68.jpeg"/>
                    <pic:cNvPicPr/>
                  </pic:nvPicPr>
                  <pic:blipFill>
                    <a:blip r:embed="rId117" cstate="print"/>
                    <a:stretch>
                      <a:fillRect/>
                    </a:stretch>
                  </pic:blipFill>
                  <pic:spPr>
                    <a:xfrm>
                      <a:off x="0" y="0"/>
                      <a:ext cx="3749618" cy="3581400"/>
                    </a:xfrm>
                    <a:prstGeom prst="rect">
                      <a:avLst/>
                    </a:prstGeom>
                  </pic:spPr>
                </pic:pic>
              </a:graphicData>
            </a:graphic>
          </wp:inline>
        </w:drawing>
      </w:r>
      <w:r>
        <w:rPr>
          <w:sz w:val="20"/>
        </w:rPr>
      </w:r>
    </w:p>
    <w:p>
      <w:pPr>
        <w:spacing w:after="0"/>
        <w:jc w:val="left"/>
        <w:rPr>
          <w:sz w:val="20"/>
        </w:rPr>
        <w:sectPr>
          <w:pgSz w:w="11910" w:h="16840"/>
          <w:pgMar w:header="713" w:footer="778" w:top="1140" w:bottom="960" w:left="940" w:right="520"/>
        </w:sectPr>
      </w:pPr>
    </w:p>
    <w:p>
      <w:pPr>
        <w:pStyle w:val="BodyText"/>
        <w:spacing w:before="5"/>
        <w:ind w:left="0"/>
        <w:jc w:val="left"/>
        <w:rPr>
          <w:sz w:val="34"/>
        </w:rPr>
      </w:pPr>
    </w:p>
    <w:p>
      <w:pPr>
        <w:pStyle w:val="BodyText"/>
        <w:jc w:val="left"/>
      </w:pPr>
      <w:r>
        <w:rPr>
          <w:spacing w:val="-2"/>
        </w:rPr>
        <w:t>олії.</w:t>
      </w:r>
    </w:p>
    <w:p>
      <w:pPr>
        <w:pStyle w:val="BodyText"/>
        <w:spacing w:before="74"/>
        <w:ind w:left="24"/>
        <w:jc w:val="left"/>
      </w:pPr>
      <w:r>
        <w:rPr/>
        <w:br w:type="column"/>
      </w:r>
      <w:r>
        <w:rPr>
          <w:b/>
        </w:rPr>
        <w:t>Рис.</w:t>
      </w:r>
      <w:r>
        <w:rPr>
          <w:b/>
          <w:spacing w:val="-13"/>
        </w:rPr>
        <w:t> </w:t>
      </w:r>
      <w:r>
        <w:rPr>
          <w:b/>
        </w:rPr>
        <w:t>1.</w:t>
      </w:r>
      <w:r>
        <w:rPr>
          <w:b/>
          <w:spacing w:val="-16"/>
        </w:rPr>
        <w:t> </w:t>
      </w:r>
      <w:r>
        <w:rPr/>
        <w:t>Принципова</w:t>
      </w:r>
      <w:r>
        <w:rPr>
          <w:spacing w:val="-14"/>
        </w:rPr>
        <w:t> </w:t>
      </w:r>
      <w:r>
        <w:rPr/>
        <w:t>схема</w:t>
      </w:r>
      <w:r>
        <w:rPr>
          <w:spacing w:val="-12"/>
        </w:rPr>
        <w:t> </w:t>
      </w:r>
      <w:r>
        <w:rPr/>
        <w:t>гідродинамічної</w:t>
      </w:r>
      <w:r>
        <w:rPr>
          <w:spacing w:val="-15"/>
        </w:rPr>
        <w:t> </w:t>
      </w:r>
      <w:r>
        <w:rPr/>
        <w:t>установки</w:t>
      </w:r>
      <w:r>
        <w:rPr>
          <w:spacing w:val="-15"/>
        </w:rPr>
        <w:t> </w:t>
      </w:r>
      <w:r>
        <w:rPr/>
        <w:t>дезодорації</w:t>
      </w:r>
      <w:r>
        <w:rPr>
          <w:spacing w:val="-20"/>
        </w:rPr>
        <w:t> </w:t>
      </w:r>
      <w:r>
        <w:rPr/>
        <w:t>рослинної</w:t>
      </w:r>
    </w:p>
    <w:p>
      <w:pPr>
        <w:pStyle w:val="BodyText"/>
        <w:ind w:left="0"/>
        <w:jc w:val="left"/>
      </w:pPr>
    </w:p>
    <w:p>
      <w:pPr>
        <w:pStyle w:val="BodyText"/>
        <w:ind w:left="24"/>
        <w:jc w:val="left"/>
      </w:pPr>
      <w:r>
        <w:rPr/>
        <w:t>Відкривають кран 8 для  включення гідродинамічного  кавітатора  15,  </w:t>
      </w:r>
      <w:r>
        <w:rPr>
          <w:spacing w:val="8"/>
        </w:rPr>
        <w:t> </w:t>
      </w:r>
      <w:r>
        <w:rPr/>
        <w:t>при</w:t>
      </w:r>
    </w:p>
    <w:p>
      <w:pPr>
        <w:spacing w:after="0"/>
        <w:jc w:val="left"/>
        <w:sectPr>
          <w:type w:val="continuous"/>
          <w:pgSz w:w="11910" w:h="16840"/>
          <w:pgMar w:top="1140" w:bottom="280" w:left="940" w:right="520"/>
          <w:cols w:num="2" w:equalWidth="0">
            <w:col w:w="690" w:space="40"/>
            <w:col w:w="9720"/>
          </w:cols>
        </w:sectPr>
      </w:pPr>
    </w:p>
    <w:p>
      <w:pPr>
        <w:pStyle w:val="BodyText"/>
        <w:ind w:right="609"/>
      </w:pPr>
      <w:r>
        <w:rPr/>
        <w:t>цьому поступово відкривається кран 7, до отримання тиску олії на манометрі 14 величини 18 кг/см</w:t>
      </w:r>
      <w:r>
        <w:rPr>
          <w:position w:val="10"/>
          <w:sz w:val="18"/>
        </w:rPr>
        <w:t>2</w:t>
      </w:r>
      <w:r>
        <w:rPr/>
        <w:t>. Після початку стійкої роботи  включають  вакуумну станцію 22 та відкривають кран 9, рівень вакууму у баку 19 контролюють </w:t>
      </w:r>
      <w:r>
        <w:rPr>
          <w:spacing w:val="2"/>
        </w:rPr>
        <w:t>за </w:t>
      </w:r>
      <w:r>
        <w:rPr/>
        <w:t>допомогою вакуумметра 20. при роботі насосу 1 </w:t>
      </w:r>
      <w:r>
        <w:rPr>
          <w:spacing w:val="-3"/>
        </w:rPr>
        <w:t>під </w:t>
      </w:r>
      <w:r>
        <w:rPr/>
        <w:t>вакуумом у баку 19 тиск у колекторі може мінятися, тому його треба регулювати краном 10, кран 11 рівнеміра 25 під вакуумом преркривається. Економія електроенергії гідродинамічної</w:t>
      </w:r>
      <w:r>
        <w:rPr>
          <w:spacing w:val="-12"/>
        </w:rPr>
        <w:t> </w:t>
      </w:r>
      <w:r>
        <w:rPr/>
        <w:t>установки</w:t>
      </w:r>
      <w:r>
        <w:rPr>
          <w:spacing w:val="-13"/>
        </w:rPr>
        <w:t> </w:t>
      </w:r>
      <w:r>
        <w:rPr/>
        <w:t>для</w:t>
      </w:r>
      <w:r>
        <w:rPr>
          <w:spacing w:val="-9"/>
        </w:rPr>
        <w:t> </w:t>
      </w:r>
      <w:r>
        <w:rPr/>
        <w:t>дезодорації</w:t>
      </w:r>
      <w:r>
        <w:rPr>
          <w:spacing w:val="-18"/>
        </w:rPr>
        <w:t> </w:t>
      </w:r>
      <w:r>
        <w:rPr/>
        <w:t>олії</w:t>
      </w:r>
      <w:r>
        <w:rPr>
          <w:spacing w:val="-16"/>
        </w:rPr>
        <w:t> </w:t>
      </w:r>
      <w:r>
        <w:rPr/>
        <w:t>30-40%</w:t>
      </w:r>
      <w:r>
        <w:rPr>
          <w:spacing w:val="-15"/>
        </w:rPr>
        <w:t> </w:t>
      </w:r>
      <w:r>
        <w:rPr/>
        <w:t>у</w:t>
      </w:r>
      <w:r>
        <w:rPr>
          <w:spacing w:val="-17"/>
        </w:rPr>
        <w:t> </w:t>
      </w:r>
      <w:r>
        <w:rPr/>
        <w:t>порівнянні</w:t>
      </w:r>
      <w:r>
        <w:rPr>
          <w:spacing w:val="-17"/>
        </w:rPr>
        <w:t> </w:t>
      </w:r>
      <w:r>
        <w:rPr/>
        <w:t>з</w:t>
      </w:r>
      <w:r>
        <w:rPr>
          <w:spacing w:val="-13"/>
        </w:rPr>
        <w:t> </w:t>
      </w:r>
      <w:r>
        <w:rPr/>
        <w:t>класичним промисловим методом з використанням пари, казанових установок, теплогенераторів і т.д. Загальний вид гідродинамічної установки дезодорації рослинної олії показано на</w:t>
      </w:r>
      <w:r>
        <w:rPr>
          <w:spacing w:val="-7"/>
        </w:rPr>
        <w:t> </w:t>
      </w:r>
      <w:r>
        <w:rPr/>
        <w:t>рис.2.</w:t>
      </w:r>
    </w:p>
    <w:p>
      <w:pPr>
        <w:pStyle w:val="BodyText"/>
        <w:spacing w:line="317" w:lineRule="exact"/>
      </w:pPr>
      <w:r>
        <w:rPr/>
        <w:t>Технічна характеристика гідродинамічної установки для дезодорації олії:</w:t>
      </w:r>
    </w:p>
    <w:p>
      <w:pPr>
        <w:pStyle w:val="ListParagraph"/>
        <w:numPr>
          <w:ilvl w:val="0"/>
          <w:numId w:val="32"/>
        </w:numPr>
        <w:tabs>
          <w:tab w:pos="919" w:val="left" w:leader="none"/>
        </w:tabs>
        <w:spacing w:line="322" w:lineRule="exact" w:before="0" w:after="0"/>
        <w:ind w:left="918" w:right="0" w:hanging="165"/>
        <w:jc w:val="left"/>
        <w:rPr>
          <w:sz w:val="28"/>
        </w:rPr>
      </w:pPr>
      <w:r>
        <w:rPr>
          <w:sz w:val="28"/>
        </w:rPr>
        <w:t>продуктивність, л/г -</w:t>
      </w:r>
      <w:r>
        <w:rPr>
          <w:spacing w:val="8"/>
          <w:sz w:val="28"/>
        </w:rPr>
        <w:t> </w:t>
      </w:r>
      <w:r>
        <w:rPr>
          <w:sz w:val="28"/>
        </w:rPr>
        <w:t>300</w:t>
      </w:r>
    </w:p>
    <w:p>
      <w:pPr>
        <w:pStyle w:val="ListParagraph"/>
        <w:numPr>
          <w:ilvl w:val="0"/>
          <w:numId w:val="32"/>
        </w:numPr>
        <w:tabs>
          <w:tab w:pos="919" w:val="left" w:leader="none"/>
        </w:tabs>
        <w:spacing w:line="240" w:lineRule="auto" w:before="0" w:after="0"/>
        <w:ind w:left="918" w:right="0" w:hanging="165"/>
        <w:jc w:val="left"/>
        <w:rPr>
          <w:sz w:val="28"/>
        </w:rPr>
      </w:pPr>
      <w:r>
        <w:rPr>
          <w:sz w:val="28"/>
        </w:rPr>
        <w:t>споживана потужність, кВт - 1,7</w:t>
      </w:r>
      <w:r>
        <w:rPr>
          <w:spacing w:val="9"/>
          <w:sz w:val="28"/>
        </w:rPr>
        <w:t> </w:t>
      </w:r>
      <w:r>
        <w:rPr>
          <w:sz w:val="28"/>
        </w:rPr>
        <w:t>м,</w:t>
      </w:r>
    </w:p>
    <w:p>
      <w:pPr>
        <w:pStyle w:val="ListParagraph"/>
        <w:numPr>
          <w:ilvl w:val="0"/>
          <w:numId w:val="32"/>
        </w:numPr>
        <w:tabs>
          <w:tab w:pos="919" w:val="left" w:leader="none"/>
        </w:tabs>
        <w:spacing w:line="322" w:lineRule="exact" w:before="0" w:after="0"/>
        <w:ind w:left="918" w:right="0" w:hanging="165"/>
        <w:jc w:val="left"/>
        <w:rPr>
          <w:sz w:val="28"/>
        </w:rPr>
      </w:pPr>
      <w:r>
        <w:rPr>
          <w:sz w:val="28"/>
        </w:rPr>
        <w:t>маса, кг -</w:t>
      </w:r>
      <w:r>
        <w:rPr>
          <w:spacing w:val="8"/>
          <w:sz w:val="28"/>
        </w:rPr>
        <w:t> </w:t>
      </w:r>
      <w:r>
        <w:rPr>
          <w:sz w:val="28"/>
        </w:rPr>
        <w:t>1200</w:t>
      </w:r>
    </w:p>
    <w:p>
      <w:pPr>
        <w:pStyle w:val="ListParagraph"/>
        <w:numPr>
          <w:ilvl w:val="0"/>
          <w:numId w:val="32"/>
        </w:numPr>
        <w:tabs>
          <w:tab w:pos="919" w:val="left" w:leader="none"/>
        </w:tabs>
        <w:spacing w:line="240" w:lineRule="auto" w:before="0" w:after="0"/>
        <w:ind w:left="918" w:right="0" w:hanging="165"/>
        <w:jc w:val="left"/>
        <w:rPr>
          <w:sz w:val="28"/>
        </w:rPr>
      </w:pPr>
      <w:r>
        <w:rPr>
          <w:sz w:val="28"/>
        </w:rPr>
        <w:t>робочий тиск при кавітації - 5,0 - 8,0</w:t>
      </w:r>
      <w:r>
        <w:rPr>
          <w:spacing w:val="3"/>
          <w:sz w:val="28"/>
        </w:rPr>
        <w:t> </w:t>
      </w:r>
      <w:r>
        <w:rPr>
          <w:sz w:val="28"/>
        </w:rPr>
        <w:t>атм.</w:t>
      </w:r>
    </w:p>
    <w:p>
      <w:pPr>
        <w:pStyle w:val="ListParagraph"/>
        <w:numPr>
          <w:ilvl w:val="0"/>
          <w:numId w:val="32"/>
        </w:numPr>
        <w:tabs>
          <w:tab w:pos="919" w:val="left" w:leader="none"/>
        </w:tabs>
        <w:spacing w:line="319" w:lineRule="exact" w:before="0" w:after="0"/>
        <w:ind w:left="918" w:right="0" w:hanging="165"/>
        <w:jc w:val="left"/>
        <w:rPr>
          <w:sz w:val="13"/>
        </w:rPr>
      </w:pPr>
      <w:r>
        <w:rPr>
          <w:position w:val="1"/>
          <w:sz w:val="28"/>
        </w:rPr>
        <w:t>ємність баків для відстою – 1 - 3 </w:t>
      </w:r>
      <w:r>
        <w:rPr>
          <w:i/>
          <w:sz w:val="23"/>
        </w:rPr>
        <w:t>ì</w:t>
      </w:r>
      <w:r>
        <w:rPr>
          <w:i/>
          <w:spacing w:val="24"/>
          <w:sz w:val="23"/>
        </w:rPr>
        <w:t> </w:t>
      </w:r>
      <w:r>
        <w:rPr>
          <w:position w:val="11"/>
          <w:sz w:val="13"/>
        </w:rPr>
        <w:t>3</w:t>
      </w:r>
    </w:p>
    <w:p>
      <w:pPr>
        <w:pStyle w:val="ListParagraph"/>
        <w:numPr>
          <w:ilvl w:val="0"/>
          <w:numId w:val="32"/>
        </w:numPr>
        <w:tabs>
          <w:tab w:pos="919" w:val="left" w:leader="none"/>
        </w:tabs>
        <w:spacing w:line="322" w:lineRule="exact" w:before="7" w:after="0"/>
        <w:ind w:left="918" w:right="0" w:hanging="165"/>
        <w:jc w:val="left"/>
        <w:rPr>
          <w:sz w:val="28"/>
        </w:rPr>
      </w:pPr>
      <w:r>
        <w:rPr>
          <w:sz w:val="28"/>
        </w:rPr>
        <w:t>робочий тиск при розпиленні- 8 - 10</w:t>
      </w:r>
      <w:r>
        <w:rPr>
          <w:spacing w:val="4"/>
          <w:sz w:val="28"/>
        </w:rPr>
        <w:t> </w:t>
      </w:r>
      <w:r>
        <w:rPr>
          <w:sz w:val="28"/>
        </w:rPr>
        <w:t>атм.</w:t>
      </w:r>
    </w:p>
    <w:p>
      <w:pPr>
        <w:pStyle w:val="ListParagraph"/>
        <w:numPr>
          <w:ilvl w:val="0"/>
          <w:numId w:val="32"/>
        </w:numPr>
        <w:tabs>
          <w:tab w:pos="919" w:val="left" w:leader="none"/>
        </w:tabs>
        <w:spacing w:line="322" w:lineRule="exact" w:before="0" w:after="0"/>
        <w:ind w:left="918" w:right="0" w:hanging="165"/>
        <w:jc w:val="left"/>
        <w:rPr>
          <w:sz w:val="28"/>
        </w:rPr>
      </w:pPr>
      <w:r>
        <w:rPr>
          <w:sz w:val="28"/>
        </w:rPr>
        <w:t>напруга харчування - 3x380</w:t>
      </w:r>
      <w:r>
        <w:rPr>
          <w:spacing w:val="8"/>
          <w:sz w:val="28"/>
        </w:rPr>
        <w:t> </w:t>
      </w:r>
      <w:r>
        <w:rPr>
          <w:sz w:val="28"/>
        </w:rPr>
        <w:t>В</w:t>
      </w:r>
    </w:p>
    <w:p>
      <w:pPr>
        <w:pStyle w:val="ListParagraph"/>
        <w:numPr>
          <w:ilvl w:val="0"/>
          <w:numId w:val="32"/>
        </w:numPr>
        <w:tabs>
          <w:tab w:pos="919" w:val="left" w:leader="none"/>
        </w:tabs>
        <w:spacing w:line="240" w:lineRule="auto" w:before="0" w:after="0"/>
        <w:ind w:left="918" w:right="0" w:hanging="165"/>
        <w:jc w:val="left"/>
        <w:rPr>
          <w:sz w:val="28"/>
        </w:rPr>
      </w:pPr>
      <w:r>
        <w:rPr>
          <w:sz w:val="28"/>
        </w:rPr>
        <w:t>габаритні розміри,</w:t>
      </w:r>
      <w:r>
        <w:rPr>
          <w:spacing w:val="-2"/>
          <w:sz w:val="28"/>
        </w:rPr>
        <w:t> </w:t>
      </w:r>
      <w:r>
        <w:rPr>
          <w:sz w:val="28"/>
        </w:rPr>
        <w:t>мм:</w:t>
      </w:r>
    </w:p>
    <w:p>
      <w:pPr>
        <w:pStyle w:val="ListParagraph"/>
        <w:numPr>
          <w:ilvl w:val="0"/>
          <w:numId w:val="32"/>
        </w:numPr>
        <w:tabs>
          <w:tab w:pos="919" w:val="left" w:leader="none"/>
        </w:tabs>
        <w:spacing w:line="240" w:lineRule="auto" w:before="0" w:after="0"/>
        <w:ind w:left="918" w:right="0" w:hanging="165"/>
        <w:jc w:val="left"/>
        <w:rPr>
          <w:sz w:val="28"/>
        </w:rPr>
      </w:pPr>
      <w:r>
        <w:rPr>
          <w:sz w:val="28"/>
        </w:rPr>
        <w:t>довжина – 1500</w:t>
      </w:r>
      <w:r>
        <w:rPr>
          <w:spacing w:val="5"/>
          <w:sz w:val="28"/>
        </w:rPr>
        <w:t> </w:t>
      </w:r>
      <w:r>
        <w:rPr>
          <w:sz w:val="28"/>
        </w:rPr>
        <w:t>мм;</w:t>
      </w:r>
    </w:p>
    <w:p>
      <w:pPr>
        <w:spacing w:after="0" w:line="240" w:lineRule="auto"/>
        <w:jc w:val="left"/>
        <w:rPr>
          <w:sz w:val="28"/>
        </w:rPr>
        <w:sectPr>
          <w:type w:val="continuous"/>
          <w:pgSz w:w="11910" w:h="16840"/>
          <w:pgMar w:top="1140" w:bottom="280" w:left="940" w:right="520"/>
        </w:sectPr>
      </w:pPr>
    </w:p>
    <w:p>
      <w:pPr>
        <w:pStyle w:val="ListParagraph"/>
        <w:numPr>
          <w:ilvl w:val="0"/>
          <w:numId w:val="32"/>
        </w:numPr>
        <w:tabs>
          <w:tab w:pos="919" w:val="left" w:leader="none"/>
        </w:tabs>
        <w:spacing w:line="322" w:lineRule="exact" w:before="92" w:after="0"/>
        <w:ind w:left="918" w:right="0" w:hanging="165"/>
        <w:jc w:val="left"/>
        <w:rPr>
          <w:sz w:val="28"/>
        </w:rPr>
      </w:pPr>
      <w:r>
        <w:rPr>
          <w:sz w:val="28"/>
        </w:rPr>
        <w:t>ширина - 1800</w:t>
      </w:r>
      <w:r>
        <w:rPr>
          <w:spacing w:val="3"/>
          <w:sz w:val="28"/>
        </w:rPr>
        <w:t> </w:t>
      </w:r>
      <w:r>
        <w:rPr>
          <w:sz w:val="28"/>
        </w:rPr>
        <w:t>мм;</w:t>
      </w:r>
    </w:p>
    <w:p>
      <w:pPr>
        <w:pStyle w:val="ListParagraph"/>
        <w:numPr>
          <w:ilvl w:val="0"/>
          <w:numId w:val="32"/>
        </w:numPr>
        <w:tabs>
          <w:tab w:pos="919" w:val="left" w:leader="none"/>
        </w:tabs>
        <w:spacing w:line="322" w:lineRule="exact" w:before="0" w:after="0"/>
        <w:ind w:left="918" w:right="0" w:hanging="165"/>
        <w:jc w:val="left"/>
        <w:rPr>
          <w:sz w:val="28"/>
        </w:rPr>
      </w:pPr>
      <w:r>
        <w:rPr>
          <w:sz w:val="28"/>
        </w:rPr>
        <w:t>висота - 2200</w:t>
      </w:r>
      <w:r>
        <w:rPr>
          <w:spacing w:val="3"/>
          <w:sz w:val="28"/>
        </w:rPr>
        <w:t> </w:t>
      </w:r>
      <w:r>
        <w:rPr>
          <w:sz w:val="28"/>
        </w:rPr>
        <w:t>мм;</w:t>
      </w:r>
    </w:p>
    <w:p>
      <w:pPr>
        <w:pStyle w:val="ListParagraph"/>
        <w:numPr>
          <w:ilvl w:val="0"/>
          <w:numId w:val="32"/>
        </w:numPr>
        <w:tabs>
          <w:tab w:pos="919" w:val="left" w:leader="none"/>
        </w:tabs>
        <w:spacing w:line="240" w:lineRule="auto" w:before="0" w:after="8"/>
        <w:ind w:left="918" w:right="0" w:hanging="165"/>
        <w:jc w:val="left"/>
        <w:rPr>
          <w:sz w:val="28"/>
        </w:rPr>
      </w:pPr>
      <w:r>
        <w:rPr>
          <w:sz w:val="28"/>
        </w:rPr>
        <w:t>обслуговуючий персонал, чол -</w:t>
      </w:r>
      <w:r>
        <w:rPr>
          <w:spacing w:val="9"/>
          <w:sz w:val="28"/>
        </w:rPr>
        <w:t> </w:t>
      </w:r>
      <w:r>
        <w:rPr>
          <w:sz w:val="28"/>
        </w:rPr>
        <w:t>1.</w:t>
      </w:r>
    </w:p>
    <w:p>
      <w:pPr>
        <w:pStyle w:val="BodyText"/>
        <w:ind w:left="3183"/>
        <w:jc w:val="left"/>
        <w:rPr>
          <w:sz w:val="20"/>
        </w:rPr>
      </w:pPr>
      <w:r>
        <w:rPr>
          <w:sz w:val="20"/>
        </w:rPr>
        <w:drawing>
          <wp:inline distT="0" distB="0" distL="0" distR="0">
            <wp:extent cx="2685739" cy="2965132"/>
            <wp:effectExtent l="0" t="0" r="0" b="0"/>
            <wp:docPr id="29" name="image69.jpeg"/>
            <wp:cNvGraphicFramePr>
              <a:graphicFrameLocks noChangeAspect="1"/>
            </wp:cNvGraphicFramePr>
            <a:graphic>
              <a:graphicData uri="http://schemas.openxmlformats.org/drawingml/2006/picture">
                <pic:pic>
                  <pic:nvPicPr>
                    <pic:cNvPr id="30" name="image69.jpeg"/>
                    <pic:cNvPicPr/>
                  </pic:nvPicPr>
                  <pic:blipFill>
                    <a:blip r:embed="rId118" cstate="print"/>
                    <a:stretch>
                      <a:fillRect/>
                    </a:stretch>
                  </pic:blipFill>
                  <pic:spPr>
                    <a:xfrm>
                      <a:off x="0" y="0"/>
                      <a:ext cx="2685739" cy="2965132"/>
                    </a:xfrm>
                    <a:prstGeom prst="rect">
                      <a:avLst/>
                    </a:prstGeom>
                  </pic:spPr>
                </pic:pic>
              </a:graphicData>
            </a:graphic>
          </wp:inline>
        </w:drawing>
      </w:r>
      <w:r>
        <w:rPr>
          <w:sz w:val="20"/>
        </w:rPr>
      </w:r>
    </w:p>
    <w:p>
      <w:pPr>
        <w:pStyle w:val="BodyText"/>
        <w:jc w:val="left"/>
      </w:pPr>
      <w:r>
        <w:rPr>
          <w:b/>
        </w:rPr>
        <w:t>Рис. 2. </w:t>
      </w:r>
      <w:r>
        <w:rPr/>
        <w:t>Загальний вид гідродинамічної установки дезодорації рослинної олії.</w:t>
      </w:r>
    </w:p>
    <w:p>
      <w:pPr>
        <w:pStyle w:val="BodyText"/>
        <w:spacing w:before="10"/>
        <w:ind w:left="0"/>
        <w:jc w:val="left"/>
        <w:rPr>
          <w:sz w:val="27"/>
        </w:rPr>
      </w:pPr>
    </w:p>
    <w:p>
      <w:pPr>
        <w:pStyle w:val="BodyText"/>
        <w:tabs>
          <w:tab w:pos="2260" w:val="left" w:leader="none"/>
          <w:tab w:pos="3196" w:val="left" w:leader="none"/>
          <w:tab w:pos="4510" w:val="left" w:leader="none"/>
          <w:tab w:pos="6298" w:val="left" w:leader="none"/>
          <w:tab w:pos="7521" w:val="left" w:leader="none"/>
          <w:tab w:pos="8278" w:val="left" w:leader="none"/>
          <w:tab w:pos="9426" w:val="left" w:leader="none"/>
        </w:tabs>
        <w:ind w:right="604" w:firstLine="561"/>
        <w:jc w:val="left"/>
      </w:pPr>
      <w:r>
        <w:rPr/>
        <w:t>Показники</w:t>
        <w:tab/>
        <w:t>якості</w:t>
        <w:tab/>
        <w:t>продукту</w:t>
        <w:tab/>
        <w:t>відповідають</w:t>
        <w:tab/>
        <w:t>вимогам</w:t>
        <w:tab/>
        <w:t>ДСТ</w:t>
        <w:tab/>
        <w:t>1129-93</w:t>
        <w:tab/>
      </w:r>
      <w:r>
        <w:rPr>
          <w:spacing w:val="-6"/>
        </w:rPr>
        <w:t>для </w:t>
      </w:r>
      <w:r>
        <w:rPr/>
        <w:t>дезодорованої олії марок "Д" і "П", а</w:t>
      </w:r>
      <w:r>
        <w:rPr>
          <w:spacing w:val="-2"/>
        </w:rPr>
        <w:t> </w:t>
      </w:r>
      <w:r>
        <w:rPr/>
        <w:t>саме:</w:t>
      </w:r>
    </w:p>
    <w:p>
      <w:pPr>
        <w:pStyle w:val="ListParagraph"/>
        <w:numPr>
          <w:ilvl w:val="0"/>
          <w:numId w:val="32"/>
        </w:numPr>
        <w:tabs>
          <w:tab w:pos="919" w:val="left" w:leader="none"/>
        </w:tabs>
        <w:spacing w:line="322" w:lineRule="exact" w:before="5" w:after="0"/>
        <w:ind w:left="918" w:right="0" w:hanging="165"/>
        <w:jc w:val="left"/>
        <w:rPr>
          <w:sz w:val="28"/>
        </w:rPr>
      </w:pPr>
      <w:r>
        <w:rPr>
          <w:sz w:val="28"/>
        </w:rPr>
        <w:t>кольорове число, мг йоду -</w:t>
      </w:r>
      <w:r>
        <w:rPr>
          <w:spacing w:val="7"/>
          <w:sz w:val="28"/>
        </w:rPr>
        <w:t> </w:t>
      </w:r>
      <w:r>
        <w:rPr>
          <w:sz w:val="28"/>
        </w:rPr>
        <w:t>10;</w:t>
      </w:r>
    </w:p>
    <w:p>
      <w:pPr>
        <w:pStyle w:val="ListParagraph"/>
        <w:numPr>
          <w:ilvl w:val="0"/>
          <w:numId w:val="32"/>
        </w:numPr>
        <w:tabs>
          <w:tab w:pos="919" w:val="left" w:leader="none"/>
        </w:tabs>
        <w:spacing w:line="322" w:lineRule="exact" w:before="0" w:after="0"/>
        <w:ind w:left="918" w:right="0" w:hanging="165"/>
        <w:jc w:val="left"/>
        <w:rPr>
          <w:sz w:val="28"/>
        </w:rPr>
      </w:pPr>
      <w:r>
        <w:rPr>
          <w:sz w:val="28"/>
        </w:rPr>
        <w:t>кислотне число, мг КОН/г -</w:t>
      </w:r>
      <w:r>
        <w:rPr>
          <w:spacing w:val="12"/>
          <w:sz w:val="28"/>
        </w:rPr>
        <w:t> </w:t>
      </w:r>
      <w:r>
        <w:rPr>
          <w:sz w:val="28"/>
        </w:rPr>
        <w:t>0,35-0,40;</w:t>
      </w:r>
    </w:p>
    <w:p>
      <w:pPr>
        <w:pStyle w:val="ListParagraph"/>
        <w:numPr>
          <w:ilvl w:val="0"/>
          <w:numId w:val="32"/>
        </w:numPr>
        <w:tabs>
          <w:tab w:pos="919" w:val="left" w:leader="none"/>
        </w:tabs>
        <w:spacing w:line="322" w:lineRule="exact" w:before="0" w:after="0"/>
        <w:ind w:left="918" w:right="0" w:hanging="165"/>
        <w:jc w:val="left"/>
        <w:rPr>
          <w:sz w:val="28"/>
        </w:rPr>
      </w:pPr>
      <w:r>
        <w:rPr>
          <w:sz w:val="28"/>
        </w:rPr>
        <w:t>масова частка вологи і летучих речовин, % -</w:t>
      </w:r>
      <w:r>
        <w:rPr>
          <w:spacing w:val="10"/>
          <w:sz w:val="28"/>
        </w:rPr>
        <w:t> </w:t>
      </w:r>
      <w:r>
        <w:rPr>
          <w:sz w:val="28"/>
        </w:rPr>
        <w:t>0,10;</w:t>
      </w:r>
    </w:p>
    <w:p>
      <w:pPr>
        <w:pStyle w:val="ListParagraph"/>
        <w:numPr>
          <w:ilvl w:val="0"/>
          <w:numId w:val="32"/>
        </w:numPr>
        <w:tabs>
          <w:tab w:pos="919" w:val="left" w:leader="none"/>
        </w:tabs>
        <w:spacing w:line="322" w:lineRule="exact" w:before="0" w:after="0"/>
        <w:ind w:left="918" w:right="0" w:hanging="165"/>
        <w:jc w:val="left"/>
        <w:rPr>
          <w:sz w:val="28"/>
        </w:rPr>
      </w:pPr>
      <w:r>
        <w:rPr>
          <w:sz w:val="28"/>
        </w:rPr>
        <w:t>температура спалаху, °С -</w:t>
      </w:r>
      <w:r>
        <w:rPr>
          <w:spacing w:val="10"/>
          <w:sz w:val="28"/>
        </w:rPr>
        <w:t> </w:t>
      </w:r>
      <w:r>
        <w:rPr>
          <w:sz w:val="28"/>
        </w:rPr>
        <w:t>225-234;</w:t>
      </w:r>
    </w:p>
    <w:p>
      <w:pPr>
        <w:pStyle w:val="ListParagraph"/>
        <w:numPr>
          <w:ilvl w:val="0"/>
          <w:numId w:val="32"/>
        </w:numPr>
        <w:tabs>
          <w:tab w:pos="919" w:val="left" w:leader="none"/>
        </w:tabs>
        <w:spacing w:line="240" w:lineRule="auto" w:before="0" w:after="0"/>
        <w:ind w:left="918" w:right="0" w:hanging="165"/>
        <w:jc w:val="left"/>
        <w:rPr>
          <w:sz w:val="28"/>
        </w:rPr>
      </w:pPr>
      <w:r>
        <w:rPr/>
        <w:pict>
          <v:line style="position:absolute;mso-position-horizontal-relative:page;mso-position-vertical-relative:paragraph;z-index:-267128832" from="210.910839pt,19.236216pt" to="197.934341pt,37.450352pt" stroked="true" strokeweight=".500430pt" strokecolor="#000000">
            <v:stroke dashstyle="solid"/>
            <w10:wrap type="none"/>
          </v:line>
        </w:pict>
      </w:r>
      <w:r>
        <w:rPr>
          <w:sz w:val="28"/>
        </w:rPr>
        <w:t>ступінь прозорості, фем -</w:t>
      </w:r>
      <w:r>
        <w:rPr>
          <w:spacing w:val="8"/>
          <w:sz w:val="28"/>
        </w:rPr>
        <w:t> </w:t>
      </w:r>
      <w:r>
        <w:rPr>
          <w:sz w:val="28"/>
        </w:rPr>
        <w:t>25;</w:t>
      </w:r>
    </w:p>
    <w:p>
      <w:pPr>
        <w:spacing w:after="0" w:line="240" w:lineRule="auto"/>
        <w:jc w:val="left"/>
        <w:rPr>
          <w:sz w:val="28"/>
        </w:rPr>
        <w:sectPr>
          <w:pgSz w:w="11910" w:h="16840"/>
          <w:pgMar w:header="713" w:footer="778" w:top="1140" w:bottom="960" w:left="940" w:right="520"/>
        </w:sectPr>
      </w:pPr>
    </w:p>
    <w:p>
      <w:pPr>
        <w:pStyle w:val="ListParagraph"/>
        <w:numPr>
          <w:ilvl w:val="0"/>
          <w:numId w:val="32"/>
        </w:numPr>
        <w:tabs>
          <w:tab w:pos="919" w:val="left" w:leader="none"/>
        </w:tabs>
        <w:spacing w:line="240" w:lineRule="auto" w:before="43" w:after="0"/>
        <w:ind w:left="918" w:right="0" w:hanging="165"/>
        <w:jc w:val="left"/>
        <w:rPr>
          <w:sz w:val="28"/>
        </w:rPr>
      </w:pPr>
      <w:r>
        <w:rPr>
          <w:sz w:val="28"/>
        </w:rPr>
        <w:t>перекісне</w:t>
      </w:r>
      <w:r>
        <w:rPr>
          <w:spacing w:val="-7"/>
          <w:sz w:val="28"/>
        </w:rPr>
        <w:t> </w:t>
      </w:r>
      <w:r>
        <w:rPr>
          <w:spacing w:val="-3"/>
          <w:sz w:val="28"/>
        </w:rPr>
        <w:t>число,</w:t>
      </w:r>
    </w:p>
    <w:p>
      <w:pPr>
        <w:spacing w:before="20"/>
        <w:ind w:left="100" w:right="0" w:firstLine="0"/>
        <w:jc w:val="left"/>
        <w:rPr>
          <w:sz w:val="28"/>
        </w:rPr>
      </w:pPr>
      <w:r>
        <w:rPr/>
        <w:br w:type="column"/>
      </w:r>
      <w:r>
        <w:rPr>
          <w:position w:val="6"/>
          <w:sz w:val="24"/>
        </w:rPr>
        <w:t>1</w:t>
      </w:r>
      <w:r>
        <w:rPr>
          <w:position w:val="-11"/>
          <w:sz w:val="24"/>
        </w:rPr>
        <w:t>2 </w:t>
      </w:r>
      <w:r>
        <w:rPr>
          <w:sz w:val="28"/>
        </w:rPr>
        <w:t>О ммоль/кг - 5.</w:t>
      </w:r>
    </w:p>
    <w:p>
      <w:pPr>
        <w:spacing w:after="0"/>
        <w:jc w:val="left"/>
        <w:rPr>
          <w:sz w:val="28"/>
        </w:rPr>
        <w:sectPr>
          <w:type w:val="continuous"/>
          <w:pgSz w:w="11910" w:h="16840"/>
          <w:pgMar w:top="1140" w:bottom="280" w:left="940" w:right="520"/>
          <w:cols w:num="2" w:equalWidth="0">
            <w:col w:w="2896" w:space="40"/>
            <w:col w:w="7514"/>
          </w:cols>
        </w:sectPr>
      </w:pPr>
    </w:p>
    <w:p>
      <w:pPr>
        <w:pStyle w:val="BodyText"/>
        <w:spacing w:before="4"/>
        <w:ind w:right="608" w:firstLine="561"/>
      </w:pPr>
      <w:r>
        <w:rPr/>
        <w:t>Такий</w:t>
      </w:r>
      <w:r>
        <w:rPr>
          <w:spacing w:val="-20"/>
        </w:rPr>
        <w:t> </w:t>
      </w:r>
      <w:r>
        <w:rPr/>
        <w:t>ефект</w:t>
      </w:r>
      <w:r>
        <w:rPr>
          <w:spacing w:val="-21"/>
        </w:rPr>
        <w:t> </w:t>
      </w:r>
      <w:r>
        <w:rPr/>
        <w:t>досягається</w:t>
      </w:r>
      <w:r>
        <w:rPr>
          <w:spacing w:val="-17"/>
        </w:rPr>
        <w:t> </w:t>
      </w:r>
      <w:r>
        <w:rPr/>
        <w:t>використанням</w:t>
      </w:r>
      <w:r>
        <w:rPr>
          <w:spacing w:val="-18"/>
        </w:rPr>
        <w:t> </w:t>
      </w:r>
      <w:r>
        <w:rPr/>
        <w:t>при</w:t>
      </w:r>
      <w:r>
        <w:rPr>
          <w:spacing w:val="-19"/>
        </w:rPr>
        <w:t> </w:t>
      </w:r>
      <w:r>
        <w:rPr/>
        <w:t>виробництві</w:t>
      </w:r>
      <w:r>
        <w:rPr>
          <w:spacing w:val="-24"/>
        </w:rPr>
        <w:t> </w:t>
      </w:r>
      <w:r>
        <w:rPr/>
        <w:t>олії</w:t>
      </w:r>
      <w:r>
        <w:rPr>
          <w:spacing w:val="-24"/>
        </w:rPr>
        <w:t> </w:t>
      </w:r>
      <w:r>
        <w:rPr/>
        <w:t>тільки</w:t>
      </w:r>
      <w:r>
        <w:rPr>
          <w:spacing w:val="-20"/>
        </w:rPr>
        <w:t> </w:t>
      </w:r>
      <w:r>
        <w:rPr/>
        <w:t>фізико- механічних процесів без використання хімічної обробки.[4]. Технологія реалізовується компактною установкою, яка виконана по модульно – блочному типу, якою легко керувати. Розроблене енергозберігаюче устаткування може бути використане в міні-цехах агропромислового</w:t>
      </w:r>
      <w:r>
        <w:rPr>
          <w:spacing w:val="-4"/>
        </w:rPr>
        <w:t> </w:t>
      </w:r>
      <w:r>
        <w:rPr/>
        <w:t>комплексу.</w:t>
      </w:r>
    </w:p>
    <w:p>
      <w:pPr>
        <w:pStyle w:val="BodyText"/>
        <w:ind w:right="613" w:firstLine="561"/>
      </w:pPr>
      <w:r>
        <w:rPr>
          <w:b/>
        </w:rPr>
        <w:t>Висновки. </w:t>
      </w:r>
      <w:r>
        <w:rPr/>
        <w:t>Запропанована установка для дезодорації рослинної олії дає змогу отримати екологічно чисту рослинну олію по безвідхідній технології в умовах фермерських господарств, підвищити ефективність отримання висвітленої екологічно чистої рослинної олії при зберіганні органолептичних якостей</w:t>
      </w:r>
      <w:r>
        <w:rPr>
          <w:spacing w:val="-15"/>
        </w:rPr>
        <w:t> </w:t>
      </w:r>
      <w:r>
        <w:rPr/>
        <w:t>та</w:t>
      </w:r>
      <w:r>
        <w:rPr>
          <w:spacing w:val="-13"/>
        </w:rPr>
        <w:t> </w:t>
      </w:r>
      <w:r>
        <w:rPr/>
        <w:t>смакових</w:t>
      </w:r>
      <w:r>
        <w:rPr>
          <w:spacing w:val="-18"/>
        </w:rPr>
        <w:t> </w:t>
      </w:r>
      <w:r>
        <w:rPr/>
        <w:t>цінностей</w:t>
      </w:r>
      <w:r>
        <w:rPr>
          <w:spacing w:val="-15"/>
        </w:rPr>
        <w:t> </w:t>
      </w:r>
      <w:r>
        <w:rPr/>
        <w:t>продукту</w:t>
      </w:r>
      <w:r>
        <w:rPr>
          <w:spacing w:val="-14"/>
        </w:rPr>
        <w:t> </w:t>
      </w:r>
      <w:r>
        <w:rPr/>
        <w:t>,</w:t>
      </w:r>
      <w:r>
        <w:rPr>
          <w:spacing w:val="-12"/>
        </w:rPr>
        <w:t> </w:t>
      </w:r>
      <w:r>
        <w:rPr/>
        <w:t>одноразово</w:t>
      </w:r>
      <w:r>
        <w:rPr>
          <w:spacing w:val="-14"/>
        </w:rPr>
        <w:t> </w:t>
      </w:r>
      <w:r>
        <w:rPr/>
        <w:t>зі</w:t>
      </w:r>
      <w:r>
        <w:rPr>
          <w:spacing w:val="-19"/>
        </w:rPr>
        <w:t> </w:t>
      </w:r>
      <w:r>
        <w:rPr/>
        <w:t>спрощенням</w:t>
      </w:r>
      <w:r>
        <w:rPr>
          <w:spacing w:val="-13"/>
        </w:rPr>
        <w:t> </w:t>
      </w:r>
      <w:r>
        <w:rPr/>
        <w:t>конструкції та</w:t>
      </w:r>
      <w:r>
        <w:rPr>
          <w:spacing w:val="-19"/>
        </w:rPr>
        <w:t> </w:t>
      </w:r>
      <w:r>
        <w:rPr/>
        <w:t>зменшенням</w:t>
      </w:r>
      <w:r>
        <w:rPr>
          <w:spacing w:val="-19"/>
        </w:rPr>
        <w:t> </w:t>
      </w:r>
      <w:r>
        <w:rPr/>
        <w:t>габаритних</w:t>
      </w:r>
      <w:r>
        <w:rPr>
          <w:spacing w:val="-24"/>
        </w:rPr>
        <w:t> </w:t>
      </w:r>
      <w:r>
        <w:rPr/>
        <w:t>розмірів</w:t>
      </w:r>
      <w:r>
        <w:rPr>
          <w:spacing w:val="-18"/>
        </w:rPr>
        <w:t> </w:t>
      </w:r>
      <w:r>
        <w:rPr/>
        <w:t>установки,</w:t>
      </w:r>
      <w:r>
        <w:rPr>
          <w:spacing w:val="-18"/>
        </w:rPr>
        <w:t> </w:t>
      </w:r>
      <w:r>
        <w:rPr/>
        <w:t>зниженням</w:t>
      </w:r>
      <w:r>
        <w:rPr>
          <w:spacing w:val="-18"/>
        </w:rPr>
        <w:t> </w:t>
      </w:r>
      <w:r>
        <w:rPr/>
        <w:t>енергоспоживання</w:t>
      </w:r>
      <w:r>
        <w:rPr>
          <w:spacing w:val="-19"/>
        </w:rPr>
        <w:t> </w:t>
      </w:r>
      <w:r>
        <w:rPr/>
        <w:t>на реалізацію технологічного</w:t>
      </w:r>
      <w:r>
        <w:rPr>
          <w:spacing w:val="-1"/>
        </w:rPr>
        <w:t> </w:t>
      </w:r>
      <w:r>
        <w:rPr/>
        <w:t>процесу.</w:t>
      </w:r>
    </w:p>
    <w:p>
      <w:pPr>
        <w:pStyle w:val="Heading1"/>
        <w:spacing w:line="319" w:lineRule="exact" w:before="6"/>
        <w:ind w:left="750"/>
      </w:pPr>
      <w:r>
        <w:rPr/>
        <w:t>ЛІТЕРАТУРА</w:t>
      </w:r>
    </w:p>
    <w:p>
      <w:pPr>
        <w:pStyle w:val="ListParagraph"/>
        <w:numPr>
          <w:ilvl w:val="0"/>
          <w:numId w:val="33"/>
        </w:numPr>
        <w:tabs>
          <w:tab w:pos="1399" w:val="left" w:leader="none"/>
        </w:tabs>
        <w:spacing w:line="240" w:lineRule="auto" w:before="0" w:after="0"/>
        <w:ind w:left="193" w:right="617" w:firstLine="710"/>
        <w:jc w:val="both"/>
        <w:rPr>
          <w:sz w:val="28"/>
        </w:rPr>
      </w:pPr>
      <w:r>
        <w:rPr>
          <w:sz w:val="28"/>
        </w:rPr>
        <w:t>Копейковский В.М., Данильчук С.Ц. и др.,  „Технология производства  растительных  масел".-  М.:  Легкая  и  пищевая промышленность,</w:t>
      </w:r>
      <w:r>
        <w:rPr>
          <w:spacing w:val="3"/>
          <w:sz w:val="28"/>
        </w:rPr>
        <w:t> </w:t>
      </w:r>
      <w:r>
        <w:rPr>
          <w:sz w:val="28"/>
        </w:rPr>
        <w:t>1982-416с.</w:t>
      </w:r>
    </w:p>
    <w:p>
      <w:pPr>
        <w:spacing w:after="0" w:line="240" w:lineRule="auto"/>
        <w:jc w:val="both"/>
        <w:rPr>
          <w:sz w:val="28"/>
        </w:rPr>
        <w:sectPr>
          <w:type w:val="continuous"/>
          <w:pgSz w:w="11910" w:h="16840"/>
          <w:pgMar w:top="1140" w:bottom="280" w:left="940" w:right="520"/>
        </w:sectPr>
      </w:pPr>
    </w:p>
    <w:p>
      <w:pPr>
        <w:pStyle w:val="ListParagraph"/>
        <w:numPr>
          <w:ilvl w:val="0"/>
          <w:numId w:val="33"/>
        </w:numPr>
        <w:tabs>
          <w:tab w:pos="1173" w:val="left" w:leader="none"/>
        </w:tabs>
        <w:spacing w:line="240" w:lineRule="auto" w:before="92" w:after="0"/>
        <w:ind w:left="193" w:right="616" w:firstLine="710"/>
        <w:jc w:val="both"/>
        <w:rPr>
          <w:sz w:val="28"/>
        </w:rPr>
      </w:pPr>
      <w:r>
        <w:rPr>
          <w:sz w:val="28"/>
        </w:rPr>
        <w:t>Шевчук</w:t>
      </w:r>
      <w:r>
        <w:rPr>
          <w:spacing w:val="-21"/>
          <w:sz w:val="28"/>
        </w:rPr>
        <w:t> </w:t>
      </w:r>
      <w:r>
        <w:rPr>
          <w:sz w:val="28"/>
        </w:rPr>
        <w:t>Р.,</w:t>
      </w:r>
      <w:r>
        <w:rPr>
          <w:spacing w:val="-17"/>
          <w:sz w:val="28"/>
        </w:rPr>
        <w:t> </w:t>
      </w:r>
      <w:r>
        <w:rPr>
          <w:sz w:val="28"/>
        </w:rPr>
        <w:t>Василькевич</w:t>
      </w:r>
      <w:r>
        <w:rPr>
          <w:spacing w:val="-16"/>
          <w:sz w:val="28"/>
        </w:rPr>
        <w:t> </w:t>
      </w:r>
      <w:r>
        <w:rPr>
          <w:sz w:val="28"/>
        </w:rPr>
        <w:t>В.,</w:t>
      </w:r>
      <w:r>
        <w:rPr>
          <w:spacing w:val="-17"/>
          <w:sz w:val="28"/>
        </w:rPr>
        <w:t> </w:t>
      </w:r>
      <w:r>
        <w:rPr>
          <w:sz w:val="28"/>
        </w:rPr>
        <w:t>Шевчук</w:t>
      </w:r>
      <w:r>
        <w:rPr>
          <w:spacing w:val="-16"/>
          <w:sz w:val="28"/>
        </w:rPr>
        <w:t> </w:t>
      </w:r>
      <w:r>
        <w:rPr>
          <w:sz w:val="28"/>
        </w:rPr>
        <w:t>В.,</w:t>
      </w:r>
      <w:r>
        <w:rPr>
          <w:spacing w:val="-18"/>
          <w:sz w:val="28"/>
        </w:rPr>
        <w:t> </w:t>
      </w:r>
      <w:r>
        <w:rPr>
          <w:sz w:val="28"/>
        </w:rPr>
        <w:t>Том’юк</w:t>
      </w:r>
      <w:r>
        <w:rPr>
          <w:spacing w:val="-20"/>
          <w:sz w:val="28"/>
        </w:rPr>
        <w:t> </w:t>
      </w:r>
      <w:r>
        <w:rPr>
          <w:sz w:val="28"/>
        </w:rPr>
        <w:t>В.</w:t>
      </w:r>
      <w:r>
        <w:rPr>
          <w:spacing w:val="-17"/>
          <w:sz w:val="28"/>
        </w:rPr>
        <w:t> </w:t>
      </w:r>
      <w:r>
        <w:rPr>
          <w:sz w:val="28"/>
        </w:rPr>
        <w:t>Комплекс</w:t>
      </w:r>
      <w:r>
        <w:rPr>
          <w:spacing w:val="-19"/>
          <w:sz w:val="28"/>
        </w:rPr>
        <w:t> </w:t>
      </w:r>
      <w:r>
        <w:rPr>
          <w:sz w:val="28"/>
        </w:rPr>
        <w:t>обладнання для</w:t>
      </w:r>
      <w:r>
        <w:rPr>
          <w:spacing w:val="-9"/>
          <w:sz w:val="28"/>
        </w:rPr>
        <w:t> </w:t>
      </w:r>
      <w:r>
        <w:rPr>
          <w:sz w:val="28"/>
        </w:rPr>
        <w:t>отримання</w:t>
      </w:r>
      <w:r>
        <w:rPr>
          <w:spacing w:val="-10"/>
          <w:sz w:val="28"/>
        </w:rPr>
        <w:t> </w:t>
      </w:r>
      <w:r>
        <w:rPr>
          <w:sz w:val="28"/>
        </w:rPr>
        <w:t>рослинної</w:t>
      </w:r>
      <w:r>
        <w:rPr>
          <w:spacing w:val="-16"/>
          <w:sz w:val="28"/>
        </w:rPr>
        <w:t> </w:t>
      </w:r>
      <w:r>
        <w:rPr>
          <w:sz w:val="28"/>
        </w:rPr>
        <w:t>олії</w:t>
      </w:r>
      <w:r>
        <w:rPr>
          <w:spacing w:val="-11"/>
          <w:sz w:val="28"/>
        </w:rPr>
        <w:t> </w:t>
      </w:r>
      <w:r>
        <w:rPr>
          <w:sz w:val="28"/>
        </w:rPr>
        <w:t>в</w:t>
      </w:r>
      <w:r>
        <w:rPr>
          <w:spacing w:val="-13"/>
          <w:sz w:val="28"/>
        </w:rPr>
        <w:t> </w:t>
      </w:r>
      <w:r>
        <w:rPr>
          <w:sz w:val="28"/>
        </w:rPr>
        <w:t>малих</w:t>
      </w:r>
      <w:r>
        <w:rPr>
          <w:spacing w:val="-15"/>
          <w:sz w:val="28"/>
        </w:rPr>
        <w:t> </w:t>
      </w:r>
      <w:r>
        <w:rPr>
          <w:sz w:val="28"/>
        </w:rPr>
        <w:t>переробних</w:t>
      </w:r>
      <w:r>
        <w:rPr>
          <w:spacing w:val="-16"/>
          <w:sz w:val="28"/>
        </w:rPr>
        <w:t> </w:t>
      </w:r>
      <w:r>
        <w:rPr>
          <w:sz w:val="28"/>
        </w:rPr>
        <w:t>цехах</w:t>
      </w:r>
      <w:r>
        <w:rPr>
          <w:spacing w:val="-15"/>
          <w:sz w:val="28"/>
        </w:rPr>
        <w:t> </w:t>
      </w:r>
      <w:r>
        <w:rPr>
          <w:sz w:val="28"/>
        </w:rPr>
        <w:t>.</w:t>
      </w:r>
      <w:r>
        <w:rPr>
          <w:spacing w:val="-9"/>
          <w:sz w:val="28"/>
        </w:rPr>
        <w:t> </w:t>
      </w:r>
      <w:r>
        <w:rPr>
          <w:sz w:val="28"/>
        </w:rPr>
        <w:t>//</w:t>
      </w:r>
      <w:r>
        <w:rPr>
          <w:spacing w:val="-12"/>
          <w:sz w:val="28"/>
        </w:rPr>
        <w:t> </w:t>
      </w:r>
      <w:r>
        <w:rPr>
          <w:sz w:val="28"/>
        </w:rPr>
        <w:t>Техніка</w:t>
      </w:r>
      <w:r>
        <w:rPr>
          <w:spacing w:val="-10"/>
          <w:sz w:val="28"/>
        </w:rPr>
        <w:t> </w:t>
      </w:r>
      <w:r>
        <w:rPr>
          <w:sz w:val="28"/>
        </w:rPr>
        <w:t>та</w:t>
      </w:r>
      <w:r>
        <w:rPr>
          <w:spacing w:val="-6"/>
          <w:sz w:val="28"/>
        </w:rPr>
        <w:t> </w:t>
      </w:r>
      <w:r>
        <w:rPr>
          <w:sz w:val="28"/>
        </w:rPr>
        <w:t>технології АПК, №9 (24), 2011, с.11 –</w:t>
      </w:r>
      <w:r>
        <w:rPr>
          <w:spacing w:val="18"/>
          <w:sz w:val="28"/>
        </w:rPr>
        <w:t> </w:t>
      </w:r>
      <w:r>
        <w:rPr>
          <w:sz w:val="28"/>
        </w:rPr>
        <w:t>14.</w:t>
      </w:r>
    </w:p>
    <w:p>
      <w:pPr>
        <w:pStyle w:val="ListParagraph"/>
        <w:numPr>
          <w:ilvl w:val="0"/>
          <w:numId w:val="33"/>
        </w:numPr>
        <w:tabs>
          <w:tab w:pos="1235" w:val="left" w:leader="none"/>
        </w:tabs>
        <w:spacing w:line="240" w:lineRule="auto" w:before="0" w:after="0"/>
        <w:ind w:left="193" w:right="613" w:firstLine="710"/>
        <w:jc w:val="both"/>
        <w:rPr>
          <w:sz w:val="28"/>
        </w:rPr>
      </w:pPr>
      <w:r>
        <w:rPr>
          <w:sz w:val="28"/>
        </w:rPr>
        <w:t>В.А.Бакланов, А.Г.Халмуратов, А.І.Аскіназі, Журнал "Олійно-жирова промисловість", 1996, №7.Установка для дезодорації олії фірми</w:t>
      </w:r>
      <w:r>
        <w:rPr>
          <w:spacing w:val="-24"/>
          <w:sz w:val="28"/>
        </w:rPr>
        <w:t> </w:t>
      </w:r>
      <w:r>
        <w:rPr>
          <w:sz w:val="28"/>
        </w:rPr>
        <w:t>КІРХФЕЛЬД.</w:t>
      </w:r>
    </w:p>
    <w:p>
      <w:pPr>
        <w:pStyle w:val="ListParagraph"/>
        <w:numPr>
          <w:ilvl w:val="0"/>
          <w:numId w:val="33"/>
        </w:numPr>
        <w:tabs>
          <w:tab w:pos="1187" w:val="left" w:leader="none"/>
        </w:tabs>
        <w:spacing w:line="240" w:lineRule="auto" w:before="3" w:after="0"/>
        <w:ind w:left="193" w:right="612" w:firstLine="710"/>
        <w:jc w:val="both"/>
        <w:rPr>
          <w:sz w:val="28"/>
        </w:rPr>
      </w:pPr>
      <w:r>
        <w:rPr>
          <w:sz w:val="28"/>
        </w:rPr>
        <w:t>С. М. Уминський. Гідродинамічна установка для дезодорації</w:t>
      </w:r>
      <w:r>
        <w:rPr>
          <w:spacing w:val="-40"/>
          <w:sz w:val="28"/>
        </w:rPr>
        <w:t> </w:t>
      </w:r>
      <w:r>
        <w:rPr>
          <w:sz w:val="28"/>
        </w:rPr>
        <w:t>рослинних олій Патент на корисну модель UA 136371 U А 23К Заявлено 21.03.2019р.Опубл.12.08.2019.Бюл</w:t>
      </w:r>
      <w:r>
        <w:rPr>
          <w:spacing w:val="1"/>
          <w:sz w:val="28"/>
        </w:rPr>
        <w:t> </w:t>
      </w:r>
      <w:r>
        <w:rPr>
          <w:sz w:val="28"/>
        </w:rPr>
        <w:t>.№15.</w:t>
      </w:r>
    </w:p>
    <w:p>
      <w:pPr>
        <w:pStyle w:val="BodyText"/>
        <w:spacing w:before="3"/>
        <w:ind w:left="0"/>
        <w:jc w:val="left"/>
      </w:pPr>
    </w:p>
    <w:p>
      <w:pPr>
        <w:pStyle w:val="Heading1"/>
        <w:ind w:left="3232" w:right="0" w:hanging="2267"/>
        <w:jc w:val="left"/>
      </w:pPr>
      <w:r>
        <w:rPr/>
        <w:t>ГИДРОДИНАМИЧЕСКОЕ </w:t>
      </w:r>
      <w:r>
        <w:rPr>
          <w:spacing w:val="-9"/>
        </w:rPr>
        <w:t>ОБОРУДОВАНИЕ </w:t>
      </w:r>
      <w:r>
        <w:rPr>
          <w:spacing w:val="-6"/>
        </w:rPr>
        <w:t>ДЛЯ </w:t>
      </w:r>
      <w:r>
        <w:rPr>
          <w:spacing w:val="-8"/>
        </w:rPr>
        <w:t>ДЕЗОДОРАЦИИ РАСТИТЕЛЬНОГО </w:t>
      </w:r>
      <w:r>
        <w:rPr>
          <w:spacing w:val="-7"/>
        </w:rPr>
        <w:t>МАСЛА</w:t>
      </w:r>
    </w:p>
    <w:p>
      <w:pPr>
        <w:pStyle w:val="BodyText"/>
        <w:spacing w:line="317" w:lineRule="exact"/>
        <w:ind w:left="754" w:firstLine="365"/>
      </w:pPr>
      <w:r>
        <w:rPr/>
        <w:t>Уминский С., Макарчук В., Королькова М., Дмитриева С., Житков С.</w:t>
      </w:r>
    </w:p>
    <w:p>
      <w:pPr>
        <w:spacing w:line="240" w:lineRule="auto" w:before="0"/>
        <w:ind w:left="193" w:right="612" w:firstLine="561"/>
        <w:jc w:val="both"/>
        <w:rPr>
          <w:i/>
          <w:sz w:val="28"/>
        </w:rPr>
      </w:pPr>
      <w:r>
        <w:rPr>
          <w:i/>
          <w:sz w:val="28"/>
        </w:rPr>
        <w:t>Качество и безопасность потребления жировых продуктов питания </w:t>
      </w:r>
      <w:r>
        <w:rPr>
          <w:i/>
          <w:sz w:val="28"/>
        </w:rPr>
        <w:t>является первоочередной задачей инновационного развития масложировой промышленности. Описана гидродинамическая установка для дезодорации растительного масла в условиях фермерских хозяйств агропроизводства. Предложенная установка для дезодорации растительного масла позволяет получать</w:t>
      </w:r>
      <w:r>
        <w:rPr>
          <w:i/>
          <w:spacing w:val="-22"/>
          <w:sz w:val="28"/>
        </w:rPr>
        <w:t> </w:t>
      </w:r>
      <w:r>
        <w:rPr>
          <w:i/>
          <w:sz w:val="28"/>
        </w:rPr>
        <w:t>экологически</w:t>
      </w:r>
      <w:r>
        <w:rPr>
          <w:i/>
          <w:spacing w:val="-22"/>
          <w:sz w:val="28"/>
        </w:rPr>
        <w:t> </w:t>
      </w:r>
      <w:r>
        <w:rPr>
          <w:i/>
          <w:sz w:val="28"/>
        </w:rPr>
        <w:t>чистое</w:t>
      </w:r>
      <w:r>
        <w:rPr>
          <w:i/>
          <w:spacing w:val="-19"/>
          <w:sz w:val="28"/>
        </w:rPr>
        <w:t> </w:t>
      </w:r>
      <w:r>
        <w:rPr>
          <w:i/>
          <w:sz w:val="28"/>
        </w:rPr>
        <w:t>растительное</w:t>
      </w:r>
      <w:r>
        <w:rPr>
          <w:i/>
          <w:spacing w:val="-20"/>
          <w:sz w:val="28"/>
        </w:rPr>
        <w:t> </w:t>
      </w:r>
      <w:r>
        <w:rPr>
          <w:i/>
          <w:sz w:val="28"/>
        </w:rPr>
        <w:t>масло</w:t>
      </w:r>
      <w:r>
        <w:rPr>
          <w:i/>
          <w:spacing w:val="-21"/>
          <w:sz w:val="28"/>
        </w:rPr>
        <w:t> </w:t>
      </w:r>
      <w:r>
        <w:rPr>
          <w:i/>
          <w:sz w:val="28"/>
        </w:rPr>
        <w:t>по</w:t>
      </w:r>
      <w:r>
        <w:rPr>
          <w:i/>
          <w:spacing w:val="-21"/>
          <w:sz w:val="28"/>
        </w:rPr>
        <w:t> </w:t>
      </w:r>
      <w:r>
        <w:rPr>
          <w:i/>
          <w:sz w:val="28"/>
        </w:rPr>
        <w:t>безотходной</w:t>
      </w:r>
      <w:r>
        <w:rPr>
          <w:i/>
          <w:spacing w:val="-20"/>
          <w:sz w:val="28"/>
        </w:rPr>
        <w:t> </w:t>
      </w:r>
      <w:r>
        <w:rPr>
          <w:i/>
          <w:sz w:val="28"/>
        </w:rPr>
        <w:t>технологии, повысить эффективность получения осветленного экологически чистого растительного масла при сохранении органолептических качеств и вкусовых ценностей продукта, совместно с упрощением конструкции и уменьшением габаритных</w:t>
      </w:r>
      <w:r>
        <w:rPr>
          <w:i/>
          <w:spacing w:val="-11"/>
          <w:sz w:val="28"/>
        </w:rPr>
        <w:t> </w:t>
      </w:r>
      <w:r>
        <w:rPr>
          <w:i/>
          <w:sz w:val="28"/>
        </w:rPr>
        <w:t>размеров</w:t>
      </w:r>
      <w:r>
        <w:rPr>
          <w:i/>
          <w:spacing w:val="-12"/>
          <w:sz w:val="28"/>
        </w:rPr>
        <w:t> </w:t>
      </w:r>
      <w:r>
        <w:rPr>
          <w:i/>
          <w:sz w:val="28"/>
        </w:rPr>
        <w:t>установки,</w:t>
      </w:r>
      <w:r>
        <w:rPr>
          <w:i/>
          <w:spacing w:val="-10"/>
          <w:sz w:val="28"/>
        </w:rPr>
        <w:t> </w:t>
      </w:r>
      <w:r>
        <w:rPr>
          <w:i/>
          <w:sz w:val="28"/>
        </w:rPr>
        <w:t>снижением</w:t>
      </w:r>
      <w:r>
        <w:rPr>
          <w:i/>
          <w:spacing w:val="-11"/>
          <w:sz w:val="28"/>
        </w:rPr>
        <w:t> </w:t>
      </w:r>
      <w:r>
        <w:rPr>
          <w:i/>
          <w:sz w:val="28"/>
        </w:rPr>
        <w:t>энергопотребления</w:t>
      </w:r>
      <w:r>
        <w:rPr>
          <w:i/>
          <w:spacing w:val="-10"/>
          <w:sz w:val="28"/>
        </w:rPr>
        <w:t> </w:t>
      </w:r>
      <w:r>
        <w:rPr>
          <w:i/>
          <w:sz w:val="28"/>
        </w:rPr>
        <w:t>на</w:t>
      </w:r>
      <w:r>
        <w:rPr>
          <w:i/>
          <w:spacing w:val="-11"/>
          <w:sz w:val="28"/>
        </w:rPr>
        <w:t> </w:t>
      </w:r>
      <w:r>
        <w:rPr>
          <w:i/>
          <w:sz w:val="28"/>
        </w:rPr>
        <w:t>реализацию технологического процесса.</w:t>
      </w:r>
    </w:p>
    <w:p>
      <w:pPr>
        <w:spacing w:before="2"/>
        <w:ind w:left="193" w:right="618" w:firstLine="710"/>
        <w:jc w:val="both"/>
        <w:rPr>
          <w:i/>
          <w:sz w:val="28"/>
        </w:rPr>
      </w:pPr>
      <w:r>
        <w:rPr>
          <w:b/>
          <w:i/>
          <w:sz w:val="28"/>
        </w:rPr>
        <w:t>Ключевые слова: </w:t>
      </w:r>
      <w:r>
        <w:rPr>
          <w:i/>
          <w:sz w:val="28"/>
        </w:rPr>
        <w:t>подсолнечное масло, очистка, механические примеси, </w:t>
      </w:r>
      <w:r>
        <w:rPr>
          <w:i/>
          <w:sz w:val="28"/>
        </w:rPr>
        <w:t>фракция, микрофильтрация, освещение, гидродинамическая обработка.</w:t>
      </w:r>
    </w:p>
    <w:p>
      <w:pPr>
        <w:pStyle w:val="BodyText"/>
        <w:spacing w:before="4"/>
        <w:ind w:left="0"/>
        <w:jc w:val="left"/>
        <w:rPr>
          <w:i/>
        </w:rPr>
      </w:pPr>
    </w:p>
    <w:p>
      <w:pPr>
        <w:pStyle w:val="Heading1"/>
        <w:spacing w:line="322" w:lineRule="exact"/>
        <w:ind w:left="1513" w:right="0"/>
        <w:jc w:val="left"/>
      </w:pPr>
      <w:r>
        <w:rPr/>
        <w:t>HYDRODYNAMIC EQUIPMENT FOR DEODORATION OF</w:t>
      </w:r>
    </w:p>
    <w:p>
      <w:pPr>
        <w:spacing w:line="319" w:lineRule="exact" w:before="0"/>
        <w:ind w:left="181" w:right="603" w:firstLine="0"/>
        <w:jc w:val="center"/>
        <w:rPr>
          <w:b/>
          <w:sz w:val="28"/>
        </w:rPr>
      </w:pPr>
      <w:r>
        <w:rPr>
          <w:b/>
          <w:sz w:val="28"/>
        </w:rPr>
        <w:t>VEGETABLE OIL</w:t>
      </w:r>
    </w:p>
    <w:p>
      <w:pPr>
        <w:pStyle w:val="BodyText"/>
        <w:spacing w:line="319" w:lineRule="exact"/>
        <w:ind w:left="1408"/>
        <w:jc w:val="left"/>
      </w:pPr>
      <w:r>
        <w:rPr/>
        <w:t>Uminskij S., Makarchuk V., Korol'kova M., Dmitrieva S., Zhitkov S.</w:t>
      </w:r>
    </w:p>
    <w:p>
      <w:pPr>
        <w:pStyle w:val="BodyText"/>
        <w:jc w:val="left"/>
      </w:pPr>
      <w:r>
        <w:rPr>
          <w:b/>
        </w:rPr>
        <w:t>Key words: </w:t>
      </w:r>
      <w:r>
        <w:rPr/>
        <w:t>sunflower oil, clearing, mechanical impurity, fraction, a microfiltration, illumination, hydrodynamical processing.</w:t>
      </w:r>
    </w:p>
    <w:p>
      <w:pPr>
        <w:pStyle w:val="BodyText"/>
        <w:spacing w:before="4"/>
        <w:ind w:left="4750"/>
        <w:jc w:val="left"/>
      </w:pPr>
      <w:r>
        <w:rPr/>
        <w:t>Summary</w:t>
      </w:r>
    </w:p>
    <w:p>
      <w:pPr>
        <w:spacing w:before="0"/>
        <w:ind w:left="193" w:right="608" w:firstLine="0"/>
        <w:jc w:val="both"/>
        <w:rPr>
          <w:i/>
          <w:sz w:val="28"/>
        </w:rPr>
      </w:pPr>
      <w:r>
        <w:rPr>
          <w:i/>
          <w:sz w:val="28"/>
        </w:rPr>
        <w:t>The quality and safety of consumption of fatty foods is a priority task for innovative </w:t>
      </w:r>
      <w:r>
        <w:rPr>
          <w:i/>
          <w:sz w:val="28"/>
        </w:rPr>
        <w:t>development of the oil and fat industry. The hydrodynamic installation for deodorization of vegetable oil in the conditions of agricultural farms is given. The proposed plant for the deodorization of vegetable oil makes it possible to obtain environmentally friendly vegetable oil by waste-free technology, to increase the efficiency of obtaining clarified environmentally friendly vegetable oil while preserving the organoleptic qualities and taste values of the product, once with simplification of the design and reduction of energy technology .</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left="903" w:right="0"/>
        <w:jc w:val="both"/>
      </w:pPr>
      <w:r>
        <w:rPr/>
        <w:t>UDC</w:t>
      </w:r>
      <w:r>
        <w:rPr>
          <w:spacing w:val="-1"/>
        </w:rPr>
        <w:t> </w:t>
      </w:r>
      <w:r>
        <w:rPr/>
        <w:t>635.020</w:t>
        <w:tab/>
        <w:t>DOI: 10.37000/abbsl.2020.96.21</w:t>
      </w:r>
    </w:p>
    <w:p>
      <w:pPr>
        <w:pStyle w:val="BodyText"/>
        <w:spacing w:before="11"/>
        <w:ind w:left="0"/>
        <w:jc w:val="left"/>
        <w:rPr>
          <w:b/>
          <w:sz w:val="27"/>
        </w:rPr>
      </w:pPr>
    </w:p>
    <w:p>
      <w:pPr>
        <w:spacing w:before="0"/>
        <w:ind w:left="212" w:right="632" w:firstLine="705"/>
        <w:jc w:val="both"/>
        <w:rPr>
          <w:b/>
          <w:sz w:val="28"/>
        </w:rPr>
      </w:pPr>
      <w:r>
        <w:rPr>
          <w:b/>
          <w:sz w:val="28"/>
        </w:rPr>
        <w:t>MODELING OF THE EFFECT OF SOWING AND SATISFACTION OF GROUND ON GROWTH OF OATS DEVELOPMENT IN THE CONDITIONS</w:t>
      </w:r>
    </w:p>
    <w:p>
      <w:pPr>
        <w:spacing w:before="0"/>
        <w:ind w:left="3698" w:right="0" w:firstLine="0"/>
        <w:jc w:val="left"/>
        <w:rPr>
          <w:b/>
          <w:sz w:val="28"/>
        </w:rPr>
      </w:pPr>
      <w:r>
        <w:rPr>
          <w:b/>
          <w:sz w:val="28"/>
        </w:rPr>
        <w:t>OF ODESA REGION</w:t>
      </w:r>
    </w:p>
    <w:p>
      <w:pPr>
        <w:spacing w:line="319" w:lineRule="exact" w:before="4"/>
        <w:ind w:left="4918" w:right="0" w:firstLine="0"/>
        <w:jc w:val="left"/>
        <w:rPr>
          <w:b/>
          <w:sz w:val="28"/>
        </w:rPr>
      </w:pPr>
      <w:r>
        <w:rPr>
          <w:b/>
          <w:sz w:val="28"/>
        </w:rPr>
        <w:t>A. Ilina</w:t>
      </w:r>
    </w:p>
    <w:p>
      <w:pPr>
        <w:spacing w:line="319" w:lineRule="exact" w:before="0"/>
        <w:ind w:left="3155" w:right="0" w:firstLine="0"/>
        <w:jc w:val="left"/>
        <w:rPr>
          <w:i/>
          <w:sz w:val="28"/>
        </w:rPr>
      </w:pPr>
      <w:r>
        <w:rPr>
          <w:i/>
          <w:sz w:val="28"/>
        </w:rPr>
        <w:t>Odessa State Environmental University</w:t>
      </w:r>
    </w:p>
    <w:p>
      <w:pPr>
        <w:pStyle w:val="BodyText"/>
        <w:ind w:left="0"/>
        <w:jc w:val="left"/>
        <w:rPr>
          <w:i/>
        </w:rPr>
      </w:pPr>
    </w:p>
    <w:p>
      <w:pPr>
        <w:spacing w:line="240" w:lineRule="auto" w:before="0"/>
        <w:ind w:left="193" w:right="611" w:firstLine="710"/>
        <w:jc w:val="both"/>
        <w:rPr>
          <w:i/>
          <w:sz w:val="28"/>
        </w:rPr>
      </w:pPr>
      <w:r>
        <w:rPr>
          <w:i/>
          <w:sz w:val="28"/>
        </w:rPr>
        <w:t>Odessa region belongs to the zone with insufficient and unstable humidity </w:t>
      </w:r>
      <w:r>
        <w:rPr>
          <w:i/>
          <w:sz w:val="28"/>
        </w:rPr>
        <w:t>conditions</w:t>
      </w:r>
      <w:r>
        <w:rPr>
          <w:i/>
          <w:spacing w:val="-15"/>
          <w:sz w:val="28"/>
        </w:rPr>
        <w:t> </w:t>
      </w:r>
      <w:r>
        <w:rPr>
          <w:i/>
          <w:sz w:val="28"/>
        </w:rPr>
        <w:t>for</w:t>
      </w:r>
      <w:r>
        <w:rPr>
          <w:i/>
          <w:spacing w:val="-15"/>
          <w:sz w:val="28"/>
        </w:rPr>
        <w:t> </w:t>
      </w:r>
      <w:r>
        <w:rPr>
          <w:i/>
          <w:sz w:val="28"/>
        </w:rPr>
        <w:t>growing</w:t>
      </w:r>
      <w:r>
        <w:rPr>
          <w:i/>
          <w:spacing w:val="-15"/>
          <w:sz w:val="28"/>
        </w:rPr>
        <w:t> </w:t>
      </w:r>
      <w:r>
        <w:rPr>
          <w:i/>
          <w:sz w:val="28"/>
        </w:rPr>
        <w:t>a</w:t>
      </w:r>
      <w:r>
        <w:rPr>
          <w:i/>
          <w:spacing w:val="-11"/>
          <w:sz w:val="28"/>
        </w:rPr>
        <w:t> </w:t>
      </w:r>
      <w:r>
        <w:rPr>
          <w:i/>
          <w:sz w:val="28"/>
        </w:rPr>
        <w:t>large</w:t>
      </w:r>
      <w:r>
        <w:rPr>
          <w:i/>
          <w:spacing w:val="-15"/>
          <w:sz w:val="28"/>
        </w:rPr>
        <w:t> </w:t>
      </w:r>
      <w:r>
        <w:rPr>
          <w:i/>
          <w:sz w:val="28"/>
        </w:rPr>
        <w:t>set</w:t>
      </w:r>
      <w:r>
        <w:rPr>
          <w:i/>
          <w:spacing w:val="-15"/>
          <w:sz w:val="28"/>
        </w:rPr>
        <w:t> </w:t>
      </w:r>
      <w:r>
        <w:rPr>
          <w:i/>
          <w:sz w:val="28"/>
        </w:rPr>
        <w:t>of</w:t>
      </w:r>
      <w:r>
        <w:rPr>
          <w:i/>
          <w:spacing w:val="-16"/>
          <w:sz w:val="28"/>
        </w:rPr>
        <w:t> </w:t>
      </w:r>
      <w:r>
        <w:rPr>
          <w:i/>
          <w:sz w:val="28"/>
        </w:rPr>
        <w:t>agricultural</w:t>
      </w:r>
      <w:r>
        <w:rPr>
          <w:i/>
          <w:spacing w:val="-15"/>
          <w:sz w:val="28"/>
        </w:rPr>
        <w:t> </w:t>
      </w:r>
      <w:r>
        <w:rPr>
          <w:i/>
          <w:sz w:val="28"/>
        </w:rPr>
        <w:t>crops.</w:t>
      </w:r>
      <w:r>
        <w:rPr>
          <w:i/>
          <w:spacing w:val="-14"/>
          <w:sz w:val="28"/>
        </w:rPr>
        <w:t> </w:t>
      </w:r>
      <w:r>
        <w:rPr>
          <w:i/>
          <w:sz w:val="28"/>
        </w:rPr>
        <w:t>Ovs</w:t>
      </w:r>
      <w:r>
        <w:rPr>
          <w:i/>
          <w:spacing w:val="-14"/>
          <w:sz w:val="28"/>
        </w:rPr>
        <w:t> </w:t>
      </w:r>
      <w:r>
        <w:rPr>
          <w:i/>
          <w:sz w:val="28"/>
        </w:rPr>
        <w:t>belongs</w:t>
      </w:r>
      <w:r>
        <w:rPr>
          <w:i/>
          <w:spacing w:val="-14"/>
          <w:sz w:val="28"/>
        </w:rPr>
        <w:t> </w:t>
      </w:r>
      <w:r>
        <w:rPr>
          <w:i/>
          <w:sz w:val="28"/>
        </w:rPr>
        <w:t>to</w:t>
      </w:r>
      <w:r>
        <w:rPr>
          <w:i/>
          <w:spacing w:val="-16"/>
          <w:sz w:val="28"/>
        </w:rPr>
        <w:t> </w:t>
      </w:r>
      <w:r>
        <w:rPr>
          <w:i/>
          <w:sz w:val="28"/>
        </w:rPr>
        <w:t>one</w:t>
      </w:r>
      <w:r>
        <w:rPr>
          <w:i/>
          <w:spacing w:val="-14"/>
          <w:sz w:val="28"/>
        </w:rPr>
        <w:t> </w:t>
      </w:r>
      <w:r>
        <w:rPr>
          <w:i/>
          <w:sz w:val="28"/>
        </w:rPr>
        <w:t>of</w:t>
      </w:r>
      <w:r>
        <w:rPr>
          <w:i/>
          <w:spacing w:val="-7"/>
          <w:sz w:val="28"/>
        </w:rPr>
        <w:t> </w:t>
      </w:r>
      <w:r>
        <w:rPr>
          <w:i/>
          <w:sz w:val="28"/>
        </w:rPr>
        <w:t>the</w:t>
      </w:r>
      <w:r>
        <w:rPr>
          <w:i/>
          <w:spacing w:val="-15"/>
          <w:sz w:val="28"/>
        </w:rPr>
        <w:t> </w:t>
      </w:r>
      <w:r>
        <w:rPr>
          <w:i/>
          <w:sz w:val="28"/>
        </w:rPr>
        <w:t>main cereals, whose products are used in many spheres of activity, except for food, feed, as well as in the medical and cosmetic industries. However, in order to obtain high and sustainable crops of this crop in this territory, it is necessary to use irrigation, in connection with the increased requirements of this culture to moisturize. Unfortunately, the water used for irrigation purposes in the Odessa region does not always meet the requirements for its use for irrigation. The main limiting indicators are mineralization and natrium-calcium potential, which are included in the work. In the framework of the work, with the help of a mathematical model that allows predicting the level of possible salinization and soil solubilization, the simulation of the effect of these processes on the growth and development of oats in the conditions of the Odessa region was performed. Calculations were carried out on the basis of field</w:t>
      </w:r>
      <w:r>
        <w:rPr>
          <w:i/>
          <w:spacing w:val="-14"/>
          <w:sz w:val="28"/>
        </w:rPr>
        <w:t> </w:t>
      </w:r>
      <w:r>
        <w:rPr>
          <w:i/>
          <w:sz w:val="28"/>
        </w:rPr>
        <w:t>experiment</w:t>
      </w:r>
      <w:r>
        <w:rPr>
          <w:i/>
          <w:spacing w:val="-13"/>
          <w:sz w:val="28"/>
        </w:rPr>
        <w:t> </w:t>
      </w:r>
      <w:r>
        <w:rPr>
          <w:i/>
          <w:sz w:val="28"/>
        </w:rPr>
        <w:t>data,</w:t>
      </w:r>
      <w:r>
        <w:rPr>
          <w:i/>
          <w:spacing w:val="-11"/>
          <w:sz w:val="28"/>
        </w:rPr>
        <w:t> </w:t>
      </w:r>
      <w:r>
        <w:rPr>
          <w:i/>
          <w:sz w:val="28"/>
        </w:rPr>
        <w:t>which</w:t>
      </w:r>
      <w:r>
        <w:rPr>
          <w:i/>
          <w:spacing w:val="-8"/>
          <w:sz w:val="28"/>
        </w:rPr>
        <w:t> </w:t>
      </w:r>
      <w:r>
        <w:rPr>
          <w:i/>
          <w:spacing w:val="-3"/>
          <w:sz w:val="28"/>
        </w:rPr>
        <w:t>was</w:t>
      </w:r>
      <w:r>
        <w:rPr>
          <w:i/>
          <w:spacing w:val="-10"/>
          <w:sz w:val="28"/>
        </w:rPr>
        <w:t> </w:t>
      </w:r>
      <w:r>
        <w:rPr>
          <w:i/>
          <w:sz w:val="28"/>
        </w:rPr>
        <w:t>conducted</w:t>
      </w:r>
      <w:r>
        <w:rPr>
          <w:i/>
          <w:spacing w:val="-8"/>
          <w:sz w:val="28"/>
        </w:rPr>
        <w:t> </w:t>
      </w:r>
      <w:r>
        <w:rPr>
          <w:i/>
          <w:sz w:val="28"/>
        </w:rPr>
        <w:t>at</w:t>
      </w:r>
      <w:r>
        <w:rPr>
          <w:i/>
          <w:spacing w:val="-13"/>
          <w:sz w:val="28"/>
        </w:rPr>
        <w:t> </w:t>
      </w:r>
      <w:r>
        <w:rPr>
          <w:i/>
          <w:sz w:val="28"/>
        </w:rPr>
        <w:t>the</w:t>
      </w:r>
      <w:r>
        <w:rPr>
          <w:i/>
          <w:spacing w:val="-12"/>
          <w:sz w:val="28"/>
        </w:rPr>
        <w:t> </w:t>
      </w:r>
      <w:r>
        <w:rPr>
          <w:i/>
          <w:sz w:val="28"/>
        </w:rPr>
        <w:t>scientific</w:t>
      </w:r>
      <w:r>
        <w:rPr>
          <w:i/>
          <w:spacing w:val="-13"/>
          <w:sz w:val="28"/>
        </w:rPr>
        <w:t> </w:t>
      </w:r>
      <w:r>
        <w:rPr>
          <w:i/>
          <w:sz w:val="28"/>
        </w:rPr>
        <w:t>and</w:t>
      </w:r>
      <w:r>
        <w:rPr>
          <w:i/>
          <w:spacing w:val="-12"/>
          <w:sz w:val="28"/>
        </w:rPr>
        <w:t> </w:t>
      </w:r>
      <w:r>
        <w:rPr>
          <w:i/>
          <w:sz w:val="28"/>
        </w:rPr>
        <w:t>research</w:t>
      </w:r>
      <w:r>
        <w:rPr>
          <w:i/>
          <w:spacing w:val="-12"/>
          <w:sz w:val="28"/>
        </w:rPr>
        <w:t> </w:t>
      </w:r>
      <w:r>
        <w:rPr>
          <w:i/>
          <w:sz w:val="28"/>
        </w:rPr>
        <w:t>station</w:t>
      </w:r>
      <w:r>
        <w:rPr>
          <w:i/>
          <w:spacing w:val="-13"/>
          <w:sz w:val="28"/>
        </w:rPr>
        <w:t> </w:t>
      </w:r>
      <w:r>
        <w:rPr>
          <w:i/>
          <w:sz w:val="28"/>
        </w:rPr>
        <w:t>of</w:t>
      </w:r>
      <w:r>
        <w:rPr>
          <w:i/>
          <w:spacing w:val="-13"/>
          <w:sz w:val="28"/>
        </w:rPr>
        <w:t> </w:t>
      </w:r>
      <w:r>
        <w:rPr>
          <w:i/>
          <w:sz w:val="28"/>
        </w:rPr>
        <w:t>the ODEKU in the period from 2008 to 2018. The obtained results in the mathematical model are in good agreement with the data obtained with the help of the experiment, therefore they can be used to provide practical recommendations that reduce the negative impact of irrigation on the growth and development of oats in the Odessa region.</w:t>
      </w:r>
    </w:p>
    <w:p>
      <w:pPr>
        <w:spacing w:line="321" w:lineRule="exact" w:before="0"/>
        <w:ind w:left="903" w:right="0" w:firstLine="0"/>
        <w:jc w:val="both"/>
        <w:rPr>
          <w:i/>
          <w:sz w:val="28"/>
        </w:rPr>
      </w:pPr>
      <w:r>
        <w:rPr>
          <w:b/>
          <w:i/>
          <w:sz w:val="28"/>
        </w:rPr>
        <w:t>Key words</w:t>
      </w:r>
      <w:r>
        <w:rPr>
          <w:i/>
          <w:sz w:val="28"/>
        </w:rPr>
        <w:t>: simulation, salinity, salinization, mathematical model, oats.</w:t>
      </w:r>
    </w:p>
    <w:p>
      <w:pPr>
        <w:pStyle w:val="BodyText"/>
        <w:spacing w:before="10"/>
        <w:ind w:left="0"/>
        <w:jc w:val="left"/>
        <w:rPr>
          <w:i/>
          <w:sz w:val="27"/>
        </w:rPr>
      </w:pPr>
    </w:p>
    <w:p>
      <w:pPr>
        <w:pStyle w:val="BodyText"/>
        <w:ind w:right="617" w:firstLine="710"/>
      </w:pPr>
      <w:r>
        <w:rPr>
          <w:b/>
        </w:rPr>
        <w:t>Introduction</w:t>
      </w:r>
      <w:r>
        <w:rPr/>
        <w:t>. Odessa Oblast </w:t>
      </w:r>
      <w:r>
        <w:rPr>
          <w:spacing w:val="-3"/>
        </w:rPr>
        <w:t>is </w:t>
      </w:r>
      <w:r>
        <w:rPr/>
        <w:t>one of the most problematic areas in terms </w:t>
      </w:r>
      <w:r>
        <w:rPr>
          <w:spacing w:val="4"/>
        </w:rPr>
        <w:t>of </w:t>
      </w:r>
      <w:r>
        <w:rPr/>
        <w:t>providing optimal conditions for the existence of agro ecosystems. This </w:t>
      </w:r>
      <w:r>
        <w:rPr>
          <w:spacing w:val="-3"/>
        </w:rPr>
        <w:t>is </w:t>
      </w:r>
      <w:r>
        <w:rPr/>
        <w:t>due to the complex</w:t>
      </w:r>
      <w:r>
        <w:rPr>
          <w:spacing w:val="-18"/>
        </w:rPr>
        <w:t> </w:t>
      </w:r>
      <w:r>
        <w:rPr/>
        <w:t>climatic,</w:t>
      </w:r>
      <w:r>
        <w:rPr>
          <w:spacing w:val="-12"/>
        </w:rPr>
        <w:t> </w:t>
      </w:r>
      <w:r>
        <w:rPr/>
        <w:t>soil,</w:t>
      </w:r>
      <w:r>
        <w:rPr>
          <w:spacing w:val="-12"/>
        </w:rPr>
        <w:t> </w:t>
      </w:r>
      <w:r>
        <w:rPr/>
        <w:t>landscape,</w:t>
      </w:r>
      <w:r>
        <w:rPr>
          <w:spacing w:val="-8"/>
        </w:rPr>
        <w:t> </w:t>
      </w:r>
      <w:r>
        <w:rPr/>
        <w:t>microclimatic</w:t>
      </w:r>
      <w:r>
        <w:rPr>
          <w:spacing w:val="-13"/>
        </w:rPr>
        <w:t> </w:t>
      </w:r>
      <w:r>
        <w:rPr/>
        <w:t>and</w:t>
      </w:r>
      <w:r>
        <w:rPr>
          <w:spacing w:val="-14"/>
        </w:rPr>
        <w:t> </w:t>
      </w:r>
      <w:r>
        <w:rPr/>
        <w:t>other</w:t>
      </w:r>
      <w:r>
        <w:rPr>
          <w:spacing w:val="-15"/>
        </w:rPr>
        <w:t> </w:t>
      </w:r>
      <w:r>
        <w:rPr/>
        <w:t>conditions.</w:t>
      </w:r>
      <w:r>
        <w:rPr>
          <w:spacing w:val="-12"/>
        </w:rPr>
        <w:t> </w:t>
      </w:r>
      <w:r>
        <w:rPr/>
        <w:t>Miscalculations in</w:t>
      </w:r>
      <w:r>
        <w:rPr>
          <w:spacing w:val="-22"/>
        </w:rPr>
        <w:t> </w:t>
      </w:r>
      <w:r>
        <w:rPr/>
        <w:t>design,</w:t>
      </w:r>
      <w:r>
        <w:rPr>
          <w:spacing w:val="-15"/>
        </w:rPr>
        <w:t> </w:t>
      </w:r>
      <w:r>
        <w:rPr/>
        <w:t>insufficient</w:t>
      </w:r>
      <w:r>
        <w:rPr>
          <w:spacing w:val="-17"/>
        </w:rPr>
        <w:t> </w:t>
      </w:r>
      <w:r>
        <w:rPr/>
        <w:t>account</w:t>
      </w:r>
      <w:r>
        <w:rPr>
          <w:spacing w:val="-17"/>
        </w:rPr>
        <w:t> </w:t>
      </w:r>
      <w:r>
        <w:rPr/>
        <w:t>of</w:t>
      </w:r>
      <w:r>
        <w:rPr>
          <w:spacing w:val="-23"/>
        </w:rPr>
        <w:t> </w:t>
      </w:r>
      <w:r>
        <w:rPr/>
        <w:t>environmental</w:t>
      </w:r>
      <w:r>
        <w:rPr>
          <w:spacing w:val="-16"/>
        </w:rPr>
        <w:t> </w:t>
      </w:r>
      <w:r>
        <w:rPr/>
        <w:t>factors,</w:t>
      </w:r>
      <w:r>
        <w:rPr>
          <w:spacing w:val="-16"/>
        </w:rPr>
        <w:t> </w:t>
      </w:r>
      <w:r>
        <w:rPr/>
        <w:t>poor</w:t>
      </w:r>
      <w:r>
        <w:rPr>
          <w:spacing w:val="-17"/>
        </w:rPr>
        <w:t> </w:t>
      </w:r>
      <w:r>
        <w:rPr/>
        <w:t>quality</w:t>
      </w:r>
      <w:r>
        <w:rPr>
          <w:spacing w:val="-22"/>
        </w:rPr>
        <w:t> </w:t>
      </w:r>
      <w:r>
        <w:rPr/>
        <w:t>of</w:t>
      </w:r>
      <w:r>
        <w:rPr>
          <w:spacing w:val="-19"/>
        </w:rPr>
        <w:t> </w:t>
      </w:r>
      <w:r>
        <w:rPr/>
        <w:t>irrigation</w:t>
      </w:r>
      <w:r>
        <w:rPr>
          <w:spacing w:val="-21"/>
        </w:rPr>
        <w:t> </w:t>
      </w:r>
      <w:r>
        <w:rPr/>
        <w:t>water with a shortage of water resources in many cases negatively affect the soil cover. Particularly rapid negative changes occur in the soils of the steppe zone, where, under irrigation, mineralized groundwater </w:t>
      </w:r>
      <w:r>
        <w:rPr>
          <w:spacing w:val="-3"/>
        </w:rPr>
        <w:t>is </w:t>
      </w:r>
      <w:r>
        <w:rPr/>
        <w:t>formed which </w:t>
      </w:r>
      <w:r>
        <w:rPr>
          <w:spacing w:val="-3"/>
        </w:rPr>
        <w:t>is </w:t>
      </w:r>
      <w:r>
        <w:rPr/>
        <w:t>rapidly rising to a critical level and intensively developing processes of salinization and salinity</w:t>
      </w:r>
      <w:r>
        <w:rPr>
          <w:spacing w:val="-15"/>
        </w:rPr>
        <w:t> </w:t>
      </w:r>
      <w:r>
        <w:rPr/>
        <w:t>[1].</w:t>
      </w:r>
    </w:p>
    <w:p>
      <w:pPr>
        <w:pStyle w:val="BodyText"/>
        <w:spacing w:before="3"/>
        <w:ind w:right="616" w:firstLine="710"/>
      </w:pPr>
      <w:r>
        <w:rPr>
          <w:b/>
        </w:rPr>
        <w:t>Problem</w:t>
      </w:r>
      <w:r>
        <w:rPr/>
        <w:t>.</w:t>
      </w:r>
      <w:r>
        <w:rPr>
          <w:spacing w:val="-5"/>
        </w:rPr>
        <w:t> </w:t>
      </w:r>
      <w:r>
        <w:rPr/>
        <w:t>Providing</w:t>
      </w:r>
      <w:r>
        <w:rPr>
          <w:spacing w:val="-2"/>
        </w:rPr>
        <w:t> </w:t>
      </w:r>
      <w:r>
        <w:rPr/>
        <w:t>mankind</w:t>
      </w:r>
      <w:r>
        <w:rPr>
          <w:spacing w:val="-6"/>
        </w:rPr>
        <w:t> </w:t>
      </w:r>
      <w:r>
        <w:rPr/>
        <w:t>with</w:t>
      </w:r>
      <w:r>
        <w:rPr>
          <w:spacing w:val="-11"/>
        </w:rPr>
        <w:t> </w:t>
      </w:r>
      <w:r>
        <w:rPr/>
        <w:t>sufficient</w:t>
      </w:r>
      <w:r>
        <w:rPr>
          <w:spacing w:val="-7"/>
        </w:rPr>
        <w:t> </w:t>
      </w:r>
      <w:r>
        <w:rPr/>
        <w:t>quantity</w:t>
      </w:r>
      <w:r>
        <w:rPr>
          <w:spacing w:val="-6"/>
        </w:rPr>
        <w:t> </w:t>
      </w:r>
      <w:r>
        <w:rPr/>
        <w:t>of</w:t>
      </w:r>
      <w:r>
        <w:rPr>
          <w:spacing w:val="-8"/>
        </w:rPr>
        <w:t> </w:t>
      </w:r>
      <w:r>
        <w:rPr/>
        <w:t>food</w:t>
      </w:r>
      <w:r>
        <w:rPr>
          <w:spacing w:val="-2"/>
        </w:rPr>
        <w:t> </w:t>
      </w:r>
      <w:r>
        <w:rPr>
          <w:spacing w:val="-3"/>
        </w:rPr>
        <w:t>is</w:t>
      </w:r>
      <w:r>
        <w:rPr>
          <w:spacing w:val="-4"/>
        </w:rPr>
        <w:t> </w:t>
      </w:r>
      <w:r>
        <w:rPr/>
        <w:t>one</w:t>
      </w:r>
      <w:r>
        <w:rPr>
          <w:spacing w:val="-6"/>
        </w:rPr>
        <w:t> </w:t>
      </w:r>
      <w:r>
        <w:rPr/>
        <w:t>of</w:t>
      </w:r>
      <w:r>
        <w:rPr>
          <w:spacing w:val="-13"/>
        </w:rPr>
        <w:t> </w:t>
      </w:r>
      <w:r>
        <w:rPr/>
        <w:t>the</w:t>
      </w:r>
      <w:r>
        <w:rPr>
          <w:spacing w:val="4"/>
        </w:rPr>
        <w:t> </w:t>
      </w:r>
      <w:r>
        <w:rPr/>
        <w:t>main tasks of modern science. Oats are an agricultural crop that can partially solve this problem, namely providing grain and feed</w:t>
      </w:r>
      <w:r>
        <w:rPr>
          <w:spacing w:val="8"/>
        </w:rPr>
        <w:t> </w:t>
      </w:r>
      <w:r>
        <w:rPr/>
        <w:t>resources.</w:t>
      </w:r>
    </w:p>
    <w:p>
      <w:pPr>
        <w:pStyle w:val="BodyText"/>
        <w:ind w:right="613" w:firstLine="710"/>
      </w:pPr>
      <w:r>
        <w:rPr>
          <w:b/>
        </w:rPr>
        <w:t>Analysis </w:t>
      </w:r>
      <w:r>
        <w:rPr>
          <w:b/>
          <w:spacing w:val="-3"/>
        </w:rPr>
        <w:t>of </w:t>
      </w:r>
      <w:r>
        <w:rPr>
          <w:b/>
        </w:rPr>
        <w:t>recent research and publications</w:t>
      </w:r>
      <w:r>
        <w:rPr/>
        <w:t>. The question of estimating the impact</w:t>
      </w:r>
      <w:r>
        <w:rPr>
          <w:spacing w:val="-5"/>
        </w:rPr>
        <w:t> </w:t>
      </w:r>
      <w:r>
        <w:rPr/>
        <w:t>of</w:t>
      </w:r>
      <w:r>
        <w:rPr>
          <w:spacing w:val="-5"/>
        </w:rPr>
        <w:t> </w:t>
      </w:r>
      <w:r>
        <w:rPr/>
        <w:t>irrigation</w:t>
      </w:r>
      <w:r>
        <w:rPr>
          <w:spacing w:val="-8"/>
        </w:rPr>
        <w:t> </w:t>
      </w:r>
      <w:r>
        <w:rPr/>
        <w:t>on</w:t>
      </w:r>
      <w:r>
        <w:rPr>
          <w:spacing w:val="-7"/>
        </w:rPr>
        <w:t> </w:t>
      </w:r>
      <w:r>
        <w:rPr/>
        <w:t>agricultural</w:t>
      </w:r>
      <w:r>
        <w:rPr>
          <w:spacing w:val="-9"/>
        </w:rPr>
        <w:t> </w:t>
      </w:r>
      <w:r>
        <w:rPr/>
        <w:t>plants</w:t>
      </w:r>
      <w:r>
        <w:rPr>
          <w:spacing w:val="-3"/>
        </w:rPr>
        <w:t> </w:t>
      </w:r>
      <w:r>
        <w:rPr/>
        <w:t>was</w:t>
      </w:r>
      <w:r>
        <w:rPr>
          <w:spacing w:val="-3"/>
        </w:rPr>
        <w:t> </w:t>
      </w:r>
      <w:r>
        <w:rPr/>
        <w:t>a</w:t>
      </w:r>
      <w:r>
        <w:rPr>
          <w:spacing w:val="-7"/>
        </w:rPr>
        <w:t> </w:t>
      </w:r>
      <w:r>
        <w:rPr/>
        <w:t>fairly</w:t>
      </w:r>
      <w:r>
        <w:rPr>
          <w:spacing w:val="-4"/>
        </w:rPr>
        <w:t> </w:t>
      </w:r>
      <w:r>
        <w:rPr/>
        <w:t>large</w:t>
      </w:r>
      <w:r>
        <w:rPr>
          <w:spacing w:val="-3"/>
        </w:rPr>
        <w:t> </w:t>
      </w:r>
      <w:r>
        <w:rPr/>
        <w:t>number</w:t>
      </w:r>
      <w:r>
        <w:rPr>
          <w:spacing w:val="-5"/>
        </w:rPr>
        <w:t> </w:t>
      </w:r>
      <w:r>
        <w:rPr/>
        <w:t>of</w:t>
      </w:r>
      <w:r>
        <w:rPr>
          <w:spacing w:val="-10"/>
        </w:rPr>
        <w:t> </w:t>
      </w:r>
      <w:r>
        <w:rPr/>
        <w:t>scientists</w:t>
      </w:r>
      <w:r>
        <w:rPr>
          <w:spacing w:val="-3"/>
        </w:rPr>
        <w:t> </w:t>
      </w:r>
      <w:r>
        <w:rPr/>
        <w:t>[2].</w:t>
      </w:r>
      <w:r>
        <w:rPr>
          <w:spacing w:val="-1"/>
        </w:rPr>
        <w:t> </w:t>
      </w:r>
      <w:r>
        <w:rPr/>
        <w:t>It took into account the main factors that determine the qualitative and quantitative characteristics of water used for irrigation purposes</w:t>
      </w:r>
      <w:r>
        <w:rPr>
          <w:spacing w:val="2"/>
        </w:rPr>
        <w:t> </w:t>
      </w:r>
      <w:r>
        <w:rPr/>
        <w:t>[3].</w:t>
      </w:r>
    </w:p>
    <w:p>
      <w:pPr>
        <w:spacing w:after="0"/>
        <w:sectPr>
          <w:pgSz w:w="11910" w:h="16840"/>
          <w:pgMar w:header="713" w:footer="778" w:top="1140" w:bottom="960" w:left="940" w:right="520"/>
        </w:sectPr>
      </w:pPr>
    </w:p>
    <w:p>
      <w:pPr>
        <w:pStyle w:val="BodyText"/>
        <w:spacing w:before="92"/>
        <w:ind w:right="622" w:firstLine="710"/>
      </w:pPr>
      <w:r>
        <w:rPr>
          <w:b/>
        </w:rPr>
        <w:t>The purpose of research</w:t>
      </w:r>
      <w:r>
        <w:rPr/>
        <w:t>. Assess biogenic loading on the soil cover of the agricultural area of the South of Ukraine with the help of mathematical modeling, which will provide practical recommendations to reduce the negative impact on the latter.</w:t>
      </w:r>
    </w:p>
    <w:p>
      <w:pPr>
        <w:pStyle w:val="BodyText"/>
        <w:ind w:right="602" w:firstLine="710"/>
      </w:pPr>
      <w:r>
        <w:rPr/>
        <w:pict>
          <v:shape style="position:absolute;margin-left:214.758835pt;margin-top:415.669525pt;width:34.6pt;height:14.85pt;mso-position-horizontal-relative:page;mso-position-vertical-relative:paragraph;z-index:-267126784" type="#_x0000_t202" filled="false" stroked="false">
            <v:textbox inset="0,0,0,0">
              <w:txbxContent>
                <w:p>
                  <w:pPr>
                    <w:spacing w:before="2"/>
                    <w:ind w:left="0" w:right="0" w:firstLine="0"/>
                    <w:jc w:val="left"/>
                    <w:rPr>
                      <w:sz w:val="24"/>
                    </w:rPr>
                  </w:pPr>
                  <w:r>
                    <w:rPr>
                      <w:w w:val="95"/>
                      <w:sz w:val="24"/>
                    </w:rPr>
                    <w:t>Na</w:t>
                  </w:r>
                  <w:r>
                    <w:rPr>
                      <w:rFonts w:ascii="Symbol" w:hAnsi="Symbol"/>
                      <w:w w:val="95"/>
                      <w:sz w:val="24"/>
                    </w:rPr>
                    <w:t></w:t>
                  </w:r>
                  <w:r>
                    <w:rPr>
                      <w:w w:val="95"/>
                      <w:sz w:val="24"/>
                    </w:rPr>
                    <w:t>Ca</w:t>
                  </w:r>
                </w:p>
              </w:txbxContent>
            </v:textbox>
            <w10:wrap type="none"/>
          </v:shape>
        </w:pict>
      </w:r>
      <w:r>
        <w:rPr>
          <w:b/>
        </w:rPr>
        <w:t>Research results</w:t>
      </w:r>
      <w:r>
        <w:rPr/>
        <w:t>. Due to climate change, in conditions of the Odessa region, there </w:t>
      </w:r>
      <w:r>
        <w:rPr>
          <w:spacing w:val="-3"/>
        </w:rPr>
        <w:t>is </w:t>
      </w:r>
      <w:r>
        <w:rPr/>
        <w:t>a need to apply irrigation regime to </w:t>
      </w:r>
      <w:r>
        <w:rPr>
          <w:spacing w:val="-3"/>
        </w:rPr>
        <w:t>most </w:t>
      </w:r>
      <w:r>
        <w:rPr/>
        <w:t>agricultural plants. The water used for irrigation does not always meet the requirements, which in turn causes salinization and soil salinization. The soil salinity, as is known, </w:t>
      </w:r>
      <w:r>
        <w:rPr>
          <w:spacing w:val="-3"/>
        </w:rPr>
        <w:t>is </w:t>
      </w:r>
      <w:r>
        <w:rPr/>
        <w:t>an increase in the content </w:t>
      </w:r>
      <w:r>
        <w:rPr>
          <w:spacing w:val="4"/>
        </w:rPr>
        <w:t>of </w:t>
      </w:r>
      <w:r>
        <w:rPr/>
        <w:t>easily</w:t>
      </w:r>
      <w:r>
        <w:rPr>
          <w:spacing w:val="-19"/>
        </w:rPr>
        <w:t> </w:t>
      </w:r>
      <w:r>
        <w:rPr/>
        <w:t>soluble</w:t>
      </w:r>
      <w:r>
        <w:rPr>
          <w:spacing w:val="-13"/>
        </w:rPr>
        <w:t> </w:t>
      </w:r>
      <w:r>
        <w:rPr/>
        <w:t>salts</w:t>
      </w:r>
      <w:r>
        <w:rPr>
          <w:spacing w:val="-12"/>
        </w:rPr>
        <w:t> </w:t>
      </w:r>
      <w:r>
        <w:rPr/>
        <w:t>(sodium</w:t>
      </w:r>
      <w:r>
        <w:rPr>
          <w:spacing w:val="-24"/>
        </w:rPr>
        <w:t> </w:t>
      </w:r>
      <w:r>
        <w:rPr/>
        <w:t>carbonate,</w:t>
      </w:r>
      <w:r>
        <w:rPr>
          <w:spacing w:val="-11"/>
        </w:rPr>
        <w:t> </w:t>
      </w:r>
      <w:r>
        <w:rPr/>
        <w:t>chlorides,</w:t>
      </w:r>
      <w:r>
        <w:rPr>
          <w:spacing w:val="-12"/>
        </w:rPr>
        <w:t> </w:t>
      </w:r>
      <w:r>
        <w:rPr/>
        <w:t>sulfates).</w:t>
      </w:r>
      <w:r>
        <w:rPr>
          <w:spacing w:val="-12"/>
        </w:rPr>
        <w:t> </w:t>
      </w:r>
      <w:r>
        <w:rPr/>
        <w:t>If</w:t>
      </w:r>
      <w:r>
        <w:rPr>
          <w:spacing w:val="-20"/>
        </w:rPr>
        <w:t> </w:t>
      </w:r>
      <w:r>
        <w:rPr/>
        <w:t>the</w:t>
      </w:r>
      <w:r>
        <w:rPr>
          <w:spacing w:val="-13"/>
        </w:rPr>
        <w:t> </w:t>
      </w:r>
      <w:r>
        <w:rPr/>
        <w:t>salinity</w:t>
      </w:r>
      <w:r>
        <w:rPr>
          <w:spacing w:val="-18"/>
        </w:rPr>
        <w:t> </w:t>
      </w:r>
      <w:r>
        <w:rPr/>
        <w:t>process</w:t>
      </w:r>
      <w:r>
        <w:rPr>
          <w:spacing w:val="-12"/>
        </w:rPr>
        <w:t> </w:t>
      </w:r>
      <w:r>
        <w:rPr>
          <w:spacing w:val="-3"/>
        </w:rPr>
        <w:t>is</w:t>
      </w:r>
      <w:r>
        <w:rPr>
          <w:spacing w:val="-12"/>
        </w:rPr>
        <w:t> </w:t>
      </w:r>
      <w:r>
        <w:rPr/>
        <w:t>due to the salinity of the soil forming rocks, the addition of salts by ground and surface waters, salinization </w:t>
      </w:r>
      <w:r>
        <w:rPr>
          <w:spacing w:val="-3"/>
        </w:rPr>
        <w:t>is </w:t>
      </w:r>
      <w:r>
        <w:rPr/>
        <w:t>then called primary or secondary. The process of solubilization represents the formation of molds from solonets by degrading the latter as a result </w:t>
      </w:r>
      <w:r>
        <w:rPr>
          <w:spacing w:val="4"/>
        </w:rPr>
        <w:t>of </w:t>
      </w:r>
      <w:r>
        <w:rPr/>
        <w:t>substituting the exchange Na + </w:t>
      </w:r>
      <w:r>
        <w:rPr>
          <w:spacing w:val="-3"/>
        </w:rPr>
        <w:t>for </w:t>
      </w:r>
      <w:r>
        <w:rPr/>
        <w:t>H +. It </w:t>
      </w:r>
      <w:r>
        <w:rPr>
          <w:spacing w:val="-3"/>
        </w:rPr>
        <w:t>is </w:t>
      </w:r>
      <w:r>
        <w:rPr/>
        <w:t>due to the sodium-calcium potential </w:t>
      </w:r>
      <w:r>
        <w:rPr>
          <w:spacing w:val="4"/>
        </w:rPr>
        <w:t>of </w:t>
      </w:r>
      <w:r>
        <w:rPr/>
        <w:t>irrigation water. The process of soil salinization </w:t>
      </w:r>
      <w:r>
        <w:rPr>
          <w:spacing w:val="-3"/>
        </w:rPr>
        <w:t>is </w:t>
      </w:r>
      <w:r>
        <w:rPr/>
        <w:t>due to the amount of mineral salts found in irrigated water, that is, the value of its mineralization [1]. </w:t>
      </w:r>
      <w:r>
        <w:rPr>
          <w:spacing w:val="-3"/>
        </w:rPr>
        <w:t>The </w:t>
      </w:r>
      <w:r>
        <w:rPr/>
        <w:t>risk of salinization</w:t>
      </w:r>
      <w:r>
        <w:rPr>
          <w:spacing w:val="-22"/>
        </w:rPr>
        <w:t> </w:t>
      </w:r>
      <w:r>
        <w:rPr/>
        <w:t>of</w:t>
      </w:r>
      <w:r>
        <w:rPr>
          <w:spacing w:val="-23"/>
        </w:rPr>
        <w:t> </w:t>
      </w:r>
      <w:r>
        <w:rPr/>
        <w:t>soils</w:t>
      </w:r>
      <w:r>
        <w:rPr>
          <w:spacing w:val="-10"/>
        </w:rPr>
        <w:t> </w:t>
      </w:r>
      <w:r>
        <w:rPr>
          <w:spacing w:val="-3"/>
        </w:rPr>
        <w:t>is</w:t>
      </w:r>
      <w:r>
        <w:rPr>
          <w:spacing w:val="-15"/>
        </w:rPr>
        <w:t> </w:t>
      </w:r>
      <w:r>
        <w:rPr/>
        <w:t>estimated</w:t>
      </w:r>
      <w:r>
        <w:rPr>
          <w:spacing w:val="-16"/>
        </w:rPr>
        <w:t> </w:t>
      </w:r>
      <w:r>
        <w:rPr/>
        <w:t>at</w:t>
      </w:r>
      <w:r>
        <w:rPr>
          <w:spacing w:val="-17"/>
        </w:rPr>
        <w:t> </w:t>
      </w:r>
      <w:r>
        <w:rPr/>
        <w:t>the</w:t>
      </w:r>
      <w:r>
        <w:rPr>
          <w:spacing w:val="-8"/>
        </w:rPr>
        <w:t> </w:t>
      </w:r>
      <w:r>
        <w:rPr>
          <w:spacing w:val="-3"/>
        </w:rPr>
        <w:t>mass</w:t>
      </w:r>
      <w:r>
        <w:rPr>
          <w:spacing w:val="-10"/>
        </w:rPr>
        <w:t> </w:t>
      </w:r>
      <w:r>
        <w:rPr/>
        <w:t>concentration</w:t>
      </w:r>
      <w:r>
        <w:rPr>
          <w:spacing w:val="-17"/>
        </w:rPr>
        <w:t> </w:t>
      </w:r>
      <w:r>
        <w:rPr/>
        <w:t>(mineralization)</w:t>
      </w:r>
      <w:r>
        <w:rPr>
          <w:spacing w:val="-18"/>
        </w:rPr>
        <w:t> </w:t>
      </w:r>
      <w:r>
        <w:rPr/>
        <w:t>of</w:t>
      </w:r>
      <w:r>
        <w:rPr>
          <w:spacing w:val="-14"/>
        </w:rPr>
        <w:t> </w:t>
      </w:r>
      <w:r>
        <w:rPr/>
        <w:t>irrigation water and chlorine, ie, the ratio of </w:t>
      </w:r>
      <w:r>
        <w:rPr>
          <w:spacing w:val="4"/>
        </w:rPr>
        <w:t>Cl- </w:t>
      </w:r>
      <w:r>
        <w:rPr/>
        <w:t>/ SO42-. For irrigation suitability, water is divided</w:t>
      </w:r>
      <w:r>
        <w:rPr>
          <w:spacing w:val="-5"/>
        </w:rPr>
        <w:t> </w:t>
      </w:r>
      <w:r>
        <w:rPr/>
        <w:t>into</w:t>
      </w:r>
      <w:r>
        <w:rPr>
          <w:spacing w:val="-4"/>
        </w:rPr>
        <w:t> </w:t>
      </w:r>
      <w:r>
        <w:rPr/>
        <w:t>five</w:t>
      </w:r>
      <w:r>
        <w:rPr>
          <w:spacing w:val="-8"/>
        </w:rPr>
        <w:t> </w:t>
      </w:r>
      <w:r>
        <w:rPr/>
        <w:t>classes.</w:t>
      </w:r>
      <w:r>
        <w:rPr>
          <w:spacing w:val="-6"/>
        </w:rPr>
        <w:t> </w:t>
      </w:r>
      <w:r>
        <w:rPr/>
        <w:t>First</w:t>
      </w:r>
      <w:r>
        <w:rPr>
          <w:spacing w:val="-9"/>
        </w:rPr>
        <w:t> </w:t>
      </w:r>
      <w:r>
        <w:rPr/>
        <w:t>class</w:t>
      </w:r>
      <w:r>
        <w:rPr>
          <w:spacing w:val="-6"/>
        </w:rPr>
        <w:t> </w:t>
      </w:r>
      <w:r>
        <w:rPr/>
        <w:t>water</w:t>
      </w:r>
      <w:r>
        <w:rPr>
          <w:spacing w:val="-9"/>
        </w:rPr>
        <w:t> </w:t>
      </w:r>
      <w:r>
        <w:rPr>
          <w:spacing w:val="-3"/>
        </w:rPr>
        <w:t>is</w:t>
      </w:r>
      <w:r>
        <w:rPr>
          <w:spacing w:val="-2"/>
        </w:rPr>
        <w:t> </w:t>
      </w:r>
      <w:r>
        <w:rPr/>
        <w:t>suitable</w:t>
      </w:r>
      <w:r>
        <w:rPr>
          <w:spacing w:val="-4"/>
        </w:rPr>
        <w:t> </w:t>
      </w:r>
      <w:r>
        <w:rPr/>
        <w:t>for</w:t>
      </w:r>
      <w:r>
        <w:rPr>
          <w:spacing w:val="-10"/>
        </w:rPr>
        <w:t> </w:t>
      </w:r>
      <w:r>
        <w:rPr/>
        <w:t>all</w:t>
      </w:r>
      <w:r>
        <w:rPr>
          <w:spacing w:val="-13"/>
        </w:rPr>
        <w:t> </w:t>
      </w:r>
      <w:r>
        <w:rPr/>
        <w:t>crops</w:t>
      </w:r>
      <w:r>
        <w:rPr>
          <w:spacing w:val="-6"/>
        </w:rPr>
        <w:t> </w:t>
      </w:r>
      <w:r>
        <w:rPr/>
        <w:t>and</w:t>
      </w:r>
      <w:r>
        <w:rPr>
          <w:spacing w:val="-8"/>
        </w:rPr>
        <w:t> </w:t>
      </w:r>
      <w:r>
        <w:rPr/>
        <w:t>soil</w:t>
      </w:r>
      <w:r>
        <w:rPr>
          <w:spacing w:val="-14"/>
        </w:rPr>
        <w:t> </w:t>
      </w:r>
      <w:r>
        <w:rPr/>
        <w:t>types.</w:t>
      </w:r>
      <w:r>
        <w:rPr>
          <w:spacing w:val="6"/>
        </w:rPr>
        <w:t> </w:t>
      </w:r>
      <w:r>
        <w:rPr/>
        <w:t>Water of</w:t>
      </w:r>
      <w:r>
        <w:rPr>
          <w:spacing w:val="-23"/>
        </w:rPr>
        <w:t> </w:t>
      </w:r>
      <w:r>
        <w:rPr/>
        <w:t>the</w:t>
      </w:r>
      <w:r>
        <w:rPr>
          <w:spacing w:val="-16"/>
        </w:rPr>
        <w:t> </w:t>
      </w:r>
      <w:r>
        <w:rPr/>
        <w:t>second</w:t>
      </w:r>
      <w:r>
        <w:rPr>
          <w:spacing w:val="-17"/>
        </w:rPr>
        <w:t> </w:t>
      </w:r>
      <w:r>
        <w:rPr/>
        <w:t>class</w:t>
      </w:r>
      <w:r>
        <w:rPr>
          <w:spacing w:val="-15"/>
        </w:rPr>
        <w:t> </w:t>
      </w:r>
      <w:r>
        <w:rPr/>
        <w:t>can</w:t>
      </w:r>
      <w:r>
        <w:rPr>
          <w:spacing w:val="-21"/>
        </w:rPr>
        <w:t> </w:t>
      </w:r>
      <w:r>
        <w:rPr/>
        <w:t>be</w:t>
      </w:r>
      <w:r>
        <w:rPr>
          <w:spacing w:val="-16"/>
        </w:rPr>
        <w:t> </w:t>
      </w:r>
      <w:r>
        <w:rPr/>
        <w:t>used</w:t>
      </w:r>
      <w:r>
        <w:rPr>
          <w:spacing w:val="-13"/>
        </w:rPr>
        <w:t> </w:t>
      </w:r>
      <w:r>
        <w:rPr>
          <w:spacing w:val="-3"/>
        </w:rPr>
        <w:t>for</w:t>
      </w:r>
      <w:r>
        <w:rPr>
          <w:spacing w:val="-14"/>
        </w:rPr>
        <w:t> </w:t>
      </w:r>
      <w:r>
        <w:rPr/>
        <w:t>most</w:t>
      </w:r>
      <w:r>
        <w:rPr>
          <w:spacing w:val="-17"/>
        </w:rPr>
        <w:t> </w:t>
      </w:r>
      <w:r>
        <w:rPr/>
        <w:t>crops</w:t>
      </w:r>
      <w:r>
        <w:rPr>
          <w:spacing w:val="-15"/>
        </w:rPr>
        <w:t> </w:t>
      </w:r>
      <w:r>
        <w:rPr/>
        <w:t>and</w:t>
      </w:r>
      <w:r>
        <w:rPr>
          <w:spacing w:val="-16"/>
        </w:rPr>
        <w:t> </w:t>
      </w:r>
      <w:r>
        <w:rPr/>
        <w:t>soils,</w:t>
      </w:r>
      <w:r>
        <w:rPr>
          <w:spacing w:val="-15"/>
        </w:rPr>
        <w:t> </w:t>
      </w:r>
      <w:r>
        <w:rPr/>
        <w:t>but</w:t>
      </w:r>
      <w:r>
        <w:rPr>
          <w:spacing w:val="-14"/>
        </w:rPr>
        <w:t> </w:t>
      </w:r>
      <w:r>
        <w:rPr/>
        <w:t>in</w:t>
      </w:r>
      <w:r>
        <w:rPr>
          <w:spacing w:val="-21"/>
        </w:rPr>
        <w:t> </w:t>
      </w:r>
      <w:r>
        <w:rPr/>
        <w:t>the</w:t>
      </w:r>
      <w:r>
        <w:rPr>
          <w:spacing w:val="-16"/>
        </w:rPr>
        <w:t> </w:t>
      </w:r>
      <w:r>
        <w:rPr/>
        <w:t>presence</w:t>
      </w:r>
      <w:r>
        <w:rPr>
          <w:spacing w:val="-16"/>
        </w:rPr>
        <w:t> </w:t>
      </w:r>
      <w:r>
        <w:rPr/>
        <w:t>of</w:t>
      </w:r>
      <w:r>
        <w:rPr>
          <w:spacing w:val="-23"/>
        </w:rPr>
        <w:t> </w:t>
      </w:r>
      <w:r>
        <w:rPr/>
        <w:t>drainage. The third grade water </w:t>
      </w:r>
      <w:r>
        <w:rPr>
          <w:spacing w:val="-3"/>
        </w:rPr>
        <w:t>is </w:t>
      </w:r>
      <w:r>
        <w:rPr/>
        <w:t>recommended for use on light soils with a rinsing irrigation regime, washing with fresh water in the period between irrigation taking into account salt stability of crops. The use of fourth grade water </w:t>
      </w:r>
      <w:r>
        <w:rPr>
          <w:spacing w:val="-3"/>
        </w:rPr>
        <w:t>is </w:t>
      </w:r>
      <w:r>
        <w:rPr/>
        <w:t>very limited: subject to the requirements listed for water of the third class, this water needs to be diluted and chemically improved. Water of the fifth grade used for irrigation </w:t>
      </w:r>
      <w:r>
        <w:rPr>
          <w:spacing w:val="-3"/>
        </w:rPr>
        <w:t>is </w:t>
      </w:r>
      <w:r>
        <w:rPr/>
        <w:t>inappropriate. For the</w:t>
      </w:r>
      <w:r>
        <w:rPr>
          <w:spacing w:val="-8"/>
        </w:rPr>
        <w:t> </w:t>
      </w:r>
      <w:r>
        <w:rPr/>
        <w:t>irrigation</w:t>
      </w:r>
      <w:r>
        <w:rPr>
          <w:spacing w:val="-16"/>
        </w:rPr>
        <w:t> </w:t>
      </w:r>
      <w:r>
        <w:rPr/>
        <w:t>of</w:t>
      </w:r>
      <w:r>
        <w:rPr>
          <w:spacing w:val="-18"/>
        </w:rPr>
        <w:t> </w:t>
      </w:r>
      <w:r>
        <w:rPr/>
        <w:t>the</w:t>
      </w:r>
      <w:r>
        <w:rPr>
          <w:spacing w:val="-11"/>
        </w:rPr>
        <w:t> </w:t>
      </w:r>
      <w:r>
        <w:rPr/>
        <w:t>southern</w:t>
      </w:r>
      <w:r>
        <w:rPr>
          <w:spacing w:val="-17"/>
        </w:rPr>
        <w:t> </w:t>
      </w:r>
      <w:r>
        <w:rPr/>
        <w:t>chernozems</w:t>
      </w:r>
      <w:r>
        <w:rPr>
          <w:spacing w:val="-10"/>
        </w:rPr>
        <w:t> </w:t>
      </w:r>
      <w:r>
        <w:rPr/>
        <w:t>(which</w:t>
      </w:r>
      <w:r>
        <w:rPr>
          <w:spacing w:val="-16"/>
        </w:rPr>
        <w:t> </w:t>
      </w:r>
      <w:r>
        <w:rPr/>
        <w:t>are</w:t>
      </w:r>
      <w:r>
        <w:rPr>
          <w:spacing w:val="-11"/>
        </w:rPr>
        <w:t> </w:t>
      </w:r>
      <w:r>
        <w:rPr/>
        <w:t>spread</w:t>
      </w:r>
      <w:r>
        <w:rPr>
          <w:spacing w:val="-12"/>
        </w:rPr>
        <w:t> </w:t>
      </w:r>
      <w:r>
        <w:rPr/>
        <w:t>only</w:t>
      </w:r>
      <w:r>
        <w:rPr>
          <w:spacing w:val="-12"/>
        </w:rPr>
        <w:t> </w:t>
      </w:r>
      <w:r>
        <w:rPr/>
        <w:t>in</w:t>
      </w:r>
      <w:r>
        <w:rPr>
          <w:spacing w:val="-17"/>
        </w:rPr>
        <w:t> </w:t>
      </w:r>
      <w:r>
        <w:rPr/>
        <w:t>the</w:t>
      </w:r>
      <w:r>
        <w:rPr>
          <w:spacing w:val="-11"/>
        </w:rPr>
        <w:t> </w:t>
      </w:r>
      <w:r>
        <w:rPr/>
        <w:t>Odessa</w:t>
      </w:r>
      <w:r>
        <w:rPr>
          <w:spacing w:val="-11"/>
        </w:rPr>
        <w:t> </w:t>
      </w:r>
      <w:r>
        <w:rPr/>
        <w:t>region), only</w:t>
      </w:r>
      <w:r>
        <w:rPr>
          <w:spacing w:val="-8"/>
        </w:rPr>
        <w:t> </w:t>
      </w:r>
      <w:r>
        <w:rPr/>
        <w:t>the</w:t>
      </w:r>
      <w:r>
        <w:rPr>
          <w:spacing w:val="-7"/>
        </w:rPr>
        <w:t> </w:t>
      </w:r>
      <w:r>
        <w:rPr/>
        <w:t>water</w:t>
      </w:r>
      <w:r>
        <w:rPr>
          <w:spacing w:val="-7"/>
        </w:rPr>
        <w:t> </w:t>
      </w:r>
      <w:r>
        <w:rPr/>
        <w:t>of</w:t>
      </w:r>
      <w:r>
        <w:rPr>
          <w:spacing w:val="-13"/>
        </w:rPr>
        <w:t> </w:t>
      </w:r>
      <w:r>
        <w:rPr/>
        <w:t>the</w:t>
      </w:r>
      <w:r>
        <w:rPr>
          <w:spacing w:val="-2"/>
        </w:rPr>
        <w:t> </w:t>
      </w:r>
      <w:r>
        <w:rPr/>
        <w:t>first</w:t>
      </w:r>
      <w:r>
        <w:rPr>
          <w:spacing w:val="-8"/>
        </w:rPr>
        <w:t> </w:t>
      </w:r>
      <w:r>
        <w:rPr/>
        <w:t>and</w:t>
      </w:r>
      <w:r>
        <w:rPr>
          <w:spacing w:val="-6"/>
        </w:rPr>
        <w:t> </w:t>
      </w:r>
      <w:r>
        <w:rPr/>
        <w:t>partly</w:t>
      </w:r>
      <w:r>
        <w:rPr>
          <w:spacing w:val="-13"/>
        </w:rPr>
        <w:t> </w:t>
      </w:r>
      <w:r>
        <w:rPr/>
        <w:t>the</w:t>
      </w:r>
      <w:r>
        <w:rPr>
          <w:spacing w:val="-6"/>
        </w:rPr>
        <w:t> </w:t>
      </w:r>
      <w:r>
        <w:rPr/>
        <w:t>second</w:t>
      </w:r>
      <w:r>
        <w:rPr>
          <w:spacing w:val="-7"/>
        </w:rPr>
        <w:t> </w:t>
      </w:r>
      <w:r>
        <w:rPr/>
        <w:t>class</w:t>
      </w:r>
      <w:r>
        <w:rPr>
          <w:spacing w:val="-4"/>
        </w:rPr>
        <w:t> </w:t>
      </w:r>
      <w:r>
        <w:rPr>
          <w:spacing w:val="-3"/>
        </w:rPr>
        <w:t>is</w:t>
      </w:r>
      <w:r>
        <w:rPr>
          <w:spacing w:val="-5"/>
        </w:rPr>
        <w:t> </w:t>
      </w:r>
      <w:r>
        <w:rPr/>
        <w:t>suitable.</w:t>
      </w:r>
      <w:r>
        <w:rPr>
          <w:spacing w:val="-5"/>
        </w:rPr>
        <w:t> </w:t>
      </w:r>
      <w:r>
        <w:rPr/>
        <w:t>Third</w:t>
      </w:r>
      <w:r>
        <w:rPr>
          <w:spacing w:val="-3"/>
        </w:rPr>
        <w:t> </w:t>
      </w:r>
      <w:r>
        <w:rPr/>
        <w:t>grade</w:t>
      </w:r>
      <w:r>
        <w:rPr>
          <w:spacing w:val="-6"/>
        </w:rPr>
        <w:t> </w:t>
      </w:r>
      <w:r>
        <w:rPr/>
        <w:t>water</w:t>
      </w:r>
      <w:r>
        <w:rPr>
          <w:spacing w:val="-8"/>
        </w:rPr>
        <w:t> </w:t>
      </w:r>
      <w:r>
        <w:rPr/>
        <w:t>can only be used on light soils. The influence of soil soils on the formation of crop yields </w:t>
      </w:r>
      <w:r>
        <w:rPr>
          <w:spacing w:val="-3"/>
        </w:rPr>
        <w:t>is </w:t>
      </w:r>
      <w:r>
        <w:rPr/>
        <w:t>taken into account by means of the effects of the level of the sodium-calcium potential of the soil on the growth of the plant mass</w:t>
      </w:r>
      <w:r>
        <w:rPr>
          <w:spacing w:val="-14"/>
        </w:rPr>
        <w:t> </w:t>
      </w:r>
      <w:r>
        <w:rPr/>
        <w:t>[3]:</w:t>
      </w:r>
    </w:p>
    <w:p>
      <w:pPr>
        <w:spacing w:after="0"/>
        <w:sectPr>
          <w:pgSz w:w="11910" w:h="16840"/>
          <w:pgMar w:header="713" w:footer="778" w:top="1140" w:bottom="960" w:left="940" w:right="520"/>
        </w:sectPr>
      </w:pPr>
    </w:p>
    <w:p>
      <w:pPr>
        <w:spacing w:line="259" w:lineRule="exact" w:before="23"/>
        <w:ind w:left="1267" w:right="0" w:firstLine="0"/>
        <w:jc w:val="left"/>
        <w:rPr>
          <w:sz w:val="24"/>
        </w:rPr>
      </w:pPr>
      <w:r>
        <w:rPr/>
        <w:pict>
          <v:shape style="position:absolute;margin-left:97.621529pt;margin-top:6.935091pt;width:10pt;height:15.7pt;mso-position-horizontal-relative:page;mso-position-vertical-relative:paragraph;z-index:251701248" type="#_x0000_t202" filled="false" stroked="false">
            <v:textbox inset="0,0,0,0">
              <w:txbxContent>
                <w:p>
                  <w:pPr>
                    <w:pStyle w:val="BodyText"/>
                    <w:spacing w:line="313" w:lineRule="exact"/>
                    <w:ind w:left="0"/>
                    <w:jc w:val="left"/>
                  </w:pPr>
                  <w:r>
                    <w:rPr>
                      <w:w w:val="98"/>
                    </w:rPr>
                    <w:t>K</w:t>
                  </w:r>
                </w:p>
              </w:txbxContent>
            </v:textbox>
            <w10:wrap type="none"/>
          </v:shape>
        </w:pict>
      </w:r>
      <w:r>
        <w:rPr>
          <w:w w:val="98"/>
          <w:sz w:val="24"/>
        </w:rPr>
        <w:t>j</w:t>
      </w:r>
    </w:p>
    <w:p>
      <w:pPr>
        <w:spacing w:line="277" w:lineRule="exact" w:before="0"/>
        <w:ind w:left="1252" w:right="0" w:firstLine="0"/>
        <w:jc w:val="left"/>
        <w:rPr>
          <w:sz w:val="24"/>
        </w:rPr>
      </w:pPr>
      <w:r>
        <w:rPr>
          <w:w w:val="95"/>
          <w:sz w:val="24"/>
        </w:rPr>
        <w:t>Na</w:t>
      </w:r>
      <w:r>
        <w:rPr>
          <w:rFonts w:ascii="Symbol" w:hAnsi="Symbol"/>
          <w:w w:val="95"/>
          <w:sz w:val="24"/>
        </w:rPr>
        <w:t></w:t>
      </w:r>
      <w:r>
        <w:rPr>
          <w:w w:val="95"/>
          <w:sz w:val="24"/>
        </w:rPr>
        <w:t>Ca</w:t>
      </w:r>
    </w:p>
    <w:p>
      <w:pPr>
        <w:spacing w:before="27"/>
        <w:ind w:left="71" w:right="0" w:firstLine="0"/>
        <w:jc w:val="left"/>
        <w:rPr>
          <w:sz w:val="24"/>
        </w:rPr>
      </w:pPr>
      <w:r>
        <w:rPr/>
        <w:br w:type="column"/>
      </w:r>
      <w:r>
        <w:rPr>
          <w:rFonts w:ascii="Symbol" w:hAnsi="Symbol"/>
          <w:sz w:val="28"/>
        </w:rPr>
        <w:t></w:t>
      </w:r>
      <w:r>
        <w:rPr>
          <w:spacing w:val="-43"/>
          <w:sz w:val="28"/>
        </w:rPr>
        <w:t> </w:t>
      </w:r>
      <w:r>
        <w:rPr>
          <w:sz w:val="28"/>
        </w:rPr>
        <w:t>1</w:t>
      </w:r>
      <w:r>
        <w:rPr>
          <w:spacing w:val="-38"/>
          <w:sz w:val="28"/>
        </w:rPr>
        <w:t> </w:t>
      </w:r>
      <w:r>
        <w:rPr>
          <w:rFonts w:ascii="Symbol" w:hAnsi="Symbol"/>
          <w:sz w:val="28"/>
        </w:rPr>
        <w:t></w:t>
      </w:r>
      <w:r>
        <w:rPr>
          <w:spacing w:val="-22"/>
          <w:sz w:val="28"/>
        </w:rPr>
        <w:t> </w:t>
      </w:r>
      <w:r>
        <w:rPr>
          <w:sz w:val="28"/>
        </w:rPr>
        <w:t>(0,31P</w:t>
      </w:r>
      <w:r>
        <w:rPr>
          <w:position w:val="14"/>
          <w:sz w:val="24"/>
        </w:rPr>
        <w:t>почв(j)</w:t>
      </w:r>
    </w:p>
    <w:p>
      <w:pPr>
        <w:pStyle w:val="ListParagraph"/>
        <w:numPr>
          <w:ilvl w:val="0"/>
          <w:numId w:val="34"/>
        </w:numPr>
        <w:tabs>
          <w:tab w:pos="273" w:val="left" w:leader="none"/>
        </w:tabs>
        <w:spacing w:line="240" w:lineRule="auto" w:before="37" w:after="0"/>
        <w:ind w:left="272" w:right="0" w:hanging="212"/>
        <w:jc w:val="left"/>
        <w:rPr>
          <w:i/>
          <w:sz w:val="24"/>
        </w:rPr>
      </w:pPr>
      <w:r>
        <w:rPr>
          <w:w w:val="98"/>
          <w:sz w:val="28"/>
        </w:rPr>
        <w:br w:type="column"/>
      </w:r>
      <w:r>
        <w:rPr>
          <w:sz w:val="28"/>
        </w:rPr>
        <w:t>0,4)μ </w:t>
      </w:r>
      <w:r>
        <w:rPr>
          <w:spacing w:val="5"/>
          <w:position w:val="13"/>
          <w:sz w:val="24"/>
        </w:rPr>
        <w:t>j</w:t>
      </w:r>
      <w:r>
        <w:rPr>
          <w:spacing w:val="5"/>
          <w:sz w:val="28"/>
        </w:rPr>
        <w:t>TSL</w:t>
      </w:r>
      <w:r>
        <w:rPr>
          <w:spacing w:val="5"/>
          <w:position w:val="13"/>
          <w:sz w:val="24"/>
        </w:rPr>
        <w:t>j</w:t>
      </w:r>
      <w:r>
        <w:rPr>
          <w:i/>
          <w:spacing w:val="5"/>
          <w:sz w:val="28"/>
        </w:rPr>
        <w:t>n</w:t>
      </w:r>
      <w:r>
        <w:rPr>
          <w:i/>
          <w:spacing w:val="-30"/>
          <w:sz w:val="28"/>
        </w:rPr>
        <w:t> </w:t>
      </w:r>
      <w:r>
        <w:rPr>
          <w:i/>
          <w:spacing w:val="-15"/>
          <w:position w:val="13"/>
          <w:sz w:val="24"/>
        </w:rPr>
        <w:t>j</w:t>
      </w:r>
    </w:p>
    <w:p>
      <w:pPr>
        <w:spacing w:before="135"/>
        <w:ind w:left="89" w:right="0" w:firstLine="0"/>
        <w:jc w:val="left"/>
        <w:rPr>
          <w:sz w:val="28"/>
        </w:rPr>
      </w:pPr>
      <w:r>
        <w:rPr/>
        <w:br w:type="column"/>
      </w:r>
      <w:r>
        <w:rPr>
          <w:sz w:val="28"/>
        </w:rPr>
        <w:t>(1)</w:t>
      </w:r>
    </w:p>
    <w:p>
      <w:pPr>
        <w:spacing w:after="0"/>
        <w:jc w:val="left"/>
        <w:rPr>
          <w:sz w:val="28"/>
        </w:rPr>
        <w:sectPr>
          <w:type w:val="continuous"/>
          <w:pgSz w:w="11910" w:h="16840"/>
          <w:pgMar w:top="1140" w:bottom="280" w:left="940" w:right="520"/>
          <w:cols w:num="4" w:equalWidth="0">
            <w:col w:w="1945" w:space="40"/>
            <w:col w:w="2091" w:space="39"/>
            <w:col w:w="1846" w:space="39"/>
            <w:col w:w="4450"/>
          </w:cols>
        </w:sectPr>
      </w:pPr>
    </w:p>
    <w:p>
      <w:pPr>
        <w:pStyle w:val="BodyText"/>
        <w:spacing w:before="128"/>
        <w:ind w:left="903"/>
        <w:jc w:val="left"/>
      </w:pPr>
      <w:r>
        <w:rPr>
          <w:w w:val="95"/>
        </w:rPr>
        <w:t>where</w:t>
      </w:r>
    </w:p>
    <w:p>
      <w:pPr>
        <w:spacing w:line="259" w:lineRule="exact" w:before="16"/>
        <w:ind w:left="335" w:right="0" w:firstLine="0"/>
        <w:jc w:val="left"/>
        <w:rPr>
          <w:sz w:val="24"/>
        </w:rPr>
      </w:pPr>
      <w:r>
        <w:rPr/>
        <w:br w:type="column"/>
      </w:r>
      <w:r>
        <w:rPr>
          <w:sz w:val="24"/>
        </w:rPr>
        <w:t>j</w:t>
      </w:r>
    </w:p>
    <w:p>
      <w:pPr>
        <w:spacing w:line="277" w:lineRule="exact" w:before="0"/>
        <w:ind w:left="320" w:right="0" w:firstLine="0"/>
        <w:jc w:val="left"/>
        <w:rPr>
          <w:sz w:val="24"/>
        </w:rPr>
      </w:pPr>
      <w:r>
        <w:rPr/>
        <w:pict>
          <v:shape style="position:absolute;margin-left:132.178558pt;margin-top:-7.171457pt;width:10.050pt;height:15.7pt;mso-position-horizontal-relative:page;mso-position-vertical-relative:paragraph;z-index:251703296" type="#_x0000_t202" filled="false" stroked="false">
            <v:textbox inset="0,0,0,0">
              <w:txbxContent>
                <w:p>
                  <w:pPr>
                    <w:pStyle w:val="BodyText"/>
                    <w:spacing w:line="313" w:lineRule="exact"/>
                    <w:ind w:left="0"/>
                    <w:jc w:val="left"/>
                  </w:pPr>
                  <w:r>
                    <w:rPr>
                      <w:w w:val="99"/>
                    </w:rPr>
                    <w:t>K</w:t>
                  </w:r>
                </w:p>
              </w:txbxContent>
            </v:textbox>
            <w10:wrap type="none"/>
          </v:shape>
        </w:pict>
      </w:r>
      <w:r>
        <w:rPr/>
        <w:pict>
          <v:shape style="position:absolute;margin-left:307.142334pt;margin-top:26.417273pt;width:35.15pt;height:14.85pt;mso-position-horizontal-relative:page;mso-position-vertical-relative:paragraph;z-index:-267124736" type="#_x0000_t202" filled="false" stroked="false">
            <v:textbox inset="0,0,0,0">
              <w:txbxContent>
                <w:p>
                  <w:pPr>
                    <w:spacing w:before="2"/>
                    <w:ind w:left="0" w:right="0" w:firstLine="0"/>
                    <w:jc w:val="left"/>
                    <w:rPr>
                      <w:sz w:val="24"/>
                    </w:rPr>
                  </w:pPr>
                  <w:r>
                    <w:rPr>
                      <w:sz w:val="24"/>
                    </w:rPr>
                    <w:t>Na</w:t>
                  </w:r>
                  <w:r>
                    <w:rPr>
                      <w:rFonts w:ascii="Symbol" w:hAnsi="Symbol"/>
                      <w:sz w:val="24"/>
                    </w:rPr>
                    <w:t></w:t>
                  </w:r>
                  <w:r>
                    <w:rPr>
                      <w:sz w:val="24"/>
                    </w:rPr>
                    <w:t>Ca</w:t>
                  </w:r>
                </w:p>
              </w:txbxContent>
            </v:textbox>
            <w10:wrap type="none"/>
          </v:shape>
        </w:pict>
      </w:r>
      <w:r>
        <w:rPr>
          <w:sz w:val="24"/>
        </w:rPr>
        <w:t>Na</w:t>
      </w:r>
      <w:r>
        <w:rPr>
          <w:rFonts w:ascii="Symbol" w:hAnsi="Symbol"/>
          <w:sz w:val="24"/>
        </w:rPr>
        <w:t></w:t>
      </w:r>
      <w:r>
        <w:rPr>
          <w:sz w:val="24"/>
        </w:rPr>
        <w:t>Ca</w:t>
      </w:r>
    </w:p>
    <w:p>
      <w:pPr>
        <w:pStyle w:val="ListParagraph"/>
        <w:numPr>
          <w:ilvl w:val="0"/>
          <w:numId w:val="35"/>
        </w:numPr>
        <w:tabs>
          <w:tab w:pos="241" w:val="left" w:leader="none"/>
        </w:tabs>
        <w:spacing w:line="240" w:lineRule="auto" w:before="128" w:after="0"/>
        <w:ind w:left="240" w:right="0" w:hanging="226"/>
        <w:jc w:val="left"/>
        <w:rPr>
          <w:sz w:val="28"/>
        </w:rPr>
      </w:pPr>
      <w:r>
        <w:rPr>
          <w:spacing w:val="-2"/>
          <w:w w:val="99"/>
          <w:sz w:val="28"/>
        </w:rPr>
        <w:br w:type="column"/>
      </w:r>
      <w:r>
        <w:rPr>
          <w:sz w:val="28"/>
        </w:rPr>
        <w:t>function of the effect of sodium-calcium soil potential on</w:t>
      </w:r>
      <w:r>
        <w:rPr>
          <w:spacing w:val="61"/>
          <w:sz w:val="28"/>
        </w:rPr>
        <w:t> </w:t>
      </w:r>
      <w:r>
        <w:rPr>
          <w:sz w:val="28"/>
        </w:rPr>
        <w:t>the</w:t>
      </w:r>
    </w:p>
    <w:p>
      <w:pPr>
        <w:spacing w:after="0" w:line="240" w:lineRule="auto"/>
        <w:jc w:val="left"/>
        <w:rPr>
          <w:sz w:val="28"/>
        </w:rPr>
        <w:sectPr>
          <w:type w:val="continuous"/>
          <w:pgSz w:w="11910" w:h="16840"/>
          <w:pgMar w:top="1140" w:bottom="280" w:left="940" w:right="520"/>
          <w:cols w:num="3" w:equalWidth="0">
            <w:col w:w="1585" w:space="40"/>
            <w:col w:w="1016" w:space="39"/>
            <w:col w:w="7770"/>
          </w:cols>
        </w:sectPr>
      </w:pPr>
    </w:p>
    <w:p>
      <w:pPr>
        <w:pStyle w:val="BodyText"/>
        <w:spacing w:line="410" w:lineRule="atLeast" w:before="35"/>
        <w:jc w:val="left"/>
      </w:pPr>
      <w:r>
        <w:rPr/>
        <w:t>growth of dry biomass of an entire plant; the potential intensity of plant growth.</w:t>
      </w:r>
    </w:p>
    <w:p>
      <w:pPr>
        <w:spacing w:before="11"/>
        <w:ind w:left="97" w:right="0" w:firstLine="0"/>
        <w:jc w:val="left"/>
        <w:rPr>
          <w:sz w:val="28"/>
        </w:rPr>
      </w:pPr>
      <w:r>
        <w:rPr/>
        <w:br w:type="column"/>
      </w:r>
      <w:r>
        <w:rPr>
          <w:position w:val="1"/>
          <w:sz w:val="28"/>
        </w:rPr>
        <w:t>P</w:t>
      </w:r>
      <w:r>
        <w:rPr>
          <w:position w:val="15"/>
          <w:sz w:val="24"/>
        </w:rPr>
        <w:t>почв(j) </w:t>
      </w:r>
      <w:r>
        <w:rPr>
          <w:sz w:val="28"/>
        </w:rPr>
        <w:t>– sodium-calcium soil potential; -</w:t>
      </w:r>
    </w:p>
    <w:p>
      <w:pPr>
        <w:spacing w:after="0"/>
        <w:jc w:val="left"/>
        <w:rPr>
          <w:sz w:val="28"/>
        </w:rPr>
        <w:sectPr>
          <w:type w:val="continuous"/>
          <w:pgSz w:w="11910" w:h="16840"/>
          <w:pgMar w:top="1140" w:bottom="280" w:left="940" w:right="520"/>
          <w:cols w:num="2" w:equalWidth="0">
            <w:col w:w="4908" w:space="40"/>
            <w:col w:w="5502"/>
          </w:cols>
        </w:sectPr>
      </w:pPr>
    </w:p>
    <w:p>
      <w:pPr>
        <w:pStyle w:val="BodyText"/>
        <w:spacing w:before="8"/>
        <w:ind w:right="612" w:firstLine="710"/>
      </w:pPr>
      <w:r>
        <w:rPr/>
        <w:pict>
          <v:shape style="position:absolute;margin-left:342.390442pt;margin-top:53.857914pt;width:18.25pt;height:17.4pt;mso-position-horizontal-relative:page;mso-position-vertical-relative:paragraph;z-index:251707392" type="#_x0000_t202" filled="false" stroked="false">
            <v:textbox inset="0,0,0,0">
              <w:txbxContent>
                <w:p>
                  <w:pPr>
                    <w:pStyle w:val="BodyText"/>
                    <w:numPr>
                      <w:ilvl w:val="0"/>
                      <w:numId w:val="36"/>
                    </w:numPr>
                    <w:tabs>
                      <w:tab w:pos="207" w:val="left" w:leader="none"/>
                    </w:tabs>
                    <w:spacing w:line="240" w:lineRule="auto" w:before="3" w:after="0"/>
                    <w:ind w:left="206" w:right="0" w:hanging="207"/>
                    <w:jc w:val="left"/>
                  </w:pPr>
                  <w:r>
                    <w:rPr>
                      <w:spacing w:val="-20"/>
                      <w:w w:val="100"/>
                    </w:rPr>
                    <w:t>S</w:t>
                  </w:r>
                  <w:r>
                    <w:rPr>
                      <w:w w:val="100"/>
                    </w:rPr>
                  </w:r>
                </w:p>
              </w:txbxContent>
            </v:textbox>
            <w10:wrap type="none"/>
          </v:shape>
        </w:pict>
      </w:r>
      <w:r>
        <w:rPr/>
        <w:t>The</w:t>
      </w:r>
      <w:r>
        <w:rPr>
          <w:spacing w:val="-16"/>
        </w:rPr>
        <w:t> </w:t>
      </w:r>
      <w:r>
        <w:rPr/>
        <w:t>decrease</w:t>
      </w:r>
      <w:r>
        <w:rPr>
          <w:spacing w:val="-16"/>
        </w:rPr>
        <w:t> </w:t>
      </w:r>
      <w:r>
        <w:rPr/>
        <w:t>in</w:t>
      </w:r>
      <w:r>
        <w:rPr>
          <w:spacing w:val="-21"/>
        </w:rPr>
        <w:t> </w:t>
      </w:r>
      <w:r>
        <w:rPr/>
        <w:t>plant</w:t>
      </w:r>
      <w:r>
        <w:rPr>
          <w:spacing w:val="-17"/>
        </w:rPr>
        <w:t> </w:t>
      </w:r>
      <w:r>
        <w:rPr/>
        <w:t>productivity</w:t>
      </w:r>
      <w:r>
        <w:rPr>
          <w:spacing w:val="-16"/>
        </w:rPr>
        <w:t> </w:t>
      </w:r>
      <w:r>
        <w:rPr/>
        <w:t>under</w:t>
      </w:r>
      <w:r>
        <w:rPr>
          <w:spacing w:val="-18"/>
        </w:rPr>
        <w:t> </w:t>
      </w:r>
      <w:r>
        <w:rPr/>
        <w:t>the</w:t>
      </w:r>
      <w:r>
        <w:rPr>
          <w:spacing w:val="-16"/>
        </w:rPr>
        <w:t> </w:t>
      </w:r>
      <w:r>
        <w:rPr/>
        <w:t>influence</w:t>
      </w:r>
      <w:r>
        <w:rPr>
          <w:spacing w:val="-15"/>
        </w:rPr>
        <w:t> </w:t>
      </w:r>
      <w:r>
        <w:rPr/>
        <w:t>of</w:t>
      </w:r>
      <w:r>
        <w:rPr>
          <w:spacing w:val="-23"/>
        </w:rPr>
        <w:t> </w:t>
      </w:r>
      <w:r>
        <w:rPr/>
        <w:t>soil</w:t>
      </w:r>
      <w:r>
        <w:rPr>
          <w:spacing w:val="-22"/>
        </w:rPr>
        <w:t> </w:t>
      </w:r>
      <w:r>
        <w:rPr/>
        <w:t>salting</w:t>
      </w:r>
      <w:r>
        <w:rPr>
          <w:spacing w:val="-17"/>
        </w:rPr>
        <w:t> </w:t>
      </w:r>
      <w:r>
        <w:rPr>
          <w:spacing w:val="-3"/>
        </w:rPr>
        <w:t>is</w:t>
      </w:r>
      <w:r>
        <w:rPr>
          <w:spacing w:val="-14"/>
        </w:rPr>
        <w:t> </w:t>
      </w:r>
      <w:r>
        <w:rPr/>
        <w:t>calculated by means of the effect of the degree of salinity of the soil on the growth of biomass of plants</w:t>
      </w:r>
      <w:r>
        <w:rPr>
          <w:spacing w:val="1"/>
        </w:rPr>
        <w:t> </w:t>
      </w:r>
      <w:r>
        <w:rPr/>
        <w:t>[3]:</w:t>
      </w:r>
    </w:p>
    <w:p>
      <w:pPr>
        <w:spacing w:after="0"/>
        <w:sectPr>
          <w:type w:val="continuous"/>
          <w:pgSz w:w="11910" w:h="16840"/>
          <w:pgMar w:top="1140" w:bottom="280" w:left="940" w:right="520"/>
        </w:sectPr>
      </w:pPr>
    </w:p>
    <w:p>
      <w:pPr>
        <w:spacing w:before="24"/>
        <w:ind w:left="0" w:right="0" w:firstLine="0"/>
        <w:jc w:val="right"/>
        <w:rPr>
          <w:sz w:val="24"/>
        </w:rPr>
      </w:pPr>
      <w:r>
        <w:rPr/>
        <w:pict>
          <v:shape style="position:absolute;margin-left:231.10907pt;margin-top:6.774912pt;width:10.25pt;height:15.7pt;mso-position-horizontal-relative:page;mso-position-vertical-relative:paragraph;z-index:251705344" type="#_x0000_t202" filled="false" stroked="false">
            <v:textbox inset="0,0,0,0">
              <w:txbxContent>
                <w:p>
                  <w:pPr>
                    <w:pStyle w:val="BodyText"/>
                    <w:spacing w:line="313" w:lineRule="exact"/>
                    <w:ind w:left="0"/>
                    <w:jc w:val="left"/>
                  </w:pPr>
                  <w:r>
                    <w:rPr>
                      <w:w w:val="100"/>
                    </w:rPr>
                    <w:t>K</w:t>
                  </w:r>
                </w:p>
              </w:txbxContent>
            </v:textbox>
            <w10:wrap type="none"/>
          </v:shape>
        </w:pict>
      </w:r>
      <w:r>
        <w:rPr/>
        <w:pict>
          <v:shape style="position:absolute;margin-left:312.920776pt;margin-top:12.11623pt;width:24.5pt;height:13.45pt;mso-position-horizontal-relative:page;mso-position-vertical-relative:paragraph;z-index:-267122688" type="#_x0000_t202" filled="false" stroked="false">
            <v:textbox inset="0,0,0,0">
              <w:txbxContent>
                <w:p>
                  <w:pPr>
                    <w:spacing w:line="268" w:lineRule="exact" w:before="0"/>
                    <w:ind w:left="0" w:right="0" w:firstLine="0"/>
                    <w:jc w:val="left"/>
                    <w:rPr>
                      <w:sz w:val="24"/>
                    </w:rPr>
                  </w:pPr>
                  <w:r>
                    <w:rPr>
                      <w:sz w:val="24"/>
                    </w:rPr>
                    <w:t>почв</w:t>
                  </w:r>
                </w:p>
              </w:txbxContent>
            </v:textbox>
            <w10:wrap type="none"/>
          </v:shape>
        </w:pict>
      </w:r>
      <w:r>
        <w:rPr/>
        <w:pict>
          <v:shape style="position:absolute;margin-left:242.447403pt;margin-top:14.387461pt;width:6.75pt;height:13.45pt;mso-position-horizontal-relative:page;mso-position-vertical-relative:paragraph;z-index:-267117568" type="#_x0000_t202" filled="false" stroked="false">
            <v:textbox inset="0,0,0,0">
              <w:txbxContent>
                <w:p>
                  <w:pPr>
                    <w:spacing w:line="268" w:lineRule="exact" w:before="0"/>
                    <w:ind w:left="0" w:right="0" w:firstLine="0"/>
                    <w:jc w:val="left"/>
                    <w:rPr>
                      <w:sz w:val="24"/>
                    </w:rPr>
                  </w:pPr>
                  <w:r>
                    <w:rPr>
                      <w:w w:val="100"/>
                      <w:sz w:val="24"/>
                    </w:rPr>
                    <w:t>S</w:t>
                  </w:r>
                </w:p>
              </w:txbxContent>
            </v:textbox>
            <w10:wrap type="none"/>
          </v:shape>
        </w:pict>
      </w:r>
      <w:r>
        <w:rPr>
          <w:position w:val="14"/>
          <w:sz w:val="24"/>
        </w:rPr>
        <w:t>j </w:t>
      </w:r>
      <w:r>
        <w:rPr>
          <w:rFonts w:ascii="Symbol" w:hAnsi="Symbol"/>
          <w:sz w:val="28"/>
        </w:rPr>
        <w:t></w:t>
      </w:r>
      <w:r>
        <w:rPr>
          <w:sz w:val="28"/>
        </w:rPr>
        <w:t> 1 </w:t>
      </w:r>
      <w:r>
        <w:rPr>
          <w:rFonts w:ascii="Symbol" w:hAnsi="Symbol"/>
          <w:sz w:val="28"/>
        </w:rPr>
        <w:t></w:t>
      </w:r>
      <w:r>
        <w:rPr>
          <w:sz w:val="28"/>
        </w:rPr>
        <w:t> q</w:t>
      </w:r>
      <w:r>
        <w:rPr>
          <w:position w:val="-6"/>
          <w:sz w:val="24"/>
        </w:rPr>
        <w:t>S </w:t>
      </w:r>
      <w:r>
        <w:rPr>
          <w:sz w:val="28"/>
        </w:rPr>
        <w:t>(S </w:t>
      </w:r>
      <w:r>
        <w:rPr>
          <w:position w:val="14"/>
          <w:sz w:val="24"/>
        </w:rPr>
        <w:t>j</w:t>
      </w:r>
    </w:p>
    <w:p>
      <w:pPr>
        <w:spacing w:line="187" w:lineRule="auto" w:before="69"/>
        <w:ind w:left="831" w:right="-13" w:firstLine="0"/>
        <w:jc w:val="left"/>
        <w:rPr>
          <w:sz w:val="24"/>
        </w:rPr>
      </w:pPr>
      <w:r>
        <w:rPr/>
        <w:br w:type="column"/>
      </w:r>
      <w:r>
        <w:rPr>
          <w:sz w:val="24"/>
        </w:rPr>
        <w:t>кр почв</w:t>
      </w:r>
    </w:p>
    <w:p>
      <w:pPr>
        <w:spacing w:before="34"/>
        <w:ind w:left="-3" w:right="0" w:firstLine="0"/>
        <w:jc w:val="left"/>
        <w:rPr>
          <w:i/>
          <w:sz w:val="24"/>
        </w:rPr>
      </w:pPr>
      <w:r>
        <w:rPr/>
        <w:br w:type="column"/>
      </w:r>
      <w:r>
        <w:rPr>
          <w:sz w:val="28"/>
        </w:rPr>
        <w:t>)μ </w:t>
      </w:r>
      <w:r>
        <w:rPr>
          <w:position w:val="13"/>
          <w:sz w:val="24"/>
        </w:rPr>
        <w:t>j</w:t>
      </w:r>
      <w:r>
        <w:rPr>
          <w:sz w:val="28"/>
        </w:rPr>
        <w:t>TSL</w:t>
      </w:r>
      <w:r>
        <w:rPr>
          <w:position w:val="13"/>
          <w:sz w:val="24"/>
        </w:rPr>
        <w:t>j</w:t>
      </w:r>
      <w:r>
        <w:rPr>
          <w:sz w:val="28"/>
        </w:rPr>
        <w:t>n </w:t>
      </w:r>
      <w:r>
        <w:rPr>
          <w:i/>
          <w:position w:val="13"/>
          <w:sz w:val="24"/>
        </w:rPr>
        <w:t>j</w:t>
      </w:r>
    </w:p>
    <w:p>
      <w:pPr>
        <w:spacing w:before="133"/>
        <w:ind w:left="92" w:right="0" w:firstLine="0"/>
        <w:jc w:val="left"/>
        <w:rPr>
          <w:sz w:val="28"/>
        </w:rPr>
      </w:pPr>
      <w:r>
        <w:rPr/>
        <w:br w:type="column"/>
      </w:r>
      <w:r>
        <w:rPr>
          <w:sz w:val="28"/>
        </w:rPr>
        <w:t>(2)</w:t>
      </w:r>
    </w:p>
    <w:p>
      <w:pPr>
        <w:spacing w:after="0"/>
        <w:jc w:val="left"/>
        <w:rPr>
          <w:sz w:val="28"/>
        </w:rPr>
        <w:sectPr>
          <w:type w:val="continuous"/>
          <w:pgSz w:w="11910" w:h="16840"/>
          <w:pgMar w:top="1140" w:bottom="280" w:left="940" w:right="520"/>
          <w:cols w:num="4" w:equalWidth="0">
            <w:col w:w="5413" w:space="40"/>
            <w:col w:w="1321" w:space="39"/>
            <w:col w:w="1263" w:space="39"/>
            <w:col w:w="2335"/>
          </w:cols>
        </w:sectPr>
      </w:pPr>
    </w:p>
    <w:p>
      <w:pPr>
        <w:pStyle w:val="BodyText"/>
        <w:spacing w:before="156"/>
        <w:ind w:left="903"/>
        <w:jc w:val="left"/>
      </w:pPr>
      <w:r>
        <w:rPr>
          <w:w w:val="95"/>
        </w:rPr>
        <w:t>where</w:t>
      </w:r>
    </w:p>
    <w:p>
      <w:pPr>
        <w:pStyle w:val="BodyText"/>
        <w:spacing w:before="43"/>
        <w:ind w:left="111"/>
        <w:jc w:val="left"/>
      </w:pPr>
      <w:r>
        <w:rPr/>
        <w:br w:type="column"/>
      </w:r>
      <w:r>
        <w:rPr>
          <w:i/>
          <w:position w:val="1"/>
        </w:rPr>
        <w:t>K </w:t>
      </w:r>
      <w:r>
        <w:rPr>
          <w:i/>
          <w:position w:val="15"/>
          <w:sz w:val="24"/>
        </w:rPr>
        <w:t>j </w:t>
      </w:r>
      <w:r>
        <w:rPr/>
        <w:t>- the function of the</w:t>
      </w:r>
      <w:r>
        <w:rPr>
          <w:spacing w:val="56"/>
        </w:rPr>
        <w:t> </w:t>
      </w:r>
      <w:r>
        <w:rPr/>
        <w:t>effect of salt content in soil on the growth </w:t>
      </w:r>
      <w:r>
        <w:rPr>
          <w:spacing w:val="4"/>
        </w:rPr>
        <w:t>of</w:t>
      </w:r>
    </w:p>
    <w:p>
      <w:pPr>
        <w:spacing w:after="0"/>
        <w:jc w:val="left"/>
        <w:sectPr>
          <w:type w:val="continuous"/>
          <w:pgSz w:w="11910" w:h="16840"/>
          <w:pgMar w:top="1140" w:bottom="280" w:left="940" w:right="520"/>
          <w:cols w:num="2" w:equalWidth="0">
            <w:col w:w="1585" w:space="40"/>
            <w:col w:w="8825"/>
          </w:cols>
        </w:sectPr>
      </w:pPr>
    </w:p>
    <w:p>
      <w:pPr>
        <w:pStyle w:val="BodyText"/>
        <w:spacing w:before="113"/>
        <w:jc w:val="left"/>
        <w:rPr>
          <w:i/>
          <w:sz w:val="24"/>
        </w:rPr>
      </w:pPr>
      <w:r>
        <w:rPr/>
        <w:pict>
          <v:shape style="position:absolute;margin-left:143.756210pt;margin-top:-8.927408pt;width:5.85pt;height:13.55pt;mso-position-horizontal-relative:page;mso-position-vertical-relative:paragraph;z-index:-267120640" type="#_x0000_t202" filled="false" stroked="false">
            <v:textbox inset="0,0,0,0">
              <w:txbxContent>
                <w:p>
                  <w:pPr>
                    <w:spacing w:line="270" w:lineRule="exact" w:before="0"/>
                    <w:ind w:left="0" w:right="0" w:firstLine="0"/>
                    <w:jc w:val="left"/>
                    <w:rPr>
                      <w:i/>
                      <w:sz w:val="24"/>
                    </w:rPr>
                  </w:pPr>
                  <w:r>
                    <w:rPr>
                      <w:i/>
                      <w:w w:val="96"/>
                      <w:sz w:val="24"/>
                    </w:rPr>
                    <w:t>S</w:t>
                  </w:r>
                </w:p>
              </w:txbxContent>
            </v:textbox>
            <w10:wrap type="none"/>
          </v:shape>
        </w:pict>
      </w:r>
      <w:r>
        <w:rPr/>
        <w:pict>
          <v:shape style="position:absolute;margin-left:513.371704pt;margin-top:16.50149pt;width:23pt;height:13.25pt;mso-position-horizontal-relative:page;mso-position-vertical-relative:paragraph;z-index:-267119616" type="#_x0000_t202" filled="false" stroked="false">
            <v:textbox inset="0,0,0,0">
              <w:txbxContent>
                <w:p>
                  <w:pPr>
                    <w:spacing w:line="265" w:lineRule="exact" w:before="0"/>
                    <w:ind w:left="0" w:right="0" w:firstLine="0"/>
                    <w:jc w:val="left"/>
                    <w:rPr>
                      <w:i/>
                      <w:sz w:val="24"/>
                    </w:rPr>
                  </w:pPr>
                  <w:r>
                    <w:rPr>
                      <w:i/>
                      <w:sz w:val="24"/>
                    </w:rPr>
                    <w:t>почв</w:t>
                  </w:r>
                </w:p>
              </w:txbxContent>
            </v:textbox>
            <w10:wrap type="none"/>
          </v:shape>
        </w:pict>
      </w:r>
      <w:r>
        <w:rPr/>
        <w:pict>
          <v:shape style="position:absolute;margin-left:311.33905pt;margin-top:35.996002pt;width:7.75pt;height:15.45pt;mso-position-horizontal-relative:page;mso-position-vertical-relative:paragraph;z-index:251710464" type="#_x0000_t202" filled="false" stroked="false">
            <v:textbox inset="0,0,0,0">
              <w:txbxContent>
                <w:p>
                  <w:pPr>
                    <w:pStyle w:val="BodyText"/>
                    <w:spacing w:line="308" w:lineRule="exact"/>
                    <w:ind w:left="0"/>
                    <w:jc w:val="left"/>
                  </w:pPr>
                  <w:r>
                    <w:rPr>
                      <w:w w:val="99"/>
                    </w:rPr>
                    <w:t>S</w:t>
                  </w:r>
                </w:p>
              </w:txbxContent>
            </v:textbox>
            <w10:wrap type="none"/>
          </v:shape>
        </w:pict>
      </w:r>
      <w:r>
        <w:rPr/>
        <w:t>biomass of plants; q</w:t>
      </w:r>
      <w:r>
        <w:rPr>
          <w:vertAlign w:val="subscript"/>
        </w:rPr>
        <w:t>s</w:t>
      </w:r>
      <w:r>
        <w:rPr>
          <w:vertAlign w:val="baseline"/>
        </w:rPr>
        <w:t> – reduction of biomass increment per increment of salinity; S </w:t>
      </w:r>
      <w:r>
        <w:rPr>
          <w:i/>
          <w:position w:val="14"/>
          <w:sz w:val="24"/>
          <w:vertAlign w:val="baseline"/>
        </w:rPr>
        <w:t>j</w:t>
      </w:r>
    </w:p>
    <w:p>
      <w:pPr>
        <w:spacing w:after="0"/>
        <w:jc w:val="left"/>
        <w:rPr>
          <w:sz w:val="24"/>
        </w:rPr>
        <w:sectPr>
          <w:type w:val="continuous"/>
          <w:pgSz w:w="11910" w:h="16840"/>
          <w:pgMar w:top="1140" w:bottom="280" w:left="940" w:right="520"/>
        </w:sectPr>
      </w:pPr>
    </w:p>
    <w:p>
      <w:pPr>
        <w:pStyle w:val="BodyText"/>
        <w:spacing w:before="173"/>
        <w:jc w:val="left"/>
      </w:pPr>
      <w:r>
        <w:rPr/>
        <w:t>- salt content in water extraction of soil, gr/l;</w:t>
      </w:r>
    </w:p>
    <w:p>
      <w:pPr>
        <w:spacing w:line="182" w:lineRule="auto" w:before="119"/>
        <w:ind w:left="193" w:right="-19" w:firstLine="0"/>
        <w:jc w:val="left"/>
        <w:rPr>
          <w:i/>
          <w:sz w:val="24"/>
        </w:rPr>
      </w:pPr>
      <w:r>
        <w:rPr/>
        <w:br w:type="column"/>
      </w:r>
      <w:r>
        <w:rPr>
          <w:i/>
          <w:sz w:val="24"/>
        </w:rPr>
        <w:t>кр </w:t>
      </w:r>
      <w:r>
        <w:rPr>
          <w:i/>
          <w:sz w:val="24"/>
        </w:rPr>
        <w:t>почв</w:t>
      </w:r>
    </w:p>
    <w:p>
      <w:pPr>
        <w:pStyle w:val="BodyText"/>
        <w:spacing w:before="166"/>
        <w:ind w:left="78"/>
        <w:jc w:val="left"/>
      </w:pPr>
      <w:r>
        <w:rPr/>
        <w:br w:type="column"/>
      </w:r>
      <w:r>
        <w:rPr/>
        <w:t>- critical level of salinity, gl </w:t>
      </w:r>
      <w:r>
        <w:rPr>
          <w:position w:val="10"/>
          <w:sz w:val="18"/>
        </w:rPr>
        <w:t>-1</w:t>
      </w:r>
      <w:r>
        <w:rPr/>
        <w:t>.</w:t>
      </w:r>
    </w:p>
    <w:p>
      <w:pPr>
        <w:spacing w:after="0"/>
        <w:jc w:val="left"/>
        <w:sectPr>
          <w:type w:val="continuous"/>
          <w:pgSz w:w="11910" w:h="16840"/>
          <w:pgMar w:top="1140" w:bottom="280" w:left="940" w:right="520"/>
          <w:cols w:num="3" w:equalWidth="0">
            <w:col w:w="5220" w:space="46"/>
            <w:col w:w="653" w:space="39"/>
            <w:col w:w="4492"/>
          </w:cols>
        </w:sectPr>
      </w:pPr>
    </w:p>
    <w:p>
      <w:pPr>
        <w:pStyle w:val="BodyText"/>
        <w:spacing w:before="92" w:after="7"/>
        <w:ind w:right="619" w:firstLine="710"/>
      </w:pPr>
      <w:r>
        <w:rPr/>
        <w:t>With the help of the considered model and scientific experiment, the functions of the effect of salinization and soil solubilization on the growth and development of oats</w:t>
      </w:r>
      <w:r>
        <w:rPr>
          <w:spacing w:val="-10"/>
        </w:rPr>
        <w:t> </w:t>
      </w:r>
      <w:r>
        <w:rPr/>
        <w:t>in</w:t>
      </w:r>
      <w:r>
        <w:rPr>
          <w:spacing w:val="-11"/>
        </w:rPr>
        <w:t> </w:t>
      </w:r>
      <w:r>
        <w:rPr/>
        <w:t>the</w:t>
      </w:r>
      <w:r>
        <w:rPr>
          <w:spacing w:val="-9"/>
        </w:rPr>
        <w:t> </w:t>
      </w:r>
      <w:r>
        <w:rPr/>
        <w:t>conditions</w:t>
      </w:r>
      <w:r>
        <w:rPr>
          <w:spacing w:val="-8"/>
        </w:rPr>
        <w:t> </w:t>
      </w:r>
      <w:r>
        <w:rPr/>
        <w:t>of</w:t>
      </w:r>
      <w:r>
        <w:rPr>
          <w:spacing w:val="-16"/>
        </w:rPr>
        <w:t> </w:t>
      </w:r>
      <w:r>
        <w:rPr/>
        <w:t>the</w:t>
      </w:r>
      <w:r>
        <w:rPr>
          <w:spacing w:val="-6"/>
        </w:rPr>
        <w:t> </w:t>
      </w:r>
      <w:r>
        <w:rPr/>
        <w:t>Odessa</w:t>
      </w:r>
      <w:r>
        <w:rPr>
          <w:spacing w:val="-9"/>
        </w:rPr>
        <w:t> </w:t>
      </w:r>
      <w:r>
        <w:rPr/>
        <w:t>region</w:t>
      </w:r>
      <w:r>
        <w:rPr>
          <w:spacing w:val="-10"/>
        </w:rPr>
        <w:t> </w:t>
      </w:r>
      <w:r>
        <w:rPr/>
        <w:t>for</w:t>
      </w:r>
      <w:r>
        <w:rPr>
          <w:spacing w:val="-12"/>
        </w:rPr>
        <w:t> </w:t>
      </w:r>
      <w:r>
        <w:rPr/>
        <w:t>the</w:t>
      </w:r>
      <w:r>
        <w:rPr>
          <w:spacing w:val="-9"/>
        </w:rPr>
        <w:t> </w:t>
      </w:r>
      <w:r>
        <w:rPr/>
        <w:t>period</w:t>
      </w:r>
      <w:r>
        <w:rPr>
          <w:spacing w:val="-6"/>
        </w:rPr>
        <w:t> </w:t>
      </w:r>
      <w:r>
        <w:rPr/>
        <w:t>from</w:t>
      </w:r>
      <w:r>
        <w:rPr>
          <w:spacing w:val="-15"/>
        </w:rPr>
        <w:t> </w:t>
      </w:r>
      <w:r>
        <w:rPr/>
        <w:t>2008</w:t>
      </w:r>
      <w:r>
        <w:rPr>
          <w:spacing w:val="-10"/>
        </w:rPr>
        <w:t> </w:t>
      </w:r>
      <w:r>
        <w:rPr/>
        <w:t>to</w:t>
      </w:r>
      <w:r>
        <w:rPr>
          <w:spacing w:val="-11"/>
        </w:rPr>
        <w:t> </w:t>
      </w:r>
      <w:r>
        <w:rPr/>
        <w:t>2018,</w:t>
      </w:r>
      <w:r>
        <w:rPr>
          <w:spacing w:val="-8"/>
        </w:rPr>
        <w:t> </w:t>
      </w:r>
      <w:r>
        <w:rPr/>
        <w:t>which</w:t>
      </w:r>
      <w:r>
        <w:rPr>
          <w:spacing w:val="-15"/>
        </w:rPr>
        <w:t> </w:t>
      </w:r>
      <w:r>
        <w:rPr/>
        <w:t>are shown in Figures 1-4, were</w:t>
      </w:r>
      <w:r>
        <w:rPr>
          <w:spacing w:val="9"/>
        </w:rPr>
        <w:t> </w:t>
      </w:r>
      <w:r>
        <w:rPr/>
        <w:t>calculated.</w:t>
      </w:r>
    </w:p>
    <w:p>
      <w:pPr>
        <w:pStyle w:val="BodyText"/>
        <w:ind w:left="678"/>
        <w:jc w:val="left"/>
        <w:rPr>
          <w:sz w:val="20"/>
        </w:rPr>
      </w:pPr>
      <w:r>
        <w:rPr>
          <w:sz w:val="20"/>
        </w:rPr>
        <w:drawing>
          <wp:inline distT="0" distB="0" distL="0" distR="0">
            <wp:extent cx="5492097" cy="2304288"/>
            <wp:effectExtent l="0" t="0" r="0" b="0"/>
            <wp:docPr id="31" name="image70.png"/>
            <wp:cNvGraphicFramePr>
              <a:graphicFrameLocks noChangeAspect="1"/>
            </wp:cNvGraphicFramePr>
            <a:graphic>
              <a:graphicData uri="http://schemas.openxmlformats.org/drawingml/2006/picture">
                <pic:pic>
                  <pic:nvPicPr>
                    <pic:cNvPr id="32" name="image70.png"/>
                    <pic:cNvPicPr/>
                  </pic:nvPicPr>
                  <pic:blipFill>
                    <a:blip r:embed="rId119" cstate="print"/>
                    <a:stretch>
                      <a:fillRect/>
                    </a:stretch>
                  </pic:blipFill>
                  <pic:spPr>
                    <a:xfrm>
                      <a:off x="0" y="0"/>
                      <a:ext cx="5492097" cy="2304288"/>
                    </a:xfrm>
                    <a:prstGeom prst="rect">
                      <a:avLst/>
                    </a:prstGeom>
                  </pic:spPr>
                </pic:pic>
              </a:graphicData>
            </a:graphic>
          </wp:inline>
        </w:drawing>
      </w:r>
      <w:r>
        <w:rPr>
          <w:sz w:val="20"/>
        </w:rPr>
      </w:r>
    </w:p>
    <w:p>
      <w:pPr>
        <w:pStyle w:val="BodyText"/>
        <w:spacing w:before="7"/>
        <w:ind w:right="621" w:firstLine="561"/>
      </w:pPr>
      <w:r>
        <w:rPr>
          <w:b/>
        </w:rPr>
        <w:t>Fig. 1. </w:t>
      </w:r>
      <w:r>
        <w:rPr/>
        <w:t>Functions of influence of salt content and the function of the influence of sodium-calcium soil potential on the growth of dry oyster biomass in 2008.</w:t>
      </w:r>
    </w:p>
    <w:p>
      <w:pPr>
        <w:pStyle w:val="BodyText"/>
        <w:spacing w:before="10"/>
        <w:ind w:left="0"/>
        <w:jc w:val="left"/>
        <w:rPr>
          <w:sz w:val="27"/>
        </w:rPr>
      </w:pPr>
    </w:p>
    <w:p>
      <w:pPr>
        <w:pStyle w:val="BodyText"/>
        <w:spacing w:after="4"/>
        <w:ind w:right="625" w:firstLine="561"/>
      </w:pPr>
      <w:r>
        <w:rPr/>
        <w:t>From</w:t>
      </w:r>
      <w:r>
        <w:rPr>
          <w:spacing w:val="-12"/>
        </w:rPr>
        <w:t> </w:t>
      </w:r>
      <w:r>
        <w:rPr/>
        <w:t>the</w:t>
      </w:r>
      <w:r>
        <w:rPr>
          <w:spacing w:val="-2"/>
        </w:rPr>
        <w:t> </w:t>
      </w:r>
      <w:r>
        <w:rPr/>
        <w:t>graph,</w:t>
      </w:r>
      <w:r>
        <w:rPr>
          <w:spacing w:val="1"/>
        </w:rPr>
        <w:t> </w:t>
      </w:r>
      <w:r>
        <w:rPr>
          <w:spacing w:val="-3"/>
        </w:rPr>
        <w:t>it</w:t>
      </w:r>
      <w:r>
        <w:rPr>
          <w:spacing w:val="-2"/>
        </w:rPr>
        <w:t> </w:t>
      </w:r>
      <w:r>
        <w:rPr>
          <w:spacing w:val="-3"/>
        </w:rPr>
        <w:t>is</w:t>
      </w:r>
      <w:r>
        <w:rPr>
          <w:spacing w:val="-5"/>
        </w:rPr>
        <w:t> </w:t>
      </w:r>
      <w:r>
        <w:rPr/>
        <w:t>evident</w:t>
      </w:r>
      <w:r>
        <w:rPr>
          <w:spacing w:val="-7"/>
        </w:rPr>
        <w:t> </w:t>
      </w:r>
      <w:r>
        <w:rPr/>
        <w:t>that</w:t>
      </w:r>
      <w:r>
        <w:rPr>
          <w:spacing w:val="-2"/>
        </w:rPr>
        <w:t> </w:t>
      </w:r>
      <w:r>
        <w:rPr/>
        <w:t>from</w:t>
      </w:r>
      <w:r>
        <w:rPr>
          <w:spacing w:val="-12"/>
        </w:rPr>
        <w:t> </w:t>
      </w:r>
      <w:r>
        <w:rPr/>
        <w:t>the</w:t>
      </w:r>
      <w:r>
        <w:rPr>
          <w:spacing w:val="-6"/>
        </w:rPr>
        <w:t> </w:t>
      </w:r>
      <w:r>
        <w:rPr/>
        <w:t>beginning</w:t>
      </w:r>
      <w:r>
        <w:rPr>
          <w:spacing w:val="-6"/>
        </w:rPr>
        <w:t> </w:t>
      </w:r>
      <w:r>
        <w:rPr/>
        <w:t>of</w:t>
      </w:r>
      <w:r>
        <w:rPr>
          <w:spacing w:val="-8"/>
        </w:rPr>
        <w:t> </w:t>
      </w:r>
      <w:r>
        <w:rPr/>
        <w:t>the</w:t>
      </w:r>
      <w:r>
        <w:rPr>
          <w:spacing w:val="-2"/>
        </w:rPr>
        <w:t> </w:t>
      </w:r>
      <w:r>
        <w:rPr/>
        <w:t>growth</w:t>
      </w:r>
      <w:r>
        <w:rPr>
          <w:spacing w:val="-10"/>
        </w:rPr>
        <w:t> </w:t>
      </w:r>
      <w:r>
        <w:rPr/>
        <w:t>period</w:t>
      </w:r>
      <w:r>
        <w:rPr>
          <w:spacing w:val="-7"/>
        </w:rPr>
        <w:t> </w:t>
      </w:r>
      <w:r>
        <w:rPr/>
        <w:t>there</w:t>
      </w:r>
      <w:r>
        <w:rPr>
          <w:spacing w:val="-1"/>
        </w:rPr>
        <w:t> </w:t>
      </w:r>
      <w:r>
        <w:rPr>
          <w:spacing w:val="-3"/>
        </w:rPr>
        <w:t>is </w:t>
      </w:r>
      <w:r>
        <w:rPr/>
        <w:t>an increase in the function of the influence of both processes on owl plants. The maximum values of these functions are reached in the sixth decade of development, after which there </w:t>
      </w:r>
      <w:r>
        <w:rPr>
          <w:spacing w:val="-3"/>
        </w:rPr>
        <w:t>is </w:t>
      </w:r>
      <w:r>
        <w:rPr/>
        <w:t>a slight decrease in these</w:t>
      </w:r>
      <w:r>
        <w:rPr>
          <w:spacing w:val="4"/>
        </w:rPr>
        <w:t> </w:t>
      </w:r>
      <w:r>
        <w:rPr/>
        <w:t>characteristics.</w:t>
      </w:r>
    </w:p>
    <w:p>
      <w:pPr>
        <w:pStyle w:val="BodyText"/>
        <w:ind w:left="678"/>
        <w:jc w:val="left"/>
        <w:rPr>
          <w:sz w:val="20"/>
        </w:rPr>
      </w:pPr>
      <w:r>
        <w:rPr>
          <w:sz w:val="20"/>
        </w:rPr>
        <w:drawing>
          <wp:inline distT="0" distB="0" distL="0" distR="0">
            <wp:extent cx="5493965" cy="2170176"/>
            <wp:effectExtent l="0" t="0" r="0" b="0"/>
            <wp:docPr id="33" name="image71.png"/>
            <wp:cNvGraphicFramePr>
              <a:graphicFrameLocks noChangeAspect="1"/>
            </wp:cNvGraphicFramePr>
            <a:graphic>
              <a:graphicData uri="http://schemas.openxmlformats.org/drawingml/2006/picture">
                <pic:pic>
                  <pic:nvPicPr>
                    <pic:cNvPr id="34" name="image71.png"/>
                    <pic:cNvPicPr/>
                  </pic:nvPicPr>
                  <pic:blipFill>
                    <a:blip r:embed="rId120" cstate="print"/>
                    <a:stretch>
                      <a:fillRect/>
                    </a:stretch>
                  </pic:blipFill>
                  <pic:spPr>
                    <a:xfrm>
                      <a:off x="0" y="0"/>
                      <a:ext cx="5493965" cy="2170176"/>
                    </a:xfrm>
                    <a:prstGeom prst="rect">
                      <a:avLst/>
                    </a:prstGeom>
                  </pic:spPr>
                </pic:pic>
              </a:graphicData>
            </a:graphic>
          </wp:inline>
        </w:drawing>
      </w:r>
      <w:r>
        <w:rPr>
          <w:sz w:val="20"/>
        </w:rPr>
      </w:r>
    </w:p>
    <w:p>
      <w:pPr>
        <w:pStyle w:val="BodyText"/>
        <w:spacing w:before="5"/>
        <w:ind w:right="608" w:firstLine="561"/>
      </w:pPr>
      <w:r>
        <w:rPr>
          <w:b/>
        </w:rPr>
        <w:t>Fig.</w:t>
      </w:r>
      <w:r>
        <w:rPr>
          <w:b/>
          <w:spacing w:val="-4"/>
        </w:rPr>
        <w:t> </w:t>
      </w:r>
      <w:r>
        <w:rPr>
          <w:b/>
        </w:rPr>
        <w:t>2.</w:t>
      </w:r>
      <w:r>
        <w:rPr>
          <w:b/>
          <w:spacing w:val="-1"/>
        </w:rPr>
        <w:t> </w:t>
      </w:r>
      <w:r>
        <w:rPr>
          <w:spacing w:val="-3"/>
        </w:rPr>
        <w:t>The</w:t>
      </w:r>
      <w:r>
        <w:rPr>
          <w:spacing w:val="-4"/>
        </w:rPr>
        <w:t> </w:t>
      </w:r>
      <w:r>
        <w:rPr/>
        <w:t>effects</w:t>
      </w:r>
      <w:r>
        <w:rPr>
          <w:spacing w:val="-4"/>
        </w:rPr>
        <w:t> </w:t>
      </w:r>
      <w:r>
        <w:rPr/>
        <w:t>of</w:t>
      </w:r>
      <w:r>
        <w:rPr>
          <w:spacing w:val="-6"/>
        </w:rPr>
        <w:t> </w:t>
      </w:r>
      <w:r>
        <w:rPr/>
        <w:t>salt</w:t>
      </w:r>
      <w:r>
        <w:rPr>
          <w:spacing w:val="-5"/>
        </w:rPr>
        <w:t> </w:t>
      </w:r>
      <w:r>
        <w:rPr/>
        <w:t>retention</w:t>
      </w:r>
      <w:r>
        <w:rPr>
          <w:spacing w:val="-9"/>
        </w:rPr>
        <w:t> </w:t>
      </w:r>
      <w:r>
        <w:rPr/>
        <w:t>and</w:t>
      </w:r>
      <w:r>
        <w:rPr>
          <w:spacing w:val="-5"/>
        </w:rPr>
        <w:t> </w:t>
      </w:r>
      <w:r>
        <w:rPr/>
        <w:t>the</w:t>
      </w:r>
      <w:r>
        <w:rPr>
          <w:spacing w:val="1"/>
        </w:rPr>
        <w:t> </w:t>
      </w:r>
      <w:r>
        <w:rPr/>
        <w:t>effect</w:t>
      </w:r>
      <w:r>
        <w:rPr>
          <w:spacing w:val="-5"/>
        </w:rPr>
        <w:t> </w:t>
      </w:r>
      <w:r>
        <w:rPr/>
        <w:t>of</w:t>
      </w:r>
      <w:r>
        <w:rPr>
          <w:spacing w:val="-11"/>
        </w:rPr>
        <w:t> </w:t>
      </w:r>
      <w:r>
        <w:rPr/>
        <w:t>the</w:t>
      </w:r>
      <w:r>
        <w:rPr>
          <w:spacing w:val="-5"/>
        </w:rPr>
        <w:t> </w:t>
      </w:r>
      <w:r>
        <w:rPr/>
        <w:t>sodium-calcium</w:t>
      </w:r>
      <w:r>
        <w:rPr>
          <w:spacing w:val="-10"/>
        </w:rPr>
        <w:t> </w:t>
      </w:r>
      <w:r>
        <w:rPr/>
        <w:t>potential of the soil on the growth of oyster dry biomass </w:t>
      </w:r>
      <w:r>
        <w:rPr>
          <w:spacing w:val="-3"/>
        </w:rPr>
        <w:t>in</w:t>
      </w:r>
      <w:r>
        <w:rPr>
          <w:spacing w:val="-16"/>
        </w:rPr>
        <w:t> </w:t>
      </w:r>
      <w:r>
        <w:rPr/>
        <w:t>2013.</w:t>
      </w:r>
    </w:p>
    <w:p>
      <w:pPr>
        <w:pStyle w:val="BodyText"/>
        <w:spacing w:before="10"/>
        <w:ind w:left="0"/>
        <w:jc w:val="left"/>
        <w:rPr>
          <w:sz w:val="27"/>
        </w:rPr>
      </w:pPr>
    </w:p>
    <w:p>
      <w:pPr>
        <w:pStyle w:val="BodyText"/>
        <w:ind w:right="608" w:firstLine="561"/>
      </w:pPr>
      <w:r>
        <w:rPr/>
        <w:t>The peculiarity of the functions of the effect of irrigation on oats in 2013 </w:t>
      </w:r>
      <w:r>
        <w:rPr>
          <w:spacing w:val="-3"/>
        </w:rPr>
        <w:t>is </w:t>
      </w:r>
      <w:r>
        <w:rPr/>
        <w:t>a uniform</w:t>
      </w:r>
      <w:r>
        <w:rPr>
          <w:spacing w:val="-13"/>
        </w:rPr>
        <w:t> </w:t>
      </w:r>
      <w:r>
        <w:rPr/>
        <w:t>increase</w:t>
      </w:r>
      <w:r>
        <w:rPr>
          <w:spacing w:val="-6"/>
        </w:rPr>
        <w:t> </w:t>
      </w:r>
      <w:r>
        <w:rPr/>
        <w:t>in</w:t>
      </w:r>
      <w:r>
        <w:rPr>
          <w:spacing w:val="-12"/>
        </w:rPr>
        <w:t> </w:t>
      </w:r>
      <w:r>
        <w:rPr/>
        <w:t>the</w:t>
      </w:r>
      <w:r>
        <w:rPr>
          <w:spacing w:val="-2"/>
        </w:rPr>
        <w:t> </w:t>
      </w:r>
      <w:r>
        <w:rPr/>
        <w:t>values</w:t>
      </w:r>
      <w:r>
        <w:rPr>
          <w:spacing w:val="-5"/>
        </w:rPr>
        <w:t> </w:t>
      </w:r>
      <w:r>
        <w:rPr/>
        <w:t>of</w:t>
      </w:r>
      <w:r>
        <w:rPr>
          <w:spacing w:val="-13"/>
        </w:rPr>
        <w:t> </w:t>
      </w:r>
      <w:r>
        <w:rPr/>
        <w:t>both</w:t>
      </w:r>
      <w:r>
        <w:rPr>
          <w:spacing w:val="-6"/>
        </w:rPr>
        <w:t> </w:t>
      </w:r>
      <w:r>
        <w:rPr/>
        <w:t>functions</w:t>
      </w:r>
      <w:r>
        <w:rPr>
          <w:spacing w:val="-5"/>
        </w:rPr>
        <w:t> </w:t>
      </w:r>
      <w:r>
        <w:rPr/>
        <w:t>of</w:t>
      </w:r>
      <w:r>
        <w:rPr>
          <w:spacing w:val="-9"/>
        </w:rPr>
        <w:t> </w:t>
      </w:r>
      <w:r>
        <w:rPr/>
        <w:t>influence,</w:t>
      </w:r>
      <w:r>
        <w:rPr>
          <w:spacing w:val="-4"/>
        </w:rPr>
        <w:t> </w:t>
      </w:r>
      <w:r>
        <w:rPr/>
        <w:t>their</w:t>
      </w:r>
      <w:r>
        <w:rPr>
          <w:spacing w:val="-5"/>
        </w:rPr>
        <w:t> </w:t>
      </w:r>
      <w:r>
        <w:rPr/>
        <w:t>maximal</w:t>
      </w:r>
      <w:r>
        <w:rPr>
          <w:spacing w:val="-7"/>
        </w:rPr>
        <w:t> </w:t>
      </w:r>
      <w:r>
        <w:rPr/>
        <w:t>value</w:t>
      </w:r>
      <w:r>
        <w:rPr>
          <w:spacing w:val="-7"/>
        </w:rPr>
        <w:t> </w:t>
      </w:r>
      <w:r>
        <w:rPr/>
        <w:t>they reach in the last periods of development. In 2014, there was a significant increase in the values of the functions of influence in the first half of the period of growth and development, while the minimum functions of influence on quantitative indicators were</w:t>
      </w:r>
      <w:r>
        <w:rPr>
          <w:spacing w:val="-11"/>
        </w:rPr>
        <w:t> </w:t>
      </w:r>
      <w:r>
        <w:rPr/>
        <w:t>marked.</w:t>
      </w:r>
      <w:r>
        <w:rPr>
          <w:spacing w:val="-13"/>
        </w:rPr>
        <w:t> </w:t>
      </w:r>
      <w:r>
        <w:rPr/>
        <w:t>This</w:t>
      </w:r>
      <w:r>
        <w:rPr>
          <w:spacing w:val="-12"/>
        </w:rPr>
        <w:t> </w:t>
      </w:r>
      <w:r>
        <w:rPr>
          <w:spacing w:val="-3"/>
        </w:rPr>
        <w:t>is</w:t>
      </w:r>
      <w:r>
        <w:rPr>
          <w:spacing w:val="-13"/>
        </w:rPr>
        <w:t> </w:t>
      </w:r>
      <w:r>
        <w:rPr/>
        <w:t>probably</w:t>
      </w:r>
      <w:r>
        <w:rPr>
          <w:spacing w:val="-19"/>
        </w:rPr>
        <w:t> </w:t>
      </w:r>
      <w:r>
        <w:rPr/>
        <w:t>due</w:t>
      </w:r>
      <w:r>
        <w:rPr>
          <w:spacing w:val="-14"/>
        </w:rPr>
        <w:t> </w:t>
      </w:r>
      <w:r>
        <w:rPr/>
        <w:t>to</w:t>
      </w:r>
      <w:r>
        <w:rPr>
          <w:spacing w:val="-16"/>
        </w:rPr>
        <w:t> </w:t>
      </w:r>
      <w:r>
        <w:rPr/>
        <w:t>the</w:t>
      </w:r>
      <w:r>
        <w:rPr>
          <w:spacing w:val="-13"/>
        </w:rPr>
        <w:t> </w:t>
      </w:r>
      <w:r>
        <w:rPr/>
        <w:t>fact</w:t>
      </w:r>
      <w:r>
        <w:rPr>
          <w:spacing w:val="-16"/>
        </w:rPr>
        <w:t> </w:t>
      </w:r>
      <w:r>
        <w:rPr/>
        <w:t>that</w:t>
      </w:r>
      <w:r>
        <w:rPr>
          <w:spacing w:val="-15"/>
        </w:rPr>
        <w:t> </w:t>
      </w:r>
      <w:r>
        <w:rPr/>
        <w:t>this</w:t>
      </w:r>
      <w:r>
        <w:rPr>
          <w:spacing w:val="-13"/>
        </w:rPr>
        <w:t> </w:t>
      </w:r>
      <w:r>
        <w:rPr/>
        <w:t>year</w:t>
      </w:r>
      <w:r>
        <w:rPr>
          <w:spacing w:val="-17"/>
        </w:rPr>
        <w:t> </w:t>
      </w:r>
      <w:r>
        <w:rPr/>
        <w:t>the</w:t>
      </w:r>
      <w:r>
        <w:rPr>
          <w:spacing w:val="-13"/>
        </w:rPr>
        <w:t> </w:t>
      </w:r>
      <w:r>
        <w:rPr/>
        <w:t>temperature</w:t>
      </w:r>
      <w:r>
        <w:rPr>
          <w:spacing w:val="-14"/>
        </w:rPr>
        <w:t> </w:t>
      </w:r>
      <w:r>
        <w:rPr/>
        <w:t>background was significantly lower than in previous years. With reduced air temperature, the flow of salinization and salinization on plants</w:t>
      </w:r>
      <w:r>
        <w:rPr>
          <w:spacing w:val="-13"/>
        </w:rPr>
        <w:t> </w:t>
      </w:r>
      <w:r>
        <w:rPr/>
        <w:t>decreases.</w:t>
      </w:r>
    </w:p>
    <w:p>
      <w:pPr>
        <w:spacing w:after="0"/>
        <w:sectPr>
          <w:pgSz w:w="11910" w:h="16840"/>
          <w:pgMar w:header="713" w:footer="778" w:top="1140" w:bottom="960" w:left="940" w:right="520"/>
        </w:sectPr>
      </w:pPr>
    </w:p>
    <w:p>
      <w:pPr>
        <w:pStyle w:val="BodyText"/>
        <w:ind w:left="0"/>
        <w:jc w:val="left"/>
        <w:rPr>
          <w:sz w:val="20"/>
        </w:rPr>
      </w:pPr>
    </w:p>
    <w:p>
      <w:pPr>
        <w:pStyle w:val="BodyText"/>
        <w:spacing w:before="7"/>
        <w:ind w:left="0"/>
        <w:jc w:val="left"/>
        <w:rPr>
          <w:sz w:val="16"/>
        </w:rPr>
      </w:pPr>
    </w:p>
    <w:p>
      <w:pPr>
        <w:pStyle w:val="BodyText"/>
        <w:ind w:left="345"/>
        <w:jc w:val="left"/>
        <w:rPr>
          <w:sz w:val="20"/>
        </w:rPr>
      </w:pPr>
      <w:r>
        <w:rPr>
          <w:sz w:val="20"/>
        </w:rPr>
        <w:drawing>
          <wp:inline distT="0" distB="0" distL="0" distR="0">
            <wp:extent cx="5811869" cy="2206752"/>
            <wp:effectExtent l="0" t="0" r="0" b="0"/>
            <wp:docPr id="35" name="image72.png"/>
            <wp:cNvGraphicFramePr>
              <a:graphicFrameLocks noChangeAspect="1"/>
            </wp:cNvGraphicFramePr>
            <a:graphic>
              <a:graphicData uri="http://schemas.openxmlformats.org/drawingml/2006/picture">
                <pic:pic>
                  <pic:nvPicPr>
                    <pic:cNvPr id="36" name="image72.png"/>
                    <pic:cNvPicPr/>
                  </pic:nvPicPr>
                  <pic:blipFill>
                    <a:blip r:embed="rId121" cstate="print"/>
                    <a:stretch>
                      <a:fillRect/>
                    </a:stretch>
                  </pic:blipFill>
                  <pic:spPr>
                    <a:xfrm>
                      <a:off x="0" y="0"/>
                      <a:ext cx="5811869" cy="2206752"/>
                    </a:xfrm>
                    <a:prstGeom prst="rect">
                      <a:avLst/>
                    </a:prstGeom>
                  </pic:spPr>
                </pic:pic>
              </a:graphicData>
            </a:graphic>
          </wp:inline>
        </w:drawing>
      </w:r>
      <w:r>
        <w:rPr>
          <w:sz w:val="20"/>
        </w:rPr>
      </w:r>
    </w:p>
    <w:p>
      <w:pPr>
        <w:pStyle w:val="BodyText"/>
        <w:spacing w:before="2" w:after="7"/>
        <w:ind w:right="608" w:firstLine="561"/>
      </w:pPr>
      <w:r>
        <w:rPr>
          <w:b/>
        </w:rPr>
        <w:t>Fig. 3. </w:t>
      </w:r>
      <w:r>
        <w:rPr/>
        <w:t>The effects of salt retention and the effect of the sodium-calcium soil potential on the growth of oyster dry biomass in 2014.</w:t>
      </w:r>
    </w:p>
    <w:p>
      <w:pPr>
        <w:pStyle w:val="BodyText"/>
        <w:ind w:left="596"/>
        <w:jc w:val="left"/>
        <w:rPr>
          <w:sz w:val="20"/>
        </w:rPr>
      </w:pPr>
      <w:r>
        <w:rPr>
          <w:sz w:val="20"/>
        </w:rPr>
        <w:drawing>
          <wp:inline distT="0" distB="0" distL="0" distR="0">
            <wp:extent cx="5605686" cy="2511552"/>
            <wp:effectExtent l="0" t="0" r="0" b="0"/>
            <wp:docPr id="37" name="image73.png"/>
            <wp:cNvGraphicFramePr>
              <a:graphicFrameLocks noChangeAspect="1"/>
            </wp:cNvGraphicFramePr>
            <a:graphic>
              <a:graphicData uri="http://schemas.openxmlformats.org/drawingml/2006/picture">
                <pic:pic>
                  <pic:nvPicPr>
                    <pic:cNvPr id="38" name="image73.png"/>
                    <pic:cNvPicPr/>
                  </pic:nvPicPr>
                  <pic:blipFill>
                    <a:blip r:embed="rId122" cstate="print"/>
                    <a:stretch>
                      <a:fillRect/>
                    </a:stretch>
                  </pic:blipFill>
                  <pic:spPr>
                    <a:xfrm>
                      <a:off x="0" y="0"/>
                      <a:ext cx="5605686" cy="2511552"/>
                    </a:xfrm>
                    <a:prstGeom prst="rect">
                      <a:avLst/>
                    </a:prstGeom>
                  </pic:spPr>
                </pic:pic>
              </a:graphicData>
            </a:graphic>
          </wp:inline>
        </w:drawing>
      </w:r>
      <w:r>
        <w:rPr>
          <w:sz w:val="20"/>
        </w:rPr>
      </w:r>
    </w:p>
    <w:p>
      <w:pPr>
        <w:pStyle w:val="BodyText"/>
        <w:spacing w:line="242" w:lineRule="auto" w:before="2"/>
        <w:ind w:right="799" w:firstLine="144"/>
        <w:jc w:val="left"/>
      </w:pPr>
      <w:r>
        <w:rPr>
          <w:b/>
        </w:rPr>
        <w:t>Fig. 4. </w:t>
      </w:r>
      <w:r>
        <w:rPr/>
        <w:t>The effects of the salt content and the effect of the sodium-calcium soil potential on the growth of dry biomass of oats in 2018.</w:t>
      </w:r>
    </w:p>
    <w:p>
      <w:pPr>
        <w:pStyle w:val="BodyText"/>
        <w:spacing w:before="9"/>
        <w:ind w:left="0"/>
        <w:jc w:val="left"/>
        <w:rPr>
          <w:sz w:val="27"/>
        </w:rPr>
      </w:pPr>
    </w:p>
    <w:p>
      <w:pPr>
        <w:pStyle w:val="BodyText"/>
        <w:ind w:right="619" w:firstLine="566"/>
      </w:pPr>
      <w:r>
        <w:rPr/>
        <w:t>The peculiarity of the influence of salinity and salinization on the growth and development of oats in the conditions of the Odessa region </w:t>
      </w:r>
      <w:r>
        <w:rPr>
          <w:spacing w:val="-3"/>
        </w:rPr>
        <w:t>is </w:t>
      </w:r>
      <w:r>
        <w:rPr/>
        <w:t>the significant dependence of these processes on the temperature of air, namely on the effective temperature, which </w:t>
      </w:r>
      <w:r>
        <w:rPr>
          <w:spacing w:val="-3"/>
        </w:rPr>
        <w:t>is </w:t>
      </w:r>
      <w:r>
        <w:rPr/>
        <w:t>included in the calculations and determines the biological peculiarities of the plant. The conducted research allows to optimize oyster irrigation regime</w:t>
      </w:r>
      <w:r>
        <w:rPr>
          <w:spacing w:val="-8"/>
        </w:rPr>
        <w:t> </w:t>
      </w:r>
      <w:r>
        <w:rPr/>
        <w:t>and</w:t>
      </w:r>
      <w:r>
        <w:rPr>
          <w:spacing w:val="-7"/>
        </w:rPr>
        <w:t> </w:t>
      </w:r>
      <w:r>
        <w:rPr/>
        <w:t>provide</w:t>
      </w:r>
      <w:r>
        <w:rPr>
          <w:spacing w:val="-7"/>
        </w:rPr>
        <w:t> </w:t>
      </w:r>
      <w:r>
        <w:rPr/>
        <w:t>practical</w:t>
      </w:r>
      <w:r>
        <w:rPr>
          <w:spacing w:val="-13"/>
        </w:rPr>
        <w:t> </w:t>
      </w:r>
      <w:r>
        <w:rPr/>
        <w:t>recommendations</w:t>
      </w:r>
      <w:r>
        <w:rPr>
          <w:spacing w:val="-1"/>
        </w:rPr>
        <w:t> </w:t>
      </w:r>
      <w:r>
        <w:rPr/>
        <w:t>for</w:t>
      </w:r>
      <w:r>
        <w:rPr>
          <w:spacing w:val="-9"/>
        </w:rPr>
        <w:t> </w:t>
      </w:r>
      <w:r>
        <w:rPr/>
        <w:t>the</w:t>
      </w:r>
      <w:r>
        <w:rPr>
          <w:spacing w:val="-8"/>
        </w:rPr>
        <w:t> </w:t>
      </w:r>
      <w:r>
        <w:rPr/>
        <w:t>terms</w:t>
      </w:r>
      <w:r>
        <w:rPr>
          <w:spacing w:val="-5"/>
        </w:rPr>
        <w:t> </w:t>
      </w:r>
      <w:r>
        <w:rPr/>
        <w:t>of</w:t>
      </w:r>
      <w:r>
        <w:rPr>
          <w:spacing w:val="-14"/>
        </w:rPr>
        <w:t> </w:t>
      </w:r>
      <w:r>
        <w:rPr/>
        <w:t>sowing</w:t>
      </w:r>
      <w:r>
        <w:rPr>
          <w:spacing w:val="-12"/>
        </w:rPr>
        <w:t> </w:t>
      </w:r>
      <w:r>
        <w:rPr/>
        <w:t>this</w:t>
      </w:r>
      <w:r>
        <w:rPr>
          <w:spacing w:val="-6"/>
        </w:rPr>
        <w:t> </w:t>
      </w:r>
      <w:r>
        <w:rPr/>
        <w:t>crop</w:t>
      </w:r>
      <w:r>
        <w:rPr>
          <w:spacing w:val="-3"/>
        </w:rPr>
        <w:t> </w:t>
      </w:r>
      <w:r>
        <w:rPr/>
        <w:t>in</w:t>
      </w:r>
      <w:r>
        <w:rPr>
          <w:spacing w:val="-13"/>
        </w:rPr>
        <w:t> </w:t>
      </w:r>
      <w:r>
        <w:rPr/>
        <w:t>the Odessa region with minimal influence of negative</w:t>
      </w:r>
      <w:r>
        <w:rPr>
          <w:spacing w:val="3"/>
        </w:rPr>
        <w:t> </w:t>
      </w:r>
      <w:r>
        <w:rPr/>
        <w:t>factors.</w:t>
      </w:r>
    </w:p>
    <w:p>
      <w:pPr>
        <w:pStyle w:val="BodyText"/>
        <w:spacing w:before="3"/>
        <w:ind w:left="0"/>
        <w:jc w:val="left"/>
      </w:pPr>
    </w:p>
    <w:p>
      <w:pPr>
        <w:pStyle w:val="Heading1"/>
        <w:spacing w:line="319" w:lineRule="exact"/>
        <w:ind w:left="752"/>
      </w:pPr>
      <w:r>
        <w:rPr/>
        <w:t>REFERENCES</w:t>
      </w:r>
    </w:p>
    <w:p>
      <w:pPr>
        <w:pStyle w:val="ListParagraph"/>
        <w:numPr>
          <w:ilvl w:val="1"/>
          <w:numId w:val="35"/>
        </w:numPr>
        <w:tabs>
          <w:tab w:pos="1187" w:val="left" w:leader="none"/>
        </w:tabs>
        <w:spacing w:line="319" w:lineRule="exact" w:before="0" w:after="0"/>
        <w:ind w:left="1186" w:right="0" w:hanging="284"/>
        <w:jc w:val="left"/>
        <w:rPr>
          <w:sz w:val="28"/>
        </w:rPr>
      </w:pPr>
      <w:r>
        <w:rPr>
          <w:sz w:val="28"/>
        </w:rPr>
        <w:t>Shevelukh B.C. Plant growth and its regulation in ontogenesis. M.,</w:t>
      </w:r>
      <w:r>
        <w:rPr>
          <w:spacing w:val="-4"/>
          <w:sz w:val="28"/>
        </w:rPr>
        <w:t> </w:t>
      </w:r>
      <w:r>
        <w:rPr>
          <w:sz w:val="28"/>
        </w:rPr>
        <w:t>1992</w:t>
      </w:r>
    </w:p>
    <w:p>
      <w:pPr>
        <w:pStyle w:val="ListParagraph"/>
        <w:numPr>
          <w:ilvl w:val="1"/>
          <w:numId w:val="35"/>
        </w:numPr>
        <w:tabs>
          <w:tab w:pos="1211" w:val="left" w:leader="none"/>
        </w:tabs>
        <w:spacing w:line="242" w:lineRule="auto" w:before="0" w:after="0"/>
        <w:ind w:left="193" w:right="605" w:firstLine="710"/>
        <w:jc w:val="left"/>
        <w:rPr>
          <w:sz w:val="28"/>
        </w:rPr>
      </w:pPr>
      <w:r>
        <w:rPr>
          <w:sz w:val="28"/>
        </w:rPr>
        <w:t>Konstantinov I.С. Protection of soil from erosion in intensive agriculture. - Kishinev: Shtiintsa, 1987. -</w:t>
      </w:r>
      <w:r>
        <w:rPr>
          <w:spacing w:val="11"/>
          <w:sz w:val="28"/>
        </w:rPr>
        <w:t> </w:t>
      </w:r>
      <w:r>
        <w:rPr>
          <w:sz w:val="28"/>
        </w:rPr>
        <w:t>240s.</w:t>
      </w:r>
    </w:p>
    <w:p>
      <w:pPr>
        <w:pStyle w:val="ListParagraph"/>
        <w:numPr>
          <w:ilvl w:val="1"/>
          <w:numId w:val="35"/>
        </w:numPr>
        <w:tabs>
          <w:tab w:pos="1183" w:val="left" w:leader="none"/>
        </w:tabs>
        <w:spacing w:line="240" w:lineRule="auto" w:before="0" w:after="0"/>
        <w:ind w:left="193" w:right="615" w:firstLine="710"/>
        <w:jc w:val="left"/>
        <w:rPr>
          <w:sz w:val="28"/>
        </w:rPr>
      </w:pPr>
      <w:r>
        <w:rPr>
          <w:sz w:val="28"/>
        </w:rPr>
        <w:t>Grigoriev</w:t>
      </w:r>
      <w:r>
        <w:rPr>
          <w:spacing w:val="-14"/>
          <w:sz w:val="28"/>
        </w:rPr>
        <w:t> </w:t>
      </w:r>
      <w:r>
        <w:rPr>
          <w:sz w:val="28"/>
        </w:rPr>
        <w:t>V.Ya.,</w:t>
      </w:r>
      <w:r>
        <w:rPr>
          <w:spacing w:val="-7"/>
          <w:sz w:val="28"/>
        </w:rPr>
        <w:t> </w:t>
      </w:r>
      <w:r>
        <w:rPr>
          <w:sz w:val="28"/>
        </w:rPr>
        <w:t>Krasnov</w:t>
      </w:r>
      <w:r>
        <w:rPr>
          <w:spacing w:val="-14"/>
          <w:sz w:val="28"/>
        </w:rPr>
        <w:t> </w:t>
      </w:r>
      <w:r>
        <w:rPr>
          <w:sz w:val="28"/>
        </w:rPr>
        <w:t>SA,</w:t>
      </w:r>
      <w:r>
        <w:rPr>
          <w:spacing w:val="-7"/>
          <w:sz w:val="28"/>
        </w:rPr>
        <w:t> </w:t>
      </w:r>
      <w:r>
        <w:rPr>
          <w:sz w:val="28"/>
        </w:rPr>
        <w:t>Kuznetsov</w:t>
      </w:r>
      <w:r>
        <w:rPr>
          <w:spacing w:val="-14"/>
          <w:sz w:val="28"/>
        </w:rPr>
        <w:t> </w:t>
      </w:r>
      <w:r>
        <w:rPr>
          <w:sz w:val="28"/>
        </w:rPr>
        <w:t>M.S.</w:t>
      </w:r>
      <w:r>
        <w:rPr>
          <w:spacing w:val="-7"/>
          <w:sz w:val="28"/>
        </w:rPr>
        <w:t> </w:t>
      </w:r>
      <w:r>
        <w:rPr>
          <w:sz w:val="28"/>
        </w:rPr>
        <w:t>Forecasting</w:t>
      </w:r>
      <w:r>
        <w:rPr>
          <w:spacing w:val="-15"/>
          <w:sz w:val="28"/>
        </w:rPr>
        <w:t> </w:t>
      </w:r>
      <w:r>
        <w:rPr>
          <w:sz w:val="28"/>
        </w:rPr>
        <w:t>and</w:t>
      </w:r>
      <w:r>
        <w:rPr>
          <w:spacing w:val="-9"/>
          <w:sz w:val="28"/>
        </w:rPr>
        <w:t> </w:t>
      </w:r>
      <w:r>
        <w:rPr>
          <w:sz w:val="28"/>
        </w:rPr>
        <w:t>prevention</w:t>
      </w:r>
      <w:r>
        <w:rPr>
          <w:spacing w:val="-14"/>
          <w:sz w:val="28"/>
        </w:rPr>
        <w:t> </w:t>
      </w:r>
      <w:r>
        <w:rPr>
          <w:sz w:val="28"/>
        </w:rPr>
        <w:t>of erosion in irrigation. - Moscow: Izv. MSU, 1992. -</w:t>
      </w:r>
      <w:r>
        <w:rPr>
          <w:spacing w:val="6"/>
          <w:sz w:val="28"/>
        </w:rPr>
        <w:t> </w:t>
      </w:r>
      <w:r>
        <w:rPr>
          <w:sz w:val="28"/>
        </w:rPr>
        <w:t>206c.</w:t>
      </w:r>
    </w:p>
    <w:p>
      <w:pPr>
        <w:pStyle w:val="ListParagraph"/>
        <w:numPr>
          <w:ilvl w:val="1"/>
          <w:numId w:val="35"/>
        </w:numPr>
        <w:tabs>
          <w:tab w:pos="1196" w:val="left" w:leader="none"/>
        </w:tabs>
        <w:spacing w:line="322" w:lineRule="exact" w:before="0" w:after="0"/>
        <w:ind w:left="1196" w:right="0" w:hanging="293"/>
        <w:jc w:val="left"/>
        <w:rPr>
          <w:sz w:val="28"/>
        </w:rPr>
      </w:pPr>
      <w:r>
        <w:rPr>
          <w:sz w:val="28"/>
        </w:rPr>
        <w:t>Barabanov A.T. Agromelioration in soil protection agriculture. -</w:t>
      </w:r>
      <w:r>
        <w:rPr>
          <w:spacing w:val="1"/>
          <w:sz w:val="28"/>
        </w:rPr>
        <w:t> </w:t>
      </w:r>
      <w:r>
        <w:rPr>
          <w:sz w:val="28"/>
        </w:rPr>
        <w:t>Volgograd,</w:t>
      </w:r>
    </w:p>
    <w:p>
      <w:pPr>
        <w:spacing w:after="0" w:line="322" w:lineRule="exact"/>
        <w:jc w:val="left"/>
        <w:rPr>
          <w:sz w:val="28"/>
        </w:rPr>
        <w:sectPr>
          <w:pgSz w:w="11910" w:h="16840"/>
          <w:pgMar w:header="713" w:footer="778" w:top="1140" w:bottom="960" w:left="940" w:right="520"/>
        </w:sectPr>
      </w:pPr>
    </w:p>
    <w:p>
      <w:pPr>
        <w:pStyle w:val="BodyText"/>
        <w:spacing w:before="92"/>
        <w:jc w:val="left"/>
      </w:pPr>
      <w:r>
        <w:rPr/>
        <w:t>1993.- 156s.</w:t>
      </w:r>
    </w:p>
    <w:p>
      <w:pPr>
        <w:pStyle w:val="BodyText"/>
        <w:spacing w:before="3"/>
        <w:ind w:left="0"/>
        <w:jc w:val="left"/>
      </w:pPr>
    </w:p>
    <w:p>
      <w:pPr>
        <w:pStyle w:val="Heading1"/>
        <w:spacing w:line="322" w:lineRule="exact" w:before="1"/>
        <w:ind w:left="750"/>
      </w:pPr>
      <w:r>
        <w:rPr/>
        <w:t>МОДЕЛИРОВАНИЕ ВЛИЯНИЯ ЗАСОЛЕНИЯ И и</w:t>
      </w:r>
    </w:p>
    <w:p>
      <w:pPr>
        <w:spacing w:before="0"/>
        <w:ind w:left="173" w:right="603" w:firstLine="0"/>
        <w:jc w:val="center"/>
        <w:rPr>
          <w:b/>
          <w:sz w:val="28"/>
        </w:rPr>
      </w:pPr>
      <w:r>
        <w:rPr>
          <w:b/>
          <w:sz w:val="28"/>
        </w:rPr>
        <w:t>ОСОЛОНЦЮВАНЯЯ ПОЧВЫ НА РОСТ И РАЗВИТИЕ ОВСА В УСЛОВИЯХ ОДЕССКОЙ ОБЛАСТИ</w:t>
      </w:r>
    </w:p>
    <w:p>
      <w:pPr>
        <w:pStyle w:val="BodyText"/>
        <w:spacing w:line="322" w:lineRule="exact"/>
        <w:ind w:left="4677"/>
      </w:pPr>
      <w:r>
        <w:rPr/>
        <w:t>Ильина А.</w:t>
      </w:r>
    </w:p>
    <w:p>
      <w:pPr>
        <w:spacing w:line="240" w:lineRule="auto" w:before="0"/>
        <w:ind w:left="193" w:right="611" w:firstLine="561"/>
        <w:jc w:val="both"/>
        <w:rPr>
          <w:i/>
          <w:sz w:val="28"/>
        </w:rPr>
      </w:pPr>
      <w:r>
        <w:rPr>
          <w:i/>
          <w:sz w:val="28"/>
        </w:rPr>
        <w:t>Одесская область относится к зоне с недостаточными и неустойчивыми </w:t>
      </w:r>
      <w:r>
        <w:rPr>
          <w:i/>
          <w:sz w:val="28"/>
        </w:rPr>
        <w:t>условиями увлажнения для выращивания большого набора сельскохозяйственных культур. Овес относится к одной из основных зерновых культур, продукция которого используется во многих сферах деятельности, кроме продуктовой, кормовой, а также в медицинской и косметологической отраслях. Но, для получения высоких и устойчивых урожаев этой культуры на данной территории необходимо использование орошения, в связи с повышенными</w:t>
      </w:r>
      <w:r>
        <w:rPr>
          <w:i/>
          <w:spacing w:val="-19"/>
          <w:sz w:val="28"/>
        </w:rPr>
        <w:t> </w:t>
      </w:r>
      <w:r>
        <w:rPr>
          <w:i/>
          <w:sz w:val="28"/>
        </w:rPr>
        <w:t>требованиями</w:t>
      </w:r>
      <w:r>
        <w:rPr>
          <w:i/>
          <w:spacing w:val="-19"/>
          <w:sz w:val="28"/>
        </w:rPr>
        <w:t> </w:t>
      </w:r>
      <w:r>
        <w:rPr>
          <w:i/>
          <w:sz w:val="28"/>
        </w:rPr>
        <w:t>этой</w:t>
      </w:r>
      <w:r>
        <w:rPr>
          <w:i/>
          <w:spacing w:val="-15"/>
          <w:sz w:val="28"/>
        </w:rPr>
        <w:t> </w:t>
      </w:r>
      <w:r>
        <w:rPr>
          <w:i/>
          <w:sz w:val="28"/>
        </w:rPr>
        <w:t>культуры</w:t>
      </w:r>
      <w:r>
        <w:rPr>
          <w:i/>
          <w:spacing w:val="-20"/>
          <w:sz w:val="28"/>
        </w:rPr>
        <w:t> </w:t>
      </w:r>
      <w:r>
        <w:rPr>
          <w:i/>
          <w:sz w:val="28"/>
        </w:rPr>
        <w:t>к</w:t>
      </w:r>
      <w:r>
        <w:rPr>
          <w:i/>
          <w:spacing w:val="-20"/>
          <w:sz w:val="28"/>
        </w:rPr>
        <w:t> </w:t>
      </w:r>
      <w:r>
        <w:rPr>
          <w:i/>
          <w:sz w:val="28"/>
        </w:rPr>
        <w:t>увлажнению.</w:t>
      </w:r>
      <w:r>
        <w:rPr>
          <w:i/>
          <w:spacing w:val="-16"/>
          <w:sz w:val="28"/>
        </w:rPr>
        <w:t> </w:t>
      </w:r>
      <w:r>
        <w:rPr>
          <w:i/>
          <w:sz w:val="28"/>
        </w:rPr>
        <w:t>К</w:t>
      </w:r>
      <w:r>
        <w:rPr>
          <w:i/>
          <w:spacing w:val="-17"/>
          <w:sz w:val="28"/>
        </w:rPr>
        <w:t> </w:t>
      </w:r>
      <w:r>
        <w:rPr>
          <w:i/>
          <w:sz w:val="28"/>
        </w:rPr>
        <w:t>сожалению,</w:t>
      </w:r>
      <w:r>
        <w:rPr>
          <w:i/>
          <w:spacing w:val="-16"/>
          <w:sz w:val="28"/>
        </w:rPr>
        <w:t> </w:t>
      </w:r>
      <w:r>
        <w:rPr>
          <w:i/>
          <w:sz w:val="28"/>
        </w:rPr>
        <w:t>вода, используемая для целей орошения в условиях Одесской области не всегда соответствует</w:t>
      </w:r>
      <w:r>
        <w:rPr>
          <w:i/>
          <w:spacing w:val="-14"/>
          <w:sz w:val="28"/>
        </w:rPr>
        <w:t> </w:t>
      </w:r>
      <w:r>
        <w:rPr>
          <w:i/>
          <w:sz w:val="28"/>
        </w:rPr>
        <w:t>требованиям,</w:t>
      </w:r>
      <w:r>
        <w:rPr>
          <w:i/>
          <w:spacing w:val="-12"/>
          <w:sz w:val="28"/>
        </w:rPr>
        <w:t> </w:t>
      </w:r>
      <w:r>
        <w:rPr>
          <w:i/>
          <w:sz w:val="28"/>
        </w:rPr>
        <w:t>к</w:t>
      </w:r>
      <w:r>
        <w:rPr>
          <w:i/>
          <w:spacing w:val="-14"/>
          <w:sz w:val="28"/>
        </w:rPr>
        <w:t> </w:t>
      </w:r>
      <w:r>
        <w:rPr>
          <w:i/>
          <w:sz w:val="28"/>
        </w:rPr>
        <w:t>возможностям</w:t>
      </w:r>
      <w:r>
        <w:rPr>
          <w:i/>
          <w:spacing w:val="-13"/>
          <w:sz w:val="28"/>
        </w:rPr>
        <w:t> </w:t>
      </w:r>
      <w:r>
        <w:rPr>
          <w:i/>
          <w:sz w:val="28"/>
        </w:rPr>
        <w:t>использования</w:t>
      </w:r>
      <w:r>
        <w:rPr>
          <w:i/>
          <w:spacing w:val="-13"/>
          <w:sz w:val="28"/>
        </w:rPr>
        <w:t> </w:t>
      </w:r>
      <w:r>
        <w:rPr>
          <w:i/>
          <w:sz w:val="28"/>
        </w:rPr>
        <w:t>ее</w:t>
      </w:r>
      <w:r>
        <w:rPr>
          <w:i/>
          <w:spacing w:val="-13"/>
          <w:sz w:val="28"/>
        </w:rPr>
        <w:t> </w:t>
      </w:r>
      <w:r>
        <w:rPr>
          <w:i/>
          <w:sz w:val="28"/>
        </w:rPr>
        <w:t>для</w:t>
      </w:r>
      <w:r>
        <w:rPr>
          <w:i/>
          <w:spacing w:val="-13"/>
          <w:sz w:val="28"/>
        </w:rPr>
        <w:t> </w:t>
      </w:r>
      <w:r>
        <w:rPr>
          <w:i/>
          <w:sz w:val="28"/>
        </w:rPr>
        <w:t>орошения. Основными лимитирующими показателями являются минерализация и натриево - кальциевый потенциал. В рамках работы, с помощью математической модели, которая позволяет спрогнозировать уровень возможного засоления и осолонцевания почвы, выполнено моделирование влияния этих процессов на рост и развитие овса в условиях Одесской области. Расчеты проводились по данным полевого эксперимента, который проводился на научно - исследовательской станции ОГЭКУ в период с 2008 по 2018 г. Полученные результаты по математической моделью хорошо согласуются с данными, полученными с помощью эксперимента, поэтому их можно использовать для предоставления практических рекомендацій по уменьшению негативного влияния орошения на рост и развитие овса в Одесской</w:t>
      </w:r>
      <w:r>
        <w:rPr>
          <w:i/>
          <w:spacing w:val="-20"/>
          <w:sz w:val="28"/>
        </w:rPr>
        <w:t> </w:t>
      </w:r>
      <w:r>
        <w:rPr>
          <w:i/>
          <w:sz w:val="28"/>
        </w:rPr>
        <w:t>области.</w:t>
      </w:r>
    </w:p>
    <w:p>
      <w:pPr>
        <w:spacing w:before="0"/>
        <w:ind w:left="193" w:right="621" w:firstLine="561"/>
        <w:jc w:val="both"/>
        <w:rPr>
          <w:i/>
          <w:sz w:val="28"/>
        </w:rPr>
      </w:pPr>
      <w:r>
        <w:rPr>
          <w:b/>
          <w:i/>
          <w:sz w:val="28"/>
        </w:rPr>
        <w:t>Ключевые слова: </w:t>
      </w:r>
      <w:r>
        <w:rPr>
          <w:i/>
          <w:sz w:val="28"/>
        </w:rPr>
        <w:t>моделирование, засоления, осолонцевания, </w:t>
      </w:r>
      <w:r>
        <w:rPr>
          <w:i/>
          <w:sz w:val="28"/>
        </w:rPr>
        <w:t>математическая модель, овес.</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right="0"/>
        <w:jc w:val="both"/>
      </w:pPr>
      <w:r>
        <w:rPr/>
        <w:t>УДК</w:t>
      </w:r>
      <w:r>
        <w:rPr>
          <w:spacing w:val="-3"/>
        </w:rPr>
        <w:t> </w:t>
      </w:r>
      <w:r>
        <w:rPr/>
        <w:t>613.646-044.337:378.091</w:t>
        <w:tab/>
        <w:t>DOI:</w:t>
      </w:r>
      <w:r>
        <w:rPr>
          <w:spacing w:val="-1"/>
        </w:rPr>
        <w:t> </w:t>
      </w:r>
      <w:r>
        <w:rPr/>
        <w:t>10.37000/abbsl.2020.96.22</w:t>
      </w:r>
    </w:p>
    <w:p>
      <w:pPr>
        <w:pStyle w:val="BodyText"/>
        <w:spacing w:before="11"/>
        <w:ind w:left="0"/>
        <w:jc w:val="left"/>
        <w:rPr>
          <w:b/>
          <w:sz w:val="27"/>
        </w:rPr>
      </w:pPr>
    </w:p>
    <w:p>
      <w:pPr>
        <w:spacing w:line="322" w:lineRule="exact" w:before="0"/>
        <w:ind w:left="1032" w:right="603" w:firstLine="0"/>
        <w:jc w:val="center"/>
        <w:rPr>
          <w:b/>
          <w:sz w:val="28"/>
        </w:rPr>
      </w:pPr>
      <w:r>
        <w:rPr>
          <w:b/>
          <w:sz w:val="28"/>
        </w:rPr>
        <w:t>ЗАБЕЗПЕЧЕННЯ НОРМ МІКРОКЛІМАТУ У НАВЧАЛЬНИХ</w:t>
      </w:r>
    </w:p>
    <w:p>
      <w:pPr>
        <w:spacing w:before="0"/>
        <w:ind w:left="188" w:right="603" w:firstLine="0"/>
        <w:jc w:val="center"/>
        <w:rPr>
          <w:b/>
          <w:sz w:val="28"/>
        </w:rPr>
      </w:pPr>
      <w:r>
        <w:rPr>
          <w:b/>
          <w:sz w:val="28"/>
        </w:rPr>
        <w:t>ЗАКЛАДАХ</w:t>
      </w:r>
    </w:p>
    <w:p>
      <w:pPr>
        <w:spacing w:line="322" w:lineRule="exact" w:before="0"/>
        <w:ind w:left="1034" w:right="601" w:firstLine="0"/>
        <w:jc w:val="center"/>
        <w:rPr>
          <w:b/>
          <w:sz w:val="28"/>
        </w:rPr>
      </w:pPr>
      <w:r>
        <w:rPr>
          <w:b/>
          <w:sz w:val="28"/>
        </w:rPr>
        <w:t>С. Перетяка</w:t>
      </w:r>
    </w:p>
    <w:p>
      <w:pPr>
        <w:spacing w:before="0"/>
        <w:ind w:left="1030" w:right="603" w:firstLine="0"/>
        <w:jc w:val="center"/>
        <w:rPr>
          <w:i/>
          <w:sz w:val="28"/>
        </w:rPr>
      </w:pPr>
      <w:r>
        <w:rPr>
          <w:i/>
          <w:sz w:val="28"/>
        </w:rPr>
        <w:t>Одеський національний морський університет</w:t>
      </w:r>
    </w:p>
    <w:p>
      <w:pPr>
        <w:pStyle w:val="BodyText"/>
        <w:spacing w:before="11"/>
        <w:ind w:left="0"/>
        <w:jc w:val="left"/>
        <w:rPr>
          <w:i/>
          <w:sz w:val="27"/>
        </w:rPr>
      </w:pPr>
    </w:p>
    <w:p>
      <w:pPr>
        <w:spacing w:line="322" w:lineRule="exact" w:before="0"/>
        <w:ind w:left="898" w:right="0" w:firstLine="0"/>
        <w:jc w:val="both"/>
        <w:rPr>
          <w:i/>
          <w:sz w:val="28"/>
        </w:rPr>
      </w:pPr>
      <w:r>
        <w:rPr>
          <w:i/>
          <w:sz w:val="28"/>
        </w:rPr>
        <w:t>Людина</w:t>
      </w:r>
      <w:r>
        <w:rPr>
          <w:i/>
          <w:spacing w:val="-12"/>
          <w:sz w:val="28"/>
        </w:rPr>
        <w:t> </w:t>
      </w:r>
      <w:r>
        <w:rPr>
          <w:i/>
          <w:sz w:val="28"/>
        </w:rPr>
        <w:t>80</w:t>
      </w:r>
      <w:r>
        <w:rPr>
          <w:i/>
          <w:spacing w:val="-4"/>
          <w:sz w:val="28"/>
        </w:rPr>
        <w:t> </w:t>
      </w:r>
      <w:r>
        <w:rPr>
          <w:i/>
          <w:sz w:val="28"/>
        </w:rPr>
        <w:t>%</w:t>
      </w:r>
      <w:r>
        <w:rPr>
          <w:i/>
          <w:spacing w:val="-22"/>
          <w:sz w:val="28"/>
        </w:rPr>
        <w:t> </w:t>
      </w:r>
      <w:r>
        <w:rPr>
          <w:i/>
          <w:sz w:val="28"/>
        </w:rPr>
        <w:t>часу</w:t>
      </w:r>
      <w:r>
        <w:rPr>
          <w:i/>
          <w:spacing w:val="-10"/>
          <w:sz w:val="28"/>
        </w:rPr>
        <w:t> </w:t>
      </w:r>
      <w:r>
        <w:rPr>
          <w:i/>
          <w:sz w:val="28"/>
        </w:rPr>
        <w:t>проводить</w:t>
      </w:r>
      <w:r>
        <w:rPr>
          <w:i/>
          <w:spacing w:val="-14"/>
          <w:sz w:val="28"/>
        </w:rPr>
        <w:t> </w:t>
      </w:r>
      <w:r>
        <w:rPr>
          <w:i/>
          <w:sz w:val="28"/>
        </w:rPr>
        <w:t>у</w:t>
      </w:r>
      <w:r>
        <w:rPr>
          <w:i/>
          <w:spacing w:val="-11"/>
          <w:sz w:val="28"/>
        </w:rPr>
        <w:t> </w:t>
      </w:r>
      <w:r>
        <w:rPr>
          <w:i/>
          <w:sz w:val="28"/>
        </w:rPr>
        <w:t>приміщеннях</w:t>
      </w:r>
      <w:r>
        <w:rPr>
          <w:i/>
          <w:spacing w:val="-11"/>
          <w:sz w:val="28"/>
        </w:rPr>
        <w:t> </w:t>
      </w:r>
      <w:r>
        <w:rPr>
          <w:i/>
          <w:sz w:val="28"/>
        </w:rPr>
        <w:t>різного</w:t>
      </w:r>
      <w:r>
        <w:rPr>
          <w:i/>
          <w:spacing w:val="-11"/>
          <w:sz w:val="28"/>
        </w:rPr>
        <w:t> </w:t>
      </w:r>
      <w:r>
        <w:rPr>
          <w:i/>
          <w:sz w:val="28"/>
        </w:rPr>
        <w:t>призначення,</w:t>
      </w:r>
      <w:r>
        <w:rPr>
          <w:i/>
          <w:spacing w:val="-10"/>
          <w:sz w:val="28"/>
        </w:rPr>
        <w:t> </w:t>
      </w:r>
      <w:r>
        <w:rPr>
          <w:i/>
          <w:sz w:val="28"/>
        </w:rPr>
        <w:t>з</w:t>
      </w:r>
      <w:r>
        <w:rPr>
          <w:i/>
          <w:spacing w:val="-15"/>
          <w:sz w:val="28"/>
        </w:rPr>
        <w:t> </w:t>
      </w:r>
      <w:r>
        <w:rPr>
          <w:i/>
          <w:sz w:val="28"/>
        </w:rPr>
        <w:t>яких</w:t>
      </w:r>
      <w:r>
        <w:rPr>
          <w:i/>
          <w:spacing w:val="-11"/>
          <w:sz w:val="28"/>
        </w:rPr>
        <w:t> </w:t>
      </w:r>
      <w:r>
        <w:rPr>
          <w:i/>
          <w:sz w:val="28"/>
        </w:rPr>
        <w:t>40</w:t>
      </w:r>
    </w:p>
    <w:p>
      <w:pPr>
        <w:spacing w:line="240" w:lineRule="auto" w:before="0"/>
        <w:ind w:left="193" w:right="596" w:firstLine="0"/>
        <w:jc w:val="both"/>
        <w:rPr>
          <w:i/>
          <w:sz w:val="28"/>
        </w:rPr>
      </w:pPr>
      <w:r>
        <w:rPr>
          <w:i/>
          <w:sz w:val="28"/>
        </w:rPr>
        <w:t>% – це робоче місце працівника. У вищих навчальних закладах це аудиторії. </w:t>
      </w:r>
      <w:r>
        <w:rPr>
          <w:i/>
          <w:sz w:val="28"/>
        </w:rPr>
        <w:t>Викладання і сприймання навчальної інформації потребує підвищення рівня працездатності та психоемоційної активності. Під час засвоєння матеріалу студентам доводиться «включати» сприйняття, мислення, пам'ять, уяву, уважність, зацікавленість, зосередженість, що викликає внутрішнє напруження організму та, як наслідок, – стомлення.У зв’язку з цим необхідно вміти регулювати мікроклімат навчальних приміщень, знати стан особливості теплообміну організму при розумовому напруженні, а від так – стан систем вентиляції і опалення. Недотримання гігієнічних вимог до повітряного режиму погіршує сприйняття та засвоєння навчального матеріалу, а також призводить до погіршення стану здоров’я і студентів, і викладачів. Тому створення комфортного та безпечного повітряного середовища в аудиторіях є пріоритетним завданням керівництва навчальних закладів. На даний час Україна відстає від розвинених країн Європи у вирішенні питання забезпечення норм мікроклімату в аудиторіях. Для забезпечення нормативних метеорологічних умов необхідна енергія, яка буде застосовуватися для роботи систем опалення, вентиляції та кондиціювання. Необхідно зазначити, </w:t>
      </w:r>
      <w:r>
        <w:rPr>
          <w:i/>
          <w:spacing w:val="6"/>
          <w:sz w:val="28"/>
        </w:rPr>
        <w:t>що </w:t>
      </w:r>
      <w:r>
        <w:rPr>
          <w:i/>
          <w:sz w:val="28"/>
        </w:rPr>
        <w:t>Україна належить до країн з дефіцитом енергії, оскільки за рахунок власних джерел первинних енергетичних ресурсів потреби покриваються менш на 50 </w:t>
      </w:r>
      <w:r>
        <w:rPr>
          <w:i/>
          <w:spacing w:val="-6"/>
          <w:sz w:val="28"/>
        </w:rPr>
        <w:t>%. </w:t>
      </w:r>
      <w:r>
        <w:rPr>
          <w:i/>
          <w:sz w:val="28"/>
        </w:rPr>
        <w:t>За рахунок власного видобутку покривається 15 % потреб у нафті та 20-25 </w:t>
      </w:r>
      <w:r>
        <w:rPr>
          <w:i/>
          <w:spacing w:val="28"/>
          <w:sz w:val="28"/>
        </w:rPr>
        <w:t> </w:t>
      </w:r>
      <w:r>
        <w:rPr>
          <w:i/>
          <w:sz w:val="28"/>
        </w:rPr>
        <w:t>%</w:t>
      </w:r>
    </w:p>
    <w:p>
      <w:pPr>
        <w:spacing w:line="240" w:lineRule="auto" w:before="0"/>
        <w:ind w:left="193" w:right="616" w:firstLine="0"/>
        <w:jc w:val="both"/>
        <w:rPr>
          <w:i/>
          <w:sz w:val="28"/>
        </w:rPr>
      </w:pPr>
      <w:r>
        <w:rPr>
          <w:i/>
          <w:sz w:val="28"/>
        </w:rPr>
        <w:t>– у природному газі. Найскладнішою щодо ефективності використання енергії </w:t>
      </w:r>
      <w:r>
        <w:rPr>
          <w:i/>
          <w:sz w:val="28"/>
        </w:rPr>
        <w:t>залишається ситуація справ у житлово-комунальному комплексі, де старі теплові та водопостачальні станції працюють з низьким ККД і здійснюють постачання через такі ж зношені мережі. Внаслідок цього втрати енергії сягають 45-50 %. Крім того, будівлі, у яких розташована більшість навчальних закладів України, були побудовані у часи колишнього СРСР. Термічний опір огорож будівель не відповідає діючим нормам, системи вентиляції архаїчні, а системи охолодження та зволоження повітря непередбачені. Ситуація з метеорологічними умовами у навчальних закладах та варіанти її виправлення розглядається на прикладі Одеського національного морського університету.</w:t>
      </w:r>
    </w:p>
    <w:p>
      <w:pPr>
        <w:spacing w:before="1"/>
        <w:ind w:left="193" w:right="616" w:firstLine="710"/>
        <w:jc w:val="both"/>
        <w:rPr>
          <w:i/>
          <w:sz w:val="28"/>
        </w:rPr>
      </w:pPr>
      <w:r>
        <w:rPr>
          <w:b/>
          <w:i/>
          <w:sz w:val="28"/>
        </w:rPr>
        <w:t>Ключові слова: </w:t>
      </w:r>
      <w:r>
        <w:rPr>
          <w:i/>
          <w:sz w:val="28"/>
        </w:rPr>
        <w:t>мікроклімат, комфорт, санітарно-гігієнічні норми, </w:t>
      </w:r>
      <w:r>
        <w:rPr>
          <w:i/>
          <w:sz w:val="28"/>
        </w:rPr>
        <w:t>теплопостачання, допустимі умови, оптимальні умови, термічний опір, теплова ізоляція</w:t>
      </w:r>
    </w:p>
    <w:p>
      <w:pPr>
        <w:pStyle w:val="BodyText"/>
        <w:spacing w:before="10"/>
        <w:ind w:left="0"/>
        <w:jc w:val="left"/>
        <w:rPr>
          <w:i/>
          <w:sz w:val="27"/>
        </w:rPr>
      </w:pPr>
    </w:p>
    <w:p>
      <w:pPr>
        <w:pStyle w:val="BodyText"/>
        <w:ind w:right="619" w:firstLine="710"/>
      </w:pPr>
      <w:r>
        <w:rPr>
          <w:b/>
        </w:rPr>
        <w:t>Вступ. </w:t>
      </w:r>
      <w:r>
        <w:rPr/>
        <w:t>Інтелектуальна (розумова) діяльність супроводжується витратами енергетичних</w:t>
      </w:r>
      <w:r>
        <w:rPr>
          <w:spacing w:val="-13"/>
        </w:rPr>
        <w:t> </w:t>
      </w:r>
      <w:r>
        <w:rPr/>
        <w:t>запасів</w:t>
      </w:r>
      <w:r>
        <w:rPr>
          <w:spacing w:val="-10"/>
        </w:rPr>
        <w:t> </w:t>
      </w:r>
      <w:r>
        <w:rPr/>
        <w:t>організму,</w:t>
      </w:r>
      <w:r>
        <w:rPr>
          <w:spacing w:val="-5"/>
        </w:rPr>
        <w:t> </w:t>
      </w:r>
      <w:r>
        <w:rPr/>
        <w:t>оскільки</w:t>
      </w:r>
      <w:r>
        <w:rPr>
          <w:spacing w:val="-8"/>
        </w:rPr>
        <w:t> </w:t>
      </w:r>
      <w:r>
        <w:rPr/>
        <w:t>потреба</w:t>
      </w:r>
      <w:r>
        <w:rPr>
          <w:spacing w:val="-7"/>
        </w:rPr>
        <w:t> </w:t>
      </w:r>
      <w:r>
        <w:rPr/>
        <w:t>мозку</w:t>
      </w:r>
      <w:r>
        <w:rPr>
          <w:spacing w:val="-12"/>
        </w:rPr>
        <w:t> </w:t>
      </w:r>
      <w:r>
        <w:rPr/>
        <w:t>в</w:t>
      </w:r>
      <w:r>
        <w:rPr>
          <w:spacing w:val="-9"/>
        </w:rPr>
        <w:t> </w:t>
      </w:r>
      <w:r>
        <w:rPr/>
        <w:t>енергії</w:t>
      </w:r>
      <w:r>
        <w:rPr>
          <w:spacing w:val="-13"/>
        </w:rPr>
        <w:t> </w:t>
      </w:r>
      <w:r>
        <w:rPr/>
        <w:t>підвищується</w:t>
      </w:r>
      <w:r>
        <w:rPr>
          <w:spacing w:val="-2"/>
        </w:rPr>
        <w:t> </w:t>
      </w:r>
      <w:r>
        <w:rPr/>
        <w:t>і</w:t>
      </w:r>
    </w:p>
    <w:p>
      <w:pPr>
        <w:spacing w:after="0"/>
        <w:sectPr>
          <w:pgSz w:w="11910" w:h="16840"/>
          <w:pgMar w:header="713" w:footer="778" w:top="1140" w:bottom="960" w:left="940" w:right="520"/>
        </w:sectPr>
      </w:pPr>
    </w:p>
    <w:p>
      <w:pPr>
        <w:pStyle w:val="BodyText"/>
        <w:spacing w:before="92"/>
        <w:ind w:right="607"/>
      </w:pPr>
      <w:r>
        <w:rPr/>
        <w:t>становить 15 – 20 % від загального об'єму енергії, яка витрачається в організмі. При</w:t>
      </w:r>
      <w:r>
        <w:rPr>
          <w:spacing w:val="-20"/>
        </w:rPr>
        <w:t> </w:t>
      </w:r>
      <w:r>
        <w:rPr/>
        <w:t>цьому</w:t>
      </w:r>
      <w:r>
        <w:rPr>
          <w:spacing w:val="-24"/>
        </w:rPr>
        <w:t> </w:t>
      </w:r>
      <w:r>
        <w:rPr/>
        <w:t>споживання</w:t>
      </w:r>
      <w:r>
        <w:rPr>
          <w:spacing w:val="-18"/>
        </w:rPr>
        <w:t> </w:t>
      </w:r>
      <w:r>
        <w:rPr/>
        <w:t>кисню</w:t>
      </w:r>
      <w:r>
        <w:rPr>
          <w:spacing w:val="-21"/>
        </w:rPr>
        <w:t> </w:t>
      </w:r>
      <w:r>
        <w:rPr/>
        <w:t>корою</w:t>
      </w:r>
      <w:r>
        <w:rPr>
          <w:spacing w:val="-22"/>
        </w:rPr>
        <w:t> </w:t>
      </w:r>
      <w:r>
        <w:rPr/>
        <w:t>головного</w:t>
      </w:r>
      <w:r>
        <w:rPr>
          <w:spacing w:val="-19"/>
        </w:rPr>
        <w:t> </w:t>
      </w:r>
      <w:r>
        <w:rPr/>
        <w:t>мозку</w:t>
      </w:r>
      <w:r>
        <w:rPr>
          <w:spacing w:val="-24"/>
        </w:rPr>
        <w:t> </w:t>
      </w:r>
      <w:r>
        <w:rPr/>
        <w:t>збільшується</w:t>
      </w:r>
      <w:r>
        <w:rPr>
          <w:spacing w:val="-17"/>
        </w:rPr>
        <w:t> </w:t>
      </w:r>
      <w:r>
        <w:rPr/>
        <w:t>в</w:t>
      </w:r>
      <w:r>
        <w:rPr>
          <w:spacing w:val="-22"/>
        </w:rPr>
        <w:t> </w:t>
      </w:r>
      <w:r>
        <w:rPr/>
        <w:t>п’ять</w:t>
      </w:r>
      <w:r>
        <w:rPr>
          <w:spacing w:val="-21"/>
        </w:rPr>
        <w:t> </w:t>
      </w:r>
      <w:r>
        <w:rPr/>
        <w:t>разів. При читанні вголос витрати енергії підвищуються на 48 %; при виступах </w:t>
      </w:r>
      <w:r>
        <w:rPr>
          <w:spacing w:val="-3"/>
        </w:rPr>
        <w:t>із </w:t>
      </w:r>
      <w:r>
        <w:rPr/>
        <w:t>доповідями або </w:t>
      </w:r>
      <w:r>
        <w:rPr>
          <w:spacing w:val="-3"/>
        </w:rPr>
        <w:t>під </w:t>
      </w:r>
      <w:r>
        <w:rPr/>
        <w:t>час надання відповідей на питання – на 94 %. Під час розумової праці значно активізуються аналітичні та синтетичні функції центральної нервової системи, прийом і переробка інформації, виникають функціональні</w:t>
      </w:r>
      <w:r>
        <w:rPr>
          <w:spacing w:val="-13"/>
        </w:rPr>
        <w:t> </w:t>
      </w:r>
      <w:r>
        <w:rPr/>
        <w:t>зв'язки,</w:t>
      </w:r>
      <w:r>
        <w:rPr>
          <w:spacing w:val="-5"/>
        </w:rPr>
        <w:t> </w:t>
      </w:r>
      <w:r>
        <w:rPr/>
        <w:t>нові</w:t>
      </w:r>
      <w:r>
        <w:rPr>
          <w:spacing w:val="-7"/>
        </w:rPr>
        <w:t> </w:t>
      </w:r>
      <w:r>
        <w:rPr/>
        <w:t>комплекси</w:t>
      </w:r>
      <w:r>
        <w:rPr>
          <w:spacing w:val="-3"/>
        </w:rPr>
        <w:t> </w:t>
      </w:r>
      <w:r>
        <w:rPr/>
        <w:t>умовних</w:t>
      </w:r>
      <w:r>
        <w:rPr>
          <w:spacing w:val="-12"/>
        </w:rPr>
        <w:t> </w:t>
      </w:r>
      <w:r>
        <w:rPr/>
        <w:t>рефлексів,</w:t>
      </w:r>
      <w:r>
        <w:rPr>
          <w:spacing w:val="-4"/>
        </w:rPr>
        <w:t> </w:t>
      </w:r>
      <w:r>
        <w:rPr/>
        <w:t>зростає</w:t>
      </w:r>
      <w:r>
        <w:rPr>
          <w:spacing w:val="-7"/>
        </w:rPr>
        <w:t> </w:t>
      </w:r>
      <w:r>
        <w:rPr/>
        <w:t>роль</w:t>
      </w:r>
      <w:r>
        <w:rPr>
          <w:spacing w:val="-10"/>
        </w:rPr>
        <w:t> </w:t>
      </w:r>
      <w:r>
        <w:rPr/>
        <w:t>функцій уваги, пам'яті, навантаження на зоровий та слуховий апарат [1,2]. Для</w:t>
      </w:r>
      <w:r>
        <w:rPr>
          <w:spacing w:val="-39"/>
        </w:rPr>
        <w:t> </w:t>
      </w:r>
      <w:r>
        <w:rPr/>
        <w:t>розумової праці характерними є велика кількість стресів, мала рухливість, вимушена статична поза. Все це разом узяте зумовлює застійні явища у м'язах ніг, органах черевної порожнини і малого тазу, погіршення постачання мозку киснем, зростання потреби в глюкозі. При розумовій праці погіршується робота органів зору: стійкість ясного бачення, гострота зору, адаптаційна можливість ока. Розумовій праці притаманний найбільший ступінь зосередження уваги – у середньому у 5…10 разів вище ніж при фізичній праці. Процес розумової діяльності продовжується і по закінченні робочого дня, розвивається особливий стан організму – стомлюваність, що з часом може перетворитися на стомлення та перевтому і призвести до порушення нормального фізіологічного функціонування організму. При розумовій праці мають місце зсуви у вегетативних функціях людини: підвищення кров'яного тиску, зміни електрокардіограми, вентиляції легень і споживання кисню, підвищення температури тіла</w:t>
      </w:r>
      <w:r>
        <w:rPr>
          <w:spacing w:val="7"/>
        </w:rPr>
        <w:t> </w:t>
      </w:r>
      <w:r>
        <w:rPr/>
        <w:t>[3-5].</w:t>
      </w:r>
    </w:p>
    <w:p>
      <w:pPr>
        <w:pStyle w:val="BodyText"/>
        <w:spacing w:before="3"/>
        <w:ind w:right="607" w:firstLine="710"/>
      </w:pPr>
      <w:r>
        <w:rPr>
          <w:b/>
        </w:rPr>
        <w:t>Аналіз останніх досліджень та публікацій. </w:t>
      </w:r>
      <w:r>
        <w:rPr/>
        <w:t>Практично усі країни які входили до складу колишнього СРСР стикнулися з проблемою забезпечення заданих умов мікроклімату у приміщеннях різного призначення (виробничих, житлових і адміністративних). </w:t>
      </w:r>
      <w:r>
        <w:rPr>
          <w:spacing w:val="-3"/>
        </w:rPr>
        <w:t>Не </w:t>
      </w:r>
      <w:r>
        <w:rPr/>
        <w:t>минула ця проблема і навчальні заклади. Низька</w:t>
      </w:r>
      <w:r>
        <w:rPr>
          <w:spacing w:val="-4"/>
        </w:rPr>
        <w:t> </w:t>
      </w:r>
      <w:r>
        <w:rPr/>
        <w:t>температура</w:t>
      </w:r>
      <w:r>
        <w:rPr>
          <w:spacing w:val="-4"/>
        </w:rPr>
        <w:t> </w:t>
      </w:r>
      <w:r>
        <w:rPr/>
        <w:t>і</w:t>
      </w:r>
      <w:r>
        <w:rPr>
          <w:spacing w:val="-9"/>
        </w:rPr>
        <w:t> </w:t>
      </w:r>
      <w:r>
        <w:rPr/>
        <w:t>висока</w:t>
      </w:r>
      <w:r>
        <w:rPr>
          <w:spacing w:val="-3"/>
        </w:rPr>
        <w:t> </w:t>
      </w:r>
      <w:r>
        <w:rPr/>
        <w:t>вологість</w:t>
      </w:r>
      <w:r>
        <w:rPr>
          <w:spacing w:val="-6"/>
        </w:rPr>
        <w:t> </w:t>
      </w:r>
      <w:r>
        <w:rPr/>
        <w:t>в</w:t>
      </w:r>
      <w:r>
        <w:rPr>
          <w:spacing w:val="-10"/>
        </w:rPr>
        <w:t> </w:t>
      </w:r>
      <w:r>
        <w:rPr/>
        <w:t>холодний</w:t>
      </w:r>
      <w:r>
        <w:rPr>
          <w:spacing w:val="-9"/>
        </w:rPr>
        <w:t> </w:t>
      </w:r>
      <w:r>
        <w:rPr/>
        <w:t>період</w:t>
      </w:r>
      <w:r>
        <w:rPr>
          <w:spacing w:val="-7"/>
        </w:rPr>
        <w:t> </w:t>
      </w:r>
      <w:r>
        <w:rPr/>
        <w:t>року</w:t>
      </w:r>
      <w:r>
        <w:rPr>
          <w:spacing w:val="-13"/>
        </w:rPr>
        <w:t> </w:t>
      </w:r>
      <w:r>
        <w:rPr/>
        <w:t>та</w:t>
      </w:r>
      <w:r>
        <w:rPr>
          <w:spacing w:val="-8"/>
        </w:rPr>
        <w:t> </w:t>
      </w:r>
      <w:r>
        <w:rPr/>
        <w:t>спека</w:t>
      </w:r>
      <w:r>
        <w:rPr>
          <w:spacing w:val="-3"/>
        </w:rPr>
        <w:t> </w:t>
      </w:r>
      <w:r>
        <w:rPr/>
        <w:t>у</w:t>
      </w:r>
      <w:r>
        <w:rPr>
          <w:spacing w:val="-8"/>
        </w:rPr>
        <w:t> </w:t>
      </w:r>
      <w:r>
        <w:rPr/>
        <w:t>теплий період в установах освіти спостерігаються як у Казахстані, так і в Російській федерації, республіки Білорусь та Україні. В залежності від клімату фахівцями розглядаються дві проблеми: охолодження повітря у приміщеннях або навпаки нагрів. У країнах з спекотним кліматом проблему розв’язують за допомогою ландшафтних рішень (використання дерев для створення тіні і спрямування потоку вітру) [6], архітектурних рішень у вигляді буферних зон [7-9]. Низькі температури</w:t>
      </w:r>
      <w:r>
        <w:rPr>
          <w:spacing w:val="-22"/>
        </w:rPr>
        <w:t> </w:t>
      </w:r>
      <w:r>
        <w:rPr/>
        <w:t>стримують</w:t>
      </w:r>
      <w:r>
        <w:rPr>
          <w:spacing w:val="-20"/>
        </w:rPr>
        <w:t> </w:t>
      </w:r>
      <w:r>
        <w:rPr/>
        <w:t>провітрювання</w:t>
      </w:r>
      <w:r>
        <w:rPr>
          <w:spacing w:val="-20"/>
        </w:rPr>
        <w:t> </w:t>
      </w:r>
      <w:r>
        <w:rPr/>
        <w:t>аудиторій,</w:t>
      </w:r>
      <w:r>
        <w:rPr>
          <w:spacing w:val="-20"/>
        </w:rPr>
        <w:t> </w:t>
      </w:r>
      <w:r>
        <w:rPr/>
        <w:t>тому</w:t>
      </w:r>
      <w:r>
        <w:rPr>
          <w:spacing w:val="-25"/>
        </w:rPr>
        <w:t> </w:t>
      </w:r>
      <w:r>
        <w:rPr/>
        <w:t>що</w:t>
      </w:r>
      <w:r>
        <w:rPr>
          <w:spacing w:val="-21"/>
        </w:rPr>
        <w:t> </w:t>
      </w:r>
      <w:r>
        <w:rPr/>
        <w:t>рідше</w:t>
      </w:r>
      <w:r>
        <w:rPr>
          <w:spacing w:val="-21"/>
        </w:rPr>
        <w:t> </w:t>
      </w:r>
      <w:r>
        <w:rPr/>
        <w:t>відкриваються кватирки і вікна. </w:t>
      </w:r>
      <w:r>
        <w:rPr>
          <w:spacing w:val="-3"/>
        </w:rPr>
        <w:t>Це </w:t>
      </w:r>
      <w:r>
        <w:rPr/>
        <w:t>неминуче призводить до підвищення відносної вологості повітря та концентрації вуглекислого газу (CO</w:t>
      </w:r>
      <w:r>
        <w:rPr>
          <w:vertAlign w:val="subscript"/>
        </w:rPr>
        <w:t>2</w:t>
      </w:r>
      <w:r>
        <w:rPr>
          <w:vertAlign w:val="baseline"/>
        </w:rPr>
        <w:t>). У свою чергу цей ланцюг призводить до високого ризику алостатичного навантаження та респіраторних захворювань [10].</w:t>
      </w:r>
    </w:p>
    <w:p>
      <w:pPr>
        <w:pStyle w:val="BodyText"/>
        <w:ind w:right="612" w:firstLine="710"/>
      </w:pPr>
      <w:r>
        <w:rPr>
          <w:b/>
        </w:rPr>
        <w:t>Мета роботи. </w:t>
      </w:r>
      <w:r>
        <w:rPr/>
        <w:t>Визначення шляхів забезпечення норм мікроклімату у навчальних закладах. Об’єкт дослідження – заходи забезпечення норм мікроклімату з одночасним зменшенням фінансових витрат на комунальні видатки. Предмет дослідження – метеорологічні умови у навчальних корпусах Одеського національного морського університету (ОНМУ).</w:t>
      </w:r>
    </w:p>
    <w:p>
      <w:pPr>
        <w:spacing w:after="0"/>
        <w:sectPr>
          <w:pgSz w:w="11910" w:h="16840"/>
          <w:pgMar w:header="713" w:footer="778" w:top="1140" w:bottom="960" w:left="940" w:right="520"/>
        </w:sectPr>
      </w:pPr>
    </w:p>
    <w:p>
      <w:pPr>
        <w:pStyle w:val="BodyText"/>
        <w:spacing w:before="92"/>
        <w:ind w:right="611" w:firstLine="710"/>
      </w:pPr>
      <w:r>
        <w:rPr>
          <w:b/>
        </w:rPr>
        <w:t>Виклад основного матеріалу досліджень. </w:t>
      </w:r>
      <w:r>
        <w:rPr/>
        <w:t>ОНМУ складається з п’яти будівель («старий» корпус (корпус 1), адміністративно-аудиторний корпус (корпус 2), лабораторний корпус (корпус 3), спорткомплекс (корпус 4), машинний зал (корпус 5)). Видатки на комунальні послуги за рік дорівнюють близько 7 млн. грн. (2017 рік) і зрозуміло будуть тільки зростати (рис. 1).</w:t>
      </w:r>
    </w:p>
    <w:p>
      <w:pPr>
        <w:pStyle w:val="BodyText"/>
        <w:ind w:left="0"/>
        <w:jc w:val="left"/>
        <w:rPr>
          <w:sz w:val="20"/>
        </w:rPr>
      </w:pPr>
    </w:p>
    <w:p>
      <w:pPr>
        <w:pStyle w:val="BodyText"/>
        <w:ind w:left="0"/>
        <w:jc w:val="left"/>
        <w:rPr>
          <w:sz w:val="20"/>
        </w:rPr>
      </w:pPr>
    </w:p>
    <w:p>
      <w:pPr>
        <w:pStyle w:val="BodyText"/>
        <w:spacing w:before="4"/>
        <w:ind w:left="0"/>
        <w:jc w:val="left"/>
        <w:rPr>
          <w:sz w:val="11"/>
        </w:rPr>
      </w:pPr>
      <w:r>
        <w:rPr/>
        <w:drawing>
          <wp:anchor distT="0" distB="0" distL="0" distR="0" allowOverlap="1" layoutInCell="1" locked="0" behindDoc="0" simplePos="0" relativeHeight="53">
            <wp:simplePos x="0" y="0"/>
            <wp:positionH relativeFrom="page">
              <wp:posOffset>1420273</wp:posOffset>
            </wp:positionH>
            <wp:positionV relativeFrom="paragraph">
              <wp:posOffset>108022</wp:posOffset>
            </wp:positionV>
            <wp:extent cx="5474922" cy="2712720"/>
            <wp:effectExtent l="0" t="0" r="0" b="0"/>
            <wp:wrapTopAndBottom/>
            <wp:docPr id="39" name="image74.png"/>
            <wp:cNvGraphicFramePr>
              <a:graphicFrameLocks noChangeAspect="1"/>
            </wp:cNvGraphicFramePr>
            <a:graphic>
              <a:graphicData uri="http://schemas.openxmlformats.org/drawingml/2006/picture">
                <pic:pic>
                  <pic:nvPicPr>
                    <pic:cNvPr id="40" name="image74.png"/>
                    <pic:cNvPicPr/>
                  </pic:nvPicPr>
                  <pic:blipFill>
                    <a:blip r:embed="rId123" cstate="print"/>
                    <a:stretch>
                      <a:fillRect/>
                    </a:stretch>
                  </pic:blipFill>
                  <pic:spPr>
                    <a:xfrm>
                      <a:off x="0" y="0"/>
                      <a:ext cx="5474922" cy="2712720"/>
                    </a:xfrm>
                    <a:prstGeom prst="rect">
                      <a:avLst/>
                    </a:prstGeom>
                  </pic:spPr>
                </pic:pic>
              </a:graphicData>
            </a:graphic>
          </wp:anchor>
        </w:drawing>
      </w:r>
    </w:p>
    <w:p>
      <w:pPr>
        <w:pStyle w:val="BodyText"/>
        <w:spacing w:before="224"/>
      </w:pPr>
      <w:r>
        <w:rPr>
          <w:b/>
        </w:rPr>
        <w:t>Рис. 1. </w:t>
      </w:r>
      <w:r>
        <w:rPr/>
        <w:t>Видатки ОНМУ за комунальні послуги 2015 – 2017 рр.</w:t>
      </w:r>
    </w:p>
    <w:p>
      <w:pPr>
        <w:pStyle w:val="BodyText"/>
        <w:spacing w:before="10"/>
        <w:ind w:left="0"/>
        <w:jc w:val="left"/>
        <w:rPr>
          <w:sz w:val="27"/>
        </w:rPr>
      </w:pPr>
    </w:p>
    <w:p>
      <w:pPr>
        <w:pStyle w:val="BodyText"/>
        <w:spacing w:line="242" w:lineRule="auto" w:before="1"/>
        <w:ind w:right="612" w:firstLine="710"/>
      </w:pPr>
      <w:r>
        <w:rPr/>
        <w:t>Фінансування університету державою виглядає недостатнім і складає 22% у 2015 році та 29% у 2017 році (загальний фонд). Таким чином, найбільш</w:t>
      </w:r>
    </w:p>
    <w:p>
      <w:pPr>
        <w:pStyle w:val="BodyText"/>
        <w:ind w:right="607"/>
      </w:pPr>
      <w:r>
        <w:rPr/>
        <w:t>«зацікавленим» в зменшенні витрат на комунальні видатки є сам університет (спеціальний фонд). Комунальні видатки ОНМУ складаються з виплат за теплопостачання, водопостачання, електроенергію та газ. На рисунках 2 – 4 представлена доля кожної статті витрат.</w:t>
      </w:r>
    </w:p>
    <w:p>
      <w:pPr>
        <w:pStyle w:val="BodyText"/>
        <w:ind w:left="0"/>
        <w:jc w:val="left"/>
        <w:rPr>
          <w:sz w:val="20"/>
        </w:rPr>
      </w:pPr>
    </w:p>
    <w:p>
      <w:pPr>
        <w:pStyle w:val="BodyText"/>
        <w:spacing w:before="7"/>
        <w:ind w:left="0"/>
        <w:jc w:val="left"/>
        <w:rPr>
          <w:sz w:val="21"/>
        </w:rPr>
      </w:pPr>
    </w:p>
    <w:p>
      <w:pPr>
        <w:spacing w:before="99"/>
        <w:ind w:left="3456" w:right="0" w:firstLine="0"/>
        <w:jc w:val="left"/>
        <w:rPr>
          <w:rFonts w:ascii="Tahoma"/>
          <w:sz w:val="20"/>
        </w:rPr>
      </w:pPr>
      <w:r>
        <w:rPr/>
        <w:pict>
          <v:group style="position:absolute;margin-left:163.503098pt;margin-top:19.857376pt;width:130.6pt;height:118.5pt;mso-position-horizontal-relative:page;mso-position-vertical-relative:paragraph;z-index:-267111424" coordorigin="3270,397" coordsize="2612,2370">
            <v:shape style="position:absolute;left:3498;top:407;width:2374;height:2351" coordorigin="3498,407" coordsize="2374,2351" path="m4575,407l4575,1582,3498,2251,3545,2308,3595,2361,3649,2412,3706,2460,3766,2505,3829,2546,3894,2585,3962,2619,4033,2651,4105,2678,4180,2702,4256,2721,4334,2737,4413,2748,4494,2755,4575,2757,4653,2755,4729,2748,4804,2738,4878,2723,4950,2704,5021,2682,5090,2656,5157,2626,5222,2593,5285,2557,5346,2518,5404,2475,5459,2430,5512,2383,5561,2332,5608,2280,5651,2225,5691,2168,5728,2109,5760,2048,5789,1986,5814,1922,5834,1856,5851,1789,5863,1721,5870,1652,5872,1582,5870,1511,5863,1440,5851,1371,5834,1303,5814,1236,5789,1172,5760,1109,5728,1047,5691,988,5651,931,5608,877,5561,824,5512,775,5459,727,5404,683,5346,641,5285,603,5222,567,5157,535,5090,506,5021,480,4950,459,4878,440,4804,426,4729,416,4653,409,4575,407xe" filled="true" fillcolor="#9999ff" stroked="false">
              <v:path arrowok="t"/>
              <v:fill type="solid"/>
            </v:shape>
            <v:shape style="position:absolute;left:3498;top:407;width:2374;height:2351" coordorigin="3498,407" coordsize="2374,2351" path="m3498,2251l3545,2308,3595,2361,3649,2412,3706,2460,3766,2505,3829,2546,3894,2585,3962,2619,4033,2651,4105,2678,4180,2702,4256,2721,4334,2737,4413,2748,4494,2755,4575,2757,4653,2755,4729,2748,4804,2738,4878,2723,4950,2704,5021,2682,5090,2656,5157,2626,5222,2593,5285,2557,5346,2518,5404,2475,5459,2430,5512,2383,5561,2332,5608,2280,5651,2225,5691,2168,5728,2109,5760,2048,5789,1986,5814,1922,5834,1856,5851,1789,5863,1721,5870,1652,5872,1582,5870,1511,5863,1440,5851,1371,5834,1303,5814,1236,5789,1172,5760,1109,5728,1047,5691,988,5651,931,5608,877,5561,824,5512,775,5459,727,5404,683,5346,641,5285,603,5222,567,5157,535,5090,506,5021,480,4950,459,4878,440,4804,426,4729,416,4653,409,4575,407,4575,1582,3498,2251xe" filled="false" stroked="true" strokeweight=".946926pt" strokecolor="#000000">
              <v:path arrowok="t"/>
              <v:stroke dashstyle="solid"/>
            </v:shape>
            <v:shape style="position:absolute;left:3279;top:1546;width:1296;height:705" coordorigin="3280,1546" coordsize="1296,705" path="m3280,1546l3280,1564,3282,1648,3291,1730,3305,1811,3325,1889,3350,1966,3380,2041,3415,2113,3454,2184,3498,2251,4575,1582,3280,1546xe" filled="true" fillcolor="#993366" stroked="false">
              <v:path arrowok="t"/>
              <v:fill type="solid"/>
            </v:shape>
            <v:shape style="position:absolute;left:3279;top:1546;width:1296;height:705" coordorigin="3280,1546" coordsize="1296,705" path="m3280,1546l3280,1564,3282,1648,3291,1730,3305,1811,3325,1889,3350,1966,3380,2041,3415,2113,3454,2184,3498,2251,4575,1582,3280,1546xe" filled="false" stroked="true" strokeweight=".921636pt" strokecolor="#000000">
              <v:path arrowok="t"/>
              <v:stroke dashstyle="solid"/>
            </v:shape>
            <v:shape style="position:absolute;left:3279;top:407;width:1296;height:1176" coordorigin="3280,407" coordsize="1296,1176" path="m4536,407l4456,411,4378,420,4301,432,4226,448,4153,468,4082,491,4014,518,3947,548,3883,582,3822,618,3763,658,3707,701,3653,746,3603,795,3556,846,3512,899,3472,955,3435,1013,3401,1073,3372,1135,3346,1200,3324,1266,3307,1334,3293,1403,3284,1474,3280,1546,4575,1582,4536,407xe" filled="true" fillcolor="#ffffcc" stroked="false">
              <v:path arrowok="t"/>
              <v:fill type="solid"/>
            </v:shape>
            <v:shape style="position:absolute;left:3279;top:407;width:1296;height:1176" coordorigin="3280,407" coordsize="1296,1176" path="m4536,407l4456,411,4378,420,4301,432,4226,448,4153,468,4082,491,4014,518,3947,548,3883,582,3822,618,3763,658,3707,701,3653,746,3603,795,3556,846,3512,899,3472,955,3435,1013,3401,1073,3372,1135,3346,1200,3324,1266,3307,1334,3293,1403,3284,1474,3280,1546,4575,1582,4536,407xe" filled="false" stroked="true" strokeweight=".942782pt" strokecolor="#000000">
              <v:path arrowok="t"/>
              <v:stroke dashstyle="solid"/>
            </v:shape>
            <v:line style="position:absolute" from="4556,407" to="4556,1582" stroked="true" strokeweight="1.989664pt" strokecolor="#ccffff">
              <v:stroke dashstyle="solid"/>
            </v:line>
            <v:shape style="position:absolute;left:4535;top:407;width:40;height:1176" coordorigin="4536,407" coordsize="40,1176" path="m4575,407l4556,407,4536,407,4575,1582,4575,407xe" filled="false" stroked="true" strokeweight=".994723pt" strokecolor="#000000">
              <v:path arrowok="t"/>
              <v:stroke dashstyle="solid"/>
            </v:shape>
            <w10:wrap type="none"/>
          </v:group>
        </w:pict>
      </w:r>
      <w:r>
        <w:rPr>
          <w:rFonts w:ascii="Tahoma"/>
          <w:w w:val="110"/>
          <w:sz w:val="20"/>
        </w:rPr>
        <w:t>1%</w:t>
      </w:r>
    </w:p>
    <w:p>
      <w:pPr>
        <w:spacing w:before="120"/>
        <w:ind w:left="2219" w:right="0" w:firstLine="0"/>
        <w:jc w:val="left"/>
        <w:rPr>
          <w:rFonts w:ascii="Tahoma"/>
          <w:sz w:val="20"/>
        </w:rPr>
      </w:pPr>
      <w:r>
        <w:rPr>
          <w:rFonts w:ascii="Tahoma"/>
          <w:w w:val="110"/>
          <w:sz w:val="20"/>
        </w:rPr>
        <w:t>24%</w:t>
      </w:r>
    </w:p>
    <w:p>
      <w:pPr>
        <w:pStyle w:val="BodyText"/>
        <w:spacing w:before="11"/>
        <w:ind w:left="0"/>
        <w:jc w:val="left"/>
        <w:rPr>
          <w:rFonts w:ascii="Tahoma"/>
          <w:sz w:val="29"/>
        </w:rPr>
      </w:pPr>
      <w:r>
        <w:rPr/>
        <w:pict>
          <v:group style="position:absolute;margin-left:366.952911pt;margin-top:20.060043pt;width:6.95pt;height:6.4pt;mso-position-horizontal-relative:page;mso-position-vertical-relative:paragraph;z-index:-251602944;mso-wrap-distance-left:0;mso-wrap-distance-right:0" coordorigin="7339,401" coordsize="139,128">
            <v:rect style="position:absolute;left:7348;top:410;width:121;height:109" filled="true" fillcolor="#9999ff" stroked="false">
              <v:fill type="solid"/>
            </v:rect>
            <v:rect style="position:absolute;left:7348;top:410;width:121;height:109" filled="false" stroked="true" strokeweight=".942667pt" strokecolor="#000000">
              <v:stroke dashstyle="solid"/>
            </v:rect>
            <w10:wrap type="topAndBottom"/>
          </v:group>
        </w:pict>
      </w:r>
      <w:r>
        <w:rPr/>
        <w:pict>
          <v:group style="position:absolute;margin-left:366.953033pt;margin-top:34.543781pt;width:6.95pt;height:6.35pt;mso-position-horizontal-relative:page;mso-position-vertical-relative:paragraph;z-index:-251601920;mso-wrap-distance-left:0;mso-wrap-distance-right:0" coordorigin="7339,691" coordsize="139,127">
            <v:rect style="position:absolute;left:7348;top:700;width:121;height:108" filled="true" fillcolor="#993366" stroked="false">
              <v:fill type="solid"/>
            </v:rect>
            <v:rect style="position:absolute;left:7348;top:700;width:121;height:108" filled="false" stroked="true" strokeweight=".942407pt" strokecolor="#000000">
              <v:stroke dashstyle="solid"/>
            </v:rect>
            <w10:wrap type="topAndBottom"/>
          </v:group>
        </w:pict>
      </w:r>
    </w:p>
    <w:p>
      <w:pPr>
        <w:pStyle w:val="BodyText"/>
        <w:spacing w:before="8"/>
        <w:ind w:left="0"/>
        <w:jc w:val="left"/>
        <w:rPr>
          <w:rFonts w:ascii="Tahoma"/>
          <w:sz w:val="7"/>
        </w:rPr>
      </w:pPr>
    </w:p>
    <w:p>
      <w:pPr>
        <w:pStyle w:val="BodyText"/>
        <w:spacing w:before="11"/>
        <w:ind w:left="0"/>
        <w:jc w:val="left"/>
        <w:rPr>
          <w:rFonts w:ascii="Tahoma"/>
          <w:sz w:val="10"/>
        </w:rPr>
      </w:pPr>
    </w:p>
    <w:p>
      <w:pPr>
        <w:pStyle w:val="BodyText"/>
        <w:spacing w:line="128" w:lineRule="exact"/>
        <w:ind w:left="6398"/>
        <w:jc w:val="left"/>
        <w:rPr>
          <w:rFonts w:ascii="Tahoma"/>
          <w:sz w:val="12"/>
        </w:rPr>
      </w:pPr>
      <w:r>
        <w:rPr>
          <w:rFonts w:ascii="Tahoma"/>
          <w:position w:val="-2"/>
          <w:sz w:val="12"/>
        </w:rPr>
        <w:pict>
          <v:group style="width:6.95pt;height:6.35pt;mso-position-horizontal-relative:char;mso-position-vertical-relative:line" coordorigin="0,0" coordsize="139,127">
            <v:rect style="position:absolute;left:9;top:9;width:121;height:108" filled="true" fillcolor="#ffffcc" stroked="false">
              <v:fill type="solid"/>
            </v:rect>
            <v:rect style="position:absolute;left:9;top:9;width:121;height:108" filled="false" stroked="true" strokeweight=".942407pt" strokecolor="#000000">
              <v:stroke dashstyle="solid"/>
            </v:rect>
          </v:group>
        </w:pict>
      </w:r>
      <w:r>
        <w:rPr>
          <w:rFonts w:ascii="Tahoma"/>
          <w:position w:val="-2"/>
          <w:sz w:val="12"/>
        </w:rPr>
      </w:r>
    </w:p>
    <w:p>
      <w:pPr>
        <w:spacing w:after="0" w:line="128" w:lineRule="exact"/>
        <w:jc w:val="left"/>
        <w:rPr>
          <w:rFonts w:ascii="Tahoma"/>
          <w:sz w:val="12"/>
        </w:rPr>
        <w:sectPr>
          <w:pgSz w:w="11910" w:h="16840"/>
          <w:pgMar w:header="713" w:footer="778" w:top="1140" w:bottom="960" w:left="940" w:right="520"/>
        </w:sectPr>
      </w:pPr>
    </w:p>
    <w:p>
      <w:pPr>
        <w:spacing w:before="61"/>
        <w:ind w:left="0" w:right="38" w:firstLine="0"/>
        <w:jc w:val="right"/>
        <w:rPr>
          <w:rFonts w:ascii="Tahoma"/>
          <w:sz w:val="20"/>
        </w:rPr>
      </w:pPr>
      <w:r>
        <w:rPr>
          <w:rFonts w:ascii="Tahoma"/>
          <w:w w:val="105"/>
          <w:sz w:val="20"/>
        </w:rPr>
        <w:t>10%</w:t>
      </w:r>
    </w:p>
    <w:p>
      <w:pPr>
        <w:pStyle w:val="BodyText"/>
        <w:spacing w:before="1" w:after="39"/>
        <w:ind w:left="0"/>
        <w:jc w:val="left"/>
        <w:rPr>
          <w:rFonts w:ascii="Tahoma"/>
          <w:sz w:val="10"/>
        </w:rPr>
      </w:pPr>
      <w:r>
        <w:rPr/>
        <w:br w:type="column"/>
      </w:r>
      <w:r>
        <w:rPr>
          <w:rFonts w:ascii="Tahoma"/>
          <w:sz w:val="10"/>
        </w:rPr>
      </w:r>
    </w:p>
    <w:p>
      <w:pPr>
        <w:pStyle w:val="BodyText"/>
        <w:spacing w:line="128" w:lineRule="exact"/>
        <w:ind w:left="3406"/>
        <w:jc w:val="left"/>
        <w:rPr>
          <w:rFonts w:ascii="Tahoma"/>
          <w:sz w:val="12"/>
        </w:rPr>
      </w:pPr>
      <w:r>
        <w:rPr>
          <w:rFonts w:ascii="Tahoma"/>
          <w:position w:val="-2"/>
          <w:sz w:val="12"/>
        </w:rPr>
        <w:pict>
          <v:group style="width:6.95pt;height:6.35pt;mso-position-horizontal-relative:char;mso-position-vertical-relative:line" coordorigin="0,0" coordsize="139,127">
            <v:rect style="position:absolute;left:9;top:9;width:121;height:108" filled="true" fillcolor="#ccffff" stroked="false">
              <v:fill type="solid"/>
            </v:rect>
            <v:rect style="position:absolute;left:9;top:9;width:121;height:108" filled="false" stroked="true" strokeweight=".942407pt" strokecolor="#000000">
              <v:stroke dashstyle="solid"/>
            </v:rect>
          </v:group>
        </w:pict>
      </w:r>
      <w:r>
        <w:rPr>
          <w:rFonts w:ascii="Tahoma"/>
          <w:position w:val="-2"/>
          <w:sz w:val="12"/>
        </w:rPr>
      </w:r>
    </w:p>
    <w:p>
      <w:pPr>
        <w:spacing w:before="0"/>
        <w:ind w:left="1880" w:right="0" w:firstLine="0"/>
        <w:jc w:val="left"/>
        <w:rPr>
          <w:rFonts w:ascii="Tahoma"/>
          <w:sz w:val="20"/>
        </w:rPr>
      </w:pPr>
      <w:r>
        <w:rPr/>
        <w:pict>
          <v:shape style="position:absolute;margin-left:363.447266pt;margin-top:-54.163376pt;width:105.75pt;height:57.85pt;mso-position-horizontal-relative:page;mso-position-vertical-relative:paragraph;z-index:-267110400" type="#_x0000_t202" filled="false" stroked="true" strokeweight=".925378pt" strokecolor="#000000">
            <v:textbox inset="0,0,0,0">
              <w:txbxContent>
                <w:p>
                  <w:pPr>
                    <w:spacing w:line="288" w:lineRule="auto" w:before="25"/>
                    <w:ind w:left="269" w:right="0" w:firstLine="0"/>
                    <w:jc w:val="left"/>
                    <w:rPr>
                      <w:rFonts w:ascii="Tahoma" w:hAnsi="Tahoma"/>
                      <w:i/>
                      <w:sz w:val="20"/>
                    </w:rPr>
                  </w:pPr>
                  <w:r>
                    <w:rPr>
                      <w:rFonts w:ascii="Tahoma" w:hAnsi="Tahoma"/>
                      <w:i/>
                      <w:w w:val="110"/>
                      <w:sz w:val="20"/>
                    </w:rPr>
                    <w:t>теплопостачання водопостачання електроенергія</w:t>
                  </w:r>
                </w:p>
                <w:p>
                  <w:pPr>
                    <w:spacing w:line="240" w:lineRule="exact" w:before="0"/>
                    <w:ind w:left="269" w:right="0" w:firstLine="0"/>
                    <w:jc w:val="left"/>
                    <w:rPr>
                      <w:rFonts w:ascii="Tahoma" w:hAnsi="Tahoma"/>
                      <w:i/>
                      <w:sz w:val="20"/>
                    </w:rPr>
                  </w:pPr>
                  <w:r>
                    <w:rPr>
                      <w:rFonts w:ascii="Tahoma" w:hAnsi="Tahoma"/>
                      <w:i/>
                      <w:w w:val="110"/>
                      <w:sz w:val="20"/>
                    </w:rPr>
                    <w:t>газ</w:t>
                  </w:r>
                </w:p>
              </w:txbxContent>
            </v:textbox>
            <v:stroke dashstyle="solid"/>
            <w10:wrap type="none"/>
          </v:shape>
        </w:pict>
      </w:r>
      <w:r>
        <w:rPr>
          <w:rFonts w:ascii="Tahoma"/>
          <w:w w:val="110"/>
          <w:sz w:val="20"/>
        </w:rPr>
        <w:t>65%</w:t>
      </w:r>
    </w:p>
    <w:p>
      <w:pPr>
        <w:spacing w:after="0"/>
        <w:jc w:val="left"/>
        <w:rPr>
          <w:rFonts w:ascii="Tahoma"/>
          <w:sz w:val="20"/>
        </w:rPr>
        <w:sectPr>
          <w:type w:val="continuous"/>
          <w:pgSz w:w="11910" w:h="16840"/>
          <w:pgMar w:top="1140" w:bottom="280" w:left="940" w:right="520"/>
          <w:cols w:num="2" w:equalWidth="0">
            <w:col w:w="2374" w:space="618"/>
            <w:col w:w="7458"/>
          </w:cols>
        </w:sectPr>
      </w:pP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20"/>
        </w:rPr>
      </w:pPr>
    </w:p>
    <w:p>
      <w:pPr>
        <w:pStyle w:val="BodyText"/>
        <w:spacing w:before="9"/>
        <w:ind w:left="0"/>
        <w:jc w:val="left"/>
        <w:rPr>
          <w:rFonts w:ascii="Tahoma"/>
          <w:sz w:val="22"/>
        </w:rPr>
      </w:pPr>
    </w:p>
    <w:p>
      <w:pPr>
        <w:pStyle w:val="BodyText"/>
        <w:spacing w:before="87"/>
        <w:ind w:left="754"/>
        <w:jc w:val="left"/>
      </w:pPr>
      <w:r>
        <w:rPr>
          <w:b/>
        </w:rPr>
        <w:t>Рис. 2. </w:t>
      </w:r>
      <w:r>
        <w:rPr/>
        <w:t>Видатки ОНМУ на комунальні послуги у 2015 р.</w:t>
      </w:r>
    </w:p>
    <w:p>
      <w:pPr>
        <w:spacing w:after="0"/>
        <w:jc w:val="left"/>
        <w:sectPr>
          <w:type w:val="continuous"/>
          <w:pgSz w:w="11910" w:h="16840"/>
          <w:pgMar w:top="1140" w:bottom="280" w:left="940" w:right="520"/>
        </w:sectPr>
      </w:pPr>
    </w:p>
    <w:p>
      <w:pPr>
        <w:pStyle w:val="BodyText"/>
        <w:ind w:left="0"/>
        <w:jc w:val="left"/>
        <w:rPr>
          <w:sz w:val="20"/>
        </w:rPr>
      </w:pPr>
    </w:p>
    <w:p>
      <w:pPr>
        <w:pStyle w:val="BodyText"/>
        <w:ind w:left="0"/>
        <w:jc w:val="left"/>
        <w:rPr>
          <w:sz w:val="20"/>
        </w:rPr>
      </w:pPr>
    </w:p>
    <w:p>
      <w:pPr>
        <w:pStyle w:val="BodyText"/>
        <w:spacing w:before="1"/>
        <w:ind w:left="0"/>
        <w:jc w:val="left"/>
        <w:rPr>
          <w:sz w:val="19"/>
        </w:rPr>
      </w:pPr>
    </w:p>
    <w:p>
      <w:pPr>
        <w:spacing w:before="0"/>
        <w:ind w:left="3422" w:right="0" w:firstLine="0"/>
        <w:jc w:val="left"/>
        <w:rPr>
          <w:rFonts w:ascii="Tahoma"/>
          <w:sz w:val="20"/>
        </w:rPr>
      </w:pPr>
      <w:r>
        <w:rPr/>
        <w:pict>
          <v:group style="position:absolute;margin-left:144.963455pt;margin-top:14.921866pt;width:149.8pt;height:121.5pt;mso-position-horizontal-relative:page;mso-position-vertical-relative:paragraph;z-index:251727872" coordorigin="2899,298" coordsize="2996,2430">
            <v:shape style="position:absolute;left:4199;top:308;width:1686;height:2343" coordorigin="4199,309" coordsize="1686,2343" path="m4565,309l4565,1471,4199,2597,4272,2616,4345,2631,4419,2642,4492,2649,4565,2651,4645,2649,4725,2642,4803,2632,4879,2617,4954,2599,5026,2577,5097,2552,5166,2523,5232,2490,5296,2454,5358,2416,5416,2374,5472,2329,5525,2282,5575,2232,5622,2179,5666,2124,5705,2067,5742,2008,5774,1947,5803,1883,5827,1818,5848,1752,5864,1683,5876,1614,5883,1543,5885,1471,5883,1399,5876,1328,5864,1259,5848,1191,5827,1125,5803,1061,5774,998,5742,938,5705,879,5666,823,5622,769,5575,717,5525,668,5472,622,5416,578,5358,537,5296,499,5232,465,5166,433,5097,405,5026,380,4954,359,4879,341,4803,327,4725,317,4645,311,4565,309xe" filled="true" fillcolor="#9999ff" stroked="false">
              <v:path arrowok="t"/>
              <v:fill type="solid"/>
            </v:shape>
            <v:shape style="position:absolute;left:4199;top:308;width:1686;height:2343" coordorigin="4199,309" coordsize="1686,2343" path="m4199,2597l4272,2616,4345,2631,4419,2642,4492,2649,4565,2651,4645,2649,4725,2642,4803,2632,4879,2617,4954,2599,5026,2577,5097,2552,5166,2523,5232,2490,5296,2454,5358,2416,5416,2374,5472,2329,5525,2282,5575,2232,5622,2179,5666,2124,5705,2067,5742,2008,5774,1947,5803,1883,5827,1818,5848,1752,5864,1683,5876,1614,5883,1543,5885,1471,5883,1399,5876,1328,5864,1259,5848,1191,5827,1125,5803,1061,5774,998,5742,938,5705,879,5666,823,5622,769,5575,717,5525,668,5472,622,5416,578,5358,537,5296,499,5232,465,5166,433,5097,405,5026,380,4954,359,4879,341,4803,327,4725,317,4645,311,4565,309,4565,1471,4199,2597xe" filled="false" stroked="true" strokeweight=".975793pt" strokecolor="#000000">
              <v:path arrowok="t"/>
              <v:stroke dashstyle="solid"/>
            </v:shape>
            <v:shape style="position:absolute;left:3407;top:1471;width:1158;height:1126" coordorigin="3407,1471" coordsize="1158,1126" path="m4565,1471l3407,1997,3447,2063,3491,2126,3538,2186,3590,2243,3645,2297,3704,2348,3766,2395,3832,2438,3900,2478,3971,2514,4045,2546,4121,2573,4199,2597,4565,1471xe" filled="true" fillcolor="#993366" stroked="false">
              <v:path arrowok="t"/>
              <v:fill type="solid"/>
            </v:shape>
            <v:shape style="position:absolute;left:3407;top:1471;width:1158;height:1126" coordorigin="3407,1471" coordsize="1158,1126" path="m3407,1997l3447,2063,3491,2126,3538,2186,3590,2243,3645,2297,3704,2348,3766,2395,3832,2438,3900,2478,3971,2514,4045,2546,4121,2573,4199,2597,4565,1471,3407,1997xe" filled="false" stroked="true" strokeweight=".956935pt" strokecolor="#000000">
              <v:path arrowok="t"/>
              <v:stroke dashstyle="solid"/>
            </v:shape>
            <v:shape style="position:absolute;left:3264;top:308;width:1301;height:1689" coordorigin="3265,309" coordsize="1301,1689" path="m4484,309l4405,315,4327,325,4252,340,4178,358,4106,380,4036,405,3968,434,3903,466,3840,501,3780,540,3722,581,3667,625,3615,672,3566,721,3521,773,3478,828,3439,884,3404,943,3372,1003,3345,1065,3321,1129,3301,1195,3285,1262,3274,1331,3267,1400,3265,1471,3267,1549,3275,1626,3289,1703,3309,1779,3335,1853,3367,1926,3407,1997,4565,1471,4484,309xe" filled="true" fillcolor="#ffffcc" stroked="false">
              <v:path arrowok="t"/>
              <v:fill type="solid"/>
            </v:shape>
            <v:shape style="position:absolute;left:3264;top:308;width:1301;height:1689" coordorigin="3265,309" coordsize="1301,1689" path="m4484,309l4405,315,4327,325,4252,340,4178,358,4106,380,4036,405,3968,434,3903,466,3840,501,3780,540,3722,581,3667,625,3615,672,3566,721,3521,773,3478,828,3439,884,3404,943,3372,1003,3345,1065,3321,1129,3301,1195,3285,1262,3274,1331,3267,1400,3265,1471,3267,1549,3275,1626,3289,1703,3309,1779,3335,1853,3367,1926,3407,1997,4565,1471,4484,309xe" filled="false" stroked="true" strokeweight=".972415pt" strokecolor="#000000">
              <v:path arrowok="t"/>
              <v:stroke dashstyle="solid"/>
            </v:shape>
            <v:line style="position:absolute" from="4524,309" to="4524,1471" stroked="true" strokeweight="4.052183pt" strokecolor="#ccffff">
              <v:stroke dashstyle="solid"/>
            </v:line>
            <v:shape style="position:absolute;left:4483;top:308;width:82;height:1163" coordorigin="4484,309" coordsize="82,1163" path="m4565,309l4538,309,4517,309,4499,309,4484,309,4565,1471,4565,309xe" filled="false" stroked="true" strokeweight="1.012518pt" strokecolor="#000000">
              <v:path arrowok="t"/>
              <v:stroke dashstyle="solid"/>
            </v:shape>
            <v:shape style="position:absolute;left:2899;top:671;width:481;height:241" type="#_x0000_t202" filled="false" stroked="false">
              <v:textbox inset="0,0,0,0">
                <w:txbxContent>
                  <w:p>
                    <w:pPr>
                      <w:spacing w:line="241" w:lineRule="exact" w:before="0"/>
                      <w:ind w:left="0" w:right="0" w:firstLine="0"/>
                      <w:jc w:val="left"/>
                      <w:rPr>
                        <w:rFonts w:ascii="Tahoma"/>
                        <w:sz w:val="20"/>
                      </w:rPr>
                    </w:pPr>
                    <w:r>
                      <w:rPr>
                        <w:rFonts w:ascii="Tahoma"/>
                        <w:w w:val="110"/>
                        <w:sz w:val="20"/>
                      </w:rPr>
                      <w:t>32%</w:t>
                    </w:r>
                  </w:p>
                </w:txbxContent>
              </v:textbox>
              <w10:wrap type="none"/>
            </v:shape>
            <v:shape style="position:absolute;left:3264;top:2487;width:481;height:241" type="#_x0000_t202" filled="false" stroked="false">
              <v:textbox inset="0,0,0,0">
                <w:txbxContent>
                  <w:p>
                    <w:pPr>
                      <w:spacing w:line="241" w:lineRule="exact" w:before="0"/>
                      <w:ind w:left="0" w:right="0" w:firstLine="0"/>
                      <w:jc w:val="left"/>
                      <w:rPr>
                        <w:rFonts w:ascii="Tahoma"/>
                        <w:sz w:val="20"/>
                      </w:rPr>
                    </w:pPr>
                    <w:r>
                      <w:rPr>
                        <w:rFonts w:ascii="Tahoma"/>
                        <w:w w:val="110"/>
                        <w:sz w:val="20"/>
                      </w:rPr>
                      <w:t>13%</w:t>
                    </w:r>
                  </w:p>
                </w:txbxContent>
              </v:textbox>
              <w10:wrap type="none"/>
            </v:shape>
            <w10:wrap type="none"/>
          </v:group>
        </w:pict>
      </w:r>
      <w:r>
        <w:rPr/>
        <w:pict>
          <v:group style="position:absolute;margin-left:365.908997pt;margin-top:79.428017pt;width:7.05pt;height:6.4pt;mso-position-horizontal-relative:page;mso-position-vertical-relative:paragraph;z-index:-267100160" coordorigin="7318,1589" coordsize="141,128">
            <v:rect style="position:absolute;left:7327;top:1598;width:122;height:109" filled="true" fillcolor="#ffffcc" stroked="false">
              <v:fill type="solid"/>
            </v:rect>
            <v:rect style="position:absolute;left:7327;top:1598;width:122;height:109" filled="false" stroked="true" strokeweight=".952265pt" strokecolor="#000000">
              <v:stroke dashstyle="solid"/>
            </v:rect>
            <w10:wrap type="none"/>
          </v:group>
        </w:pict>
      </w:r>
      <w:r>
        <w:rPr/>
        <w:pict>
          <v:shape style="position:absolute;margin-left:362.33606pt;margin-top:45.409225pt;width:107.7pt;height:58.1pt;mso-position-horizontal-relative:page;mso-position-vertical-relative:paragraph;z-index:-267094016" type="#_x0000_t202" filled="false" stroked="true" strokeweight=".933113pt" strokecolor="#000000">
            <v:textbox inset="0,0,0,0">
              <w:txbxContent>
                <w:p>
                  <w:pPr>
                    <w:spacing w:line="288" w:lineRule="auto" w:before="26"/>
                    <w:ind w:left="274" w:right="0" w:firstLine="0"/>
                    <w:jc w:val="left"/>
                    <w:rPr>
                      <w:rFonts w:ascii="Tahoma" w:hAnsi="Tahoma"/>
                      <w:i/>
                      <w:sz w:val="20"/>
                    </w:rPr>
                  </w:pPr>
                  <w:r>
                    <w:rPr>
                      <w:rFonts w:ascii="Tahoma" w:hAnsi="Tahoma"/>
                      <w:i/>
                      <w:w w:val="110"/>
                      <w:sz w:val="20"/>
                    </w:rPr>
                    <w:t>теплопостачання водопостачання електроенергія</w:t>
                  </w:r>
                </w:p>
                <w:p>
                  <w:pPr>
                    <w:spacing w:before="3"/>
                    <w:ind w:left="274" w:right="0" w:firstLine="0"/>
                    <w:jc w:val="left"/>
                    <w:rPr>
                      <w:rFonts w:ascii="Tahoma" w:hAnsi="Tahoma"/>
                      <w:i/>
                      <w:sz w:val="20"/>
                    </w:rPr>
                  </w:pPr>
                  <w:r>
                    <w:rPr>
                      <w:rFonts w:ascii="Tahoma" w:hAnsi="Tahoma"/>
                      <w:i/>
                      <w:w w:val="110"/>
                      <w:sz w:val="20"/>
                    </w:rPr>
                    <w:t>газ</w:t>
                  </w:r>
                </w:p>
              </w:txbxContent>
            </v:textbox>
            <v:stroke dashstyle="solid"/>
            <w10:wrap type="none"/>
          </v:shape>
        </w:pict>
      </w:r>
      <w:r>
        <w:rPr>
          <w:rFonts w:ascii="Tahoma"/>
          <w:w w:val="110"/>
          <w:sz w:val="20"/>
        </w:rPr>
        <w:t>1%</w:t>
      </w:r>
    </w:p>
    <w:p>
      <w:pPr>
        <w:pStyle w:val="BodyText"/>
        <w:ind w:left="0"/>
        <w:jc w:val="left"/>
        <w:rPr>
          <w:rFonts w:ascii="Tahoma"/>
          <w:sz w:val="20"/>
        </w:rPr>
      </w:pPr>
    </w:p>
    <w:p>
      <w:pPr>
        <w:pStyle w:val="BodyText"/>
        <w:ind w:left="0"/>
        <w:jc w:val="left"/>
        <w:rPr>
          <w:rFonts w:ascii="Tahoma"/>
          <w:sz w:val="20"/>
        </w:rPr>
      </w:pPr>
    </w:p>
    <w:p>
      <w:pPr>
        <w:pStyle w:val="BodyText"/>
        <w:spacing w:before="2"/>
        <w:ind w:left="0"/>
        <w:jc w:val="left"/>
        <w:rPr>
          <w:rFonts w:ascii="Tahoma"/>
          <w:sz w:val="20"/>
        </w:rPr>
      </w:pPr>
      <w:r>
        <w:rPr/>
        <w:pict>
          <v:group style="position:absolute;margin-left:365.908844pt;margin-top:14.177028pt;width:7.05pt;height:6.45pt;mso-position-horizontal-relative:page;mso-position-vertical-relative:paragraph;z-index:-251596800;mso-wrap-distance-left:0;mso-wrap-distance-right:0" coordorigin="7318,284" coordsize="141,129">
            <v:rect style="position:absolute;left:7327;top:293;width:122;height:110" filled="true" fillcolor="#9999ff" stroked="false">
              <v:fill type="solid"/>
            </v:rect>
            <v:rect style="position:absolute;left:7327;top:293;width:122;height:110" filled="false" stroked="true" strokeweight=".952564pt" strokecolor="#000000">
              <v:stroke dashstyle="solid"/>
            </v:rect>
            <w10:wrap type="topAndBottom"/>
          </v:group>
        </w:pict>
      </w:r>
      <w:r>
        <w:rPr/>
        <w:pict>
          <v:group style="position:absolute;margin-left:365.908997pt;margin-top:28.732031pt;width:7.05pt;height:6.4pt;mso-position-horizontal-relative:page;mso-position-vertical-relative:paragraph;z-index:-251595776;mso-wrap-distance-left:0;mso-wrap-distance-right:0" coordorigin="7318,575" coordsize="141,128">
            <v:rect style="position:absolute;left:7327;top:584;width:122;height:109" filled="true" fillcolor="#993366" stroked="false">
              <v:fill type="solid"/>
            </v:rect>
            <v:rect style="position:absolute;left:7327;top:584;width:122;height:109" filled="false" stroked="true" strokeweight=".952265pt" strokecolor="#000000">
              <v:stroke dashstyle="solid"/>
            </v:rect>
            <w10:wrap type="topAndBottom"/>
          </v:group>
        </w:pict>
      </w:r>
    </w:p>
    <w:p>
      <w:pPr>
        <w:pStyle w:val="BodyText"/>
        <w:spacing w:before="9"/>
        <w:ind w:left="0"/>
        <w:jc w:val="left"/>
        <w:rPr>
          <w:rFonts w:ascii="Tahoma"/>
          <w:sz w:val="7"/>
        </w:rPr>
      </w:pPr>
    </w:p>
    <w:p>
      <w:pPr>
        <w:spacing w:before="70" w:after="112"/>
        <w:ind w:left="714" w:right="603" w:firstLine="0"/>
        <w:jc w:val="center"/>
        <w:rPr>
          <w:rFonts w:ascii="Tahoma"/>
          <w:sz w:val="20"/>
        </w:rPr>
      </w:pPr>
      <w:r>
        <w:rPr>
          <w:rFonts w:ascii="Tahoma"/>
          <w:w w:val="110"/>
          <w:sz w:val="20"/>
        </w:rPr>
        <w:t>54%</w:t>
      </w:r>
    </w:p>
    <w:p>
      <w:pPr>
        <w:pStyle w:val="BodyText"/>
        <w:spacing w:line="128" w:lineRule="exact"/>
        <w:ind w:left="6377"/>
        <w:jc w:val="left"/>
        <w:rPr>
          <w:rFonts w:ascii="Tahoma"/>
          <w:sz w:val="12"/>
        </w:rPr>
      </w:pPr>
      <w:r>
        <w:rPr>
          <w:rFonts w:ascii="Tahoma"/>
          <w:position w:val="-2"/>
          <w:sz w:val="12"/>
        </w:rPr>
        <w:pict>
          <v:group style="width:7.05pt;height:6.4pt;mso-position-horizontal-relative:char;mso-position-vertical-relative:line" coordorigin="0,0" coordsize="141,128">
            <v:rect style="position:absolute;left:9;top:9;width:122;height:109" filled="true" fillcolor="#ccffff" stroked="false">
              <v:fill type="solid"/>
            </v:rect>
            <v:rect style="position:absolute;left:9;top:9;width:122;height:109" filled="false" stroked="true" strokeweight=".952265pt" strokecolor="#000000">
              <v:stroke dashstyle="solid"/>
            </v:rect>
          </v:group>
        </w:pict>
      </w:r>
      <w:r>
        <w:rPr>
          <w:rFonts w:ascii="Tahoma"/>
          <w:position w:val="-2"/>
          <w:sz w:val="12"/>
        </w:rPr>
      </w: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20"/>
        </w:rPr>
      </w:pPr>
    </w:p>
    <w:p>
      <w:pPr>
        <w:pStyle w:val="BodyText"/>
        <w:spacing w:before="1"/>
        <w:ind w:left="0"/>
        <w:jc w:val="left"/>
        <w:rPr>
          <w:rFonts w:ascii="Tahoma"/>
          <w:sz w:val="21"/>
        </w:rPr>
      </w:pPr>
    </w:p>
    <w:p>
      <w:pPr>
        <w:pStyle w:val="BodyText"/>
        <w:spacing w:before="87"/>
        <w:ind w:left="754"/>
        <w:jc w:val="left"/>
      </w:pPr>
      <w:r>
        <w:rPr>
          <w:b/>
        </w:rPr>
        <w:t>Рис. 3. </w:t>
      </w:r>
      <w:r>
        <w:rPr/>
        <w:t>Видатки ОНМУ на комунальні послуги у 2016 р.</w:t>
      </w:r>
    </w:p>
    <w:p>
      <w:pPr>
        <w:pStyle w:val="BodyText"/>
        <w:ind w:left="0"/>
        <w:jc w:val="left"/>
        <w:rPr>
          <w:sz w:val="20"/>
        </w:rPr>
      </w:pPr>
    </w:p>
    <w:p>
      <w:pPr>
        <w:pStyle w:val="BodyText"/>
        <w:ind w:left="0"/>
        <w:jc w:val="left"/>
        <w:rPr>
          <w:sz w:val="20"/>
        </w:rPr>
      </w:pPr>
    </w:p>
    <w:p>
      <w:pPr>
        <w:spacing w:before="101"/>
        <w:ind w:left="3397" w:right="0" w:firstLine="0"/>
        <w:jc w:val="left"/>
        <w:rPr>
          <w:rFonts w:ascii="Tahoma"/>
          <w:sz w:val="19"/>
        </w:rPr>
      </w:pPr>
      <w:r>
        <w:rPr/>
        <w:pict>
          <v:group style="position:absolute;margin-left:148.319031pt;margin-top:19.271160pt;width:141.450pt;height:114.55pt;mso-position-horizontal-relative:page;mso-position-vertical-relative:paragraph;z-index:251731968" coordorigin="2966,385" coordsize="2829,2291">
            <v:shape style="position:absolute;left:4128;top:394;width:1658;height:2260" coordorigin="4128,395" coordsize="1658,2260" path="m4547,395l4547,1525,4128,2585,4209,2605,4290,2624,4373,2640,4458,2650,4547,2654,4624,2652,4699,2645,4774,2634,4847,2619,4918,2599,4988,2576,5056,2549,5122,2519,5186,2485,5247,2447,5306,2407,5363,2364,5416,2317,5467,2268,5515,2217,5559,2163,5600,2107,5637,2049,5671,1988,5700,1926,5726,1863,5747,1798,5763,1731,5776,1663,5783,1594,5786,1525,5783,1453,5776,1383,5763,1314,5747,1246,5726,1180,5700,1116,5671,1053,5637,993,5600,935,5559,878,5515,825,5467,774,5416,725,5363,679,5306,637,5247,597,5186,560,5122,527,5056,497,4988,471,4918,448,4847,429,4774,414,4699,404,4624,397,4547,395xe" filled="true" fillcolor="#9999ff" stroked="false">
              <v:path arrowok="t"/>
              <v:fill type="solid"/>
            </v:shape>
            <v:shape style="position:absolute;left:4128;top:394;width:1658;height:2260" coordorigin="4128,395" coordsize="1658,2260" path="m4128,2585l4209,2605,4290,2624,4373,2640,4458,2650,4547,2654,4624,2652,4699,2645,4774,2634,4847,2619,4918,2599,4988,2576,5056,2549,5122,2519,5186,2485,5247,2447,5306,2407,5363,2364,5416,2317,5467,2268,5515,2217,5559,2163,5600,2107,5637,2049,5671,1988,5700,1926,5726,1863,5747,1798,5763,1731,5776,1663,5783,1594,5786,1525,5783,1453,5776,1383,5763,1314,5747,1246,5726,1180,5700,1116,5671,1053,5637,993,5600,935,5559,878,5515,825,5467,774,5416,725,5363,679,5306,637,5247,597,5186,560,5122,527,5056,497,4988,471,4918,448,4847,429,4774,414,4699,404,4624,397,4547,395,4547,1525,4128,2585xe" filled="false" stroked="true" strokeweight=".920249pt" strokecolor="#000000">
              <v:path arrowok="t"/>
              <v:stroke dashstyle="solid"/>
            </v:shape>
            <v:shape style="position:absolute;left:3442;top:1524;width:1105;height:1061" coordorigin="3443,1525" coordsize="1105,1061" path="m4547,1525l3443,2063,3487,2129,3535,2191,3587,2250,3644,2306,3704,2358,3768,2407,3835,2451,3904,2492,3977,2527,4051,2559,4128,2585,4547,1525xe" filled="true" fillcolor="#993366" stroked="false">
              <v:path arrowok="t"/>
              <v:fill type="solid"/>
            </v:shape>
            <v:shape style="position:absolute;left:3442;top:1524;width:1105;height:1061" coordorigin="3443,1525" coordsize="1105,1061" path="m3443,2063l3487,2129,3535,2191,3587,2250,3644,2306,3704,2358,3768,2407,3835,2451,3904,2492,3977,2527,4051,2559,4128,2585,4547,1525,3443,2063xe" filled="false" stroked="true" strokeweight=".905785pt" strokecolor="#000000">
              <v:path arrowok="t"/>
              <v:stroke dashstyle="solid"/>
            </v:shape>
            <v:shape style="position:absolute;left:3309;top:394;width:1238;height:1669" coordorigin="3310,395" coordsize="1238,1669" path="m4452,395l4372,402,4294,413,4217,429,4143,450,4070,474,4000,503,3933,535,3868,571,3806,611,3747,654,3691,700,3638,749,3589,801,3543,856,3500,913,3462,972,3427,1033,3397,1096,3371,1162,3349,1228,3332,1296,3320,1366,3312,1436,3310,1507,3312,1589,3319,1671,3332,1752,3350,1832,3375,1911,3405,1988,3443,2063,4547,1525,4452,395xe" filled="true" fillcolor="#ffffcc" stroked="false">
              <v:path arrowok="t"/>
              <v:fill type="solid"/>
            </v:shape>
            <v:shape style="position:absolute;left:3309;top:394;width:1238;height:1669" coordorigin="3310,395" coordsize="1238,1669" path="m4452,395l4372,402,4294,413,4217,429,4143,450,4070,474,4000,503,3933,535,3868,571,3806,611,3747,654,3691,700,3638,749,3589,801,3543,856,3500,913,3462,972,3427,1033,3397,1096,3371,1162,3349,1228,3332,1296,3320,1366,3312,1436,3310,1507,3312,1589,3319,1671,3332,1752,3350,1832,3375,1911,3405,1988,3443,2063,4547,1525,4452,395xe" filled="false" stroked="true" strokeweight=".919812pt" strokecolor="#000000">
              <v:path arrowok="t"/>
              <v:stroke dashstyle="solid"/>
            </v:shape>
            <v:shape style="position:absolute;left:4451;top:394;width:96;height:1130" coordorigin="4452,395" coordsize="96,1130" path="m4547,395l4452,395,4547,1525,4547,395xe" filled="true" fillcolor="#ccffff" stroked="false">
              <v:path arrowok="t"/>
              <v:fill type="solid"/>
            </v:shape>
            <v:shape style="position:absolute;left:4451;top:394;width:96;height:1130" coordorigin="4452,395" coordsize="96,1130" path="m4547,395l4519,395,4493,395,4470,395,4452,395,4547,1525,4547,395xe" filled="false" stroked="true" strokeweight=".94927pt" strokecolor="#000000">
              <v:path arrowok="t"/>
              <v:stroke dashstyle="solid"/>
            </v:shape>
            <v:shape style="position:absolute;left:2966;top:742;width:453;height:231" type="#_x0000_t202" filled="false" stroked="false">
              <v:textbox inset="0,0,0,0">
                <w:txbxContent>
                  <w:p>
                    <w:pPr>
                      <w:spacing w:before="1"/>
                      <w:ind w:left="0" w:right="0" w:firstLine="0"/>
                      <w:jc w:val="left"/>
                      <w:rPr>
                        <w:rFonts w:ascii="Tahoma"/>
                        <w:sz w:val="19"/>
                      </w:rPr>
                    </w:pPr>
                    <w:r>
                      <w:rPr>
                        <w:rFonts w:ascii="Tahoma"/>
                        <w:w w:val="110"/>
                        <w:sz w:val="19"/>
                      </w:rPr>
                      <w:t>32%</w:t>
                    </w:r>
                  </w:p>
                </w:txbxContent>
              </v:textbox>
              <w10:wrap type="none"/>
            </v:shape>
            <v:shape style="position:absolute;left:3271;top:2445;width:453;height:231" type="#_x0000_t202" filled="false" stroked="false">
              <v:textbox inset="0,0,0,0">
                <w:txbxContent>
                  <w:p>
                    <w:pPr>
                      <w:spacing w:before="1"/>
                      <w:ind w:left="0" w:right="0" w:firstLine="0"/>
                      <w:jc w:val="left"/>
                      <w:rPr>
                        <w:rFonts w:ascii="Tahoma"/>
                        <w:sz w:val="19"/>
                      </w:rPr>
                    </w:pPr>
                    <w:r>
                      <w:rPr>
                        <w:rFonts w:ascii="Tahoma"/>
                        <w:w w:val="110"/>
                        <w:sz w:val="19"/>
                      </w:rPr>
                      <w:t>12%</w:t>
                    </w:r>
                  </w:p>
                </w:txbxContent>
              </v:textbox>
              <w10:wrap type="none"/>
            </v:shape>
            <w10:wrap type="none"/>
          </v:group>
        </w:pict>
      </w:r>
      <w:r>
        <w:rPr/>
        <w:pict>
          <v:group style="position:absolute;margin-left:364.055847pt;margin-top:81.003731pt;width:6.65pt;height:6.1pt;mso-position-horizontal-relative:page;mso-position-vertical-relative:paragraph;z-index:-267096064" coordorigin="7281,1620" coordsize="133,122">
            <v:rect style="position:absolute;left:7290;top:1629;width:114;height:104" filled="true" fillcolor="#ffffcc" stroked="false">
              <v:fill type="solid"/>
            </v:rect>
            <v:rect style="position:absolute;left:7290;top:1629;width:114;height:104" filled="false" stroked="true" strokeweight=".903593pt" strokecolor="#000000">
              <v:stroke dashstyle="solid"/>
            </v:rect>
            <w10:wrap type="none"/>
          </v:group>
        </w:pict>
      </w:r>
      <w:r>
        <w:rPr/>
        <w:pict>
          <v:shape style="position:absolute;margin-left:360.684814pt;margin-top:48.435795pt;width:100.95pt;height:55.65pt;mso-position-horizontal-relative:page;mso-position-vertical-relative:paragraph;z-index:-267095040" type="#_x0000_t202" filled="false" stroked="true" strokeweight=".887873pt" strokecolor="#000000">
            <v:textbox inset="0,0,0,0">
              <w:txbxContent>
                <w:p>
                  <w:pPr>
                    <w:spacing w:line="290" w:lineRule="auto" w:before="26"/>
                    <w:ind w:left="257" w:right="0" w:firstLine="0"/>
                    <w:jc w:val="left"/>
                    <w:rPr>
                      <w:rFonts w:ascii="Tahoma" w:hAnsi="Tahoma"/>
                      <w:i/>
                      <w:sz w:val="19"/>
                    </w:rPr>
                  </w:pPr>
                  <w:r>
                    <w:rPr>
                      <w:rFonts w:ascii="Tahoma" w:hAnsi="Tahoma"/>
                      <w:i/>
                      <w:w w:val="110"/>
                      <w:sz w:val="19"/>
                    </w:rPr>
                    <w:t>теплопостачання водопостачання електроенергія</w:t>
                  </w:r>
                </w:p>
                <w:p>
                  <w:pPr>
                    <w:spacing w:before="2"/>
                    <w:ind w:left="257" w:right="0" w:firstLine="0"/>
                    <w:jc w:val="left"/>
                    <w:rPr>
                      <w:rFonts w:ascii="Tahoma" w:hAnsi="Tahoma"/>
                      <w:i/>
                      <w:sz w:val="19"/>
                    </w:rPr>
                  </w:pPr>
                  <w:r>
                    <w:rPr>
                      <w:rFonts w:ascii="Tahoma" w:hAnsi="Tahoma"/>
                      <w:i/>
                      <w:w w:val="110"/>
                      <w:sz w:val="19"/>
                    </w:rPr>
                    <w:t>газ</w:t>
                  </w:r>
                </w:p>
              </w:txbxContent>
            </v:textbox>
            <v:stroke dashstyle="solid"/>
            <w10:wrap type="none"/>
          </v:shape>
        </w:pict>
      </w:r>
      <w:r>
        <w:rPr>
          <w:rFonts w:ascii="Tahoma"/>
          <w:w w:val="110"/>
          <w:sz w:val="19"/>
        </w:rPr>
        <w:t>1%</w:t>
      </w:r>
    </w:p>
    <w:p>
      <w:pPr>
        <w:pStyle w:val="BodyText"/>
        <w:ind w:left="0"/>
        <w:jc w:val="left"/>
        <w:rPr>
          <w:rFonts w:ascii="Tahoma"/>
          <w:sz w:val="20"/>
        </w:rPr>
      </w:pPr>
    </w:p>
    <w:p>
      <w:pPr>
        <w:pStyle w:val="BodyText"/>
        <w:ind w:left="0"/>
        <w:jc w:val="left"/>
        <w:rPr>
          <w:rFonts w:ascii="Tahoma"/>
          <w:sz w:val="20"/>
        </w:rPr>
      </w:pPr>
    </w:p>
    <w:p>
      <w:pPr>
        <w:pStyle w:val="BodyText"/>
        <w:spacing w:before="5"/>
        <w:ind w:left="0"/>
        <w:jc w:val="left"/>
        <w:rPr>
          <w:rFonts w:ascii="Tahoma"/>
          <w:sz w:val="17"/>
        </w:rPr>
      </w:pPr>
      <w:r>
        <w:rPr/>
        <w:pict>
          <v:group style="position:absolute;margin-left:364.055725pt;margin-top:12.553828pt;width:6.65pt;height:6.15pt;mso-position-horizontal-relative:page;mso-position-vertical-relative:paragraph;z-index:-251593728;mso-wrap-distance-left:0;mso-wrap-distance-right:0" coordorigin="7281,251" coordsize="133,123">
            <v:rect style="position:absolute;left:7290;top:260;width:114;height:105" filled="true" fillcolor="#9999ff" stroked="false">
              <v:fill type="solid"/>
            </v:rect>
            <v:rect style="position:absolute;left:7290;top:260;width:114;height:105" filled="false" stroked="true" strokeweight=".903825pt" strokecolor="#000000">
              <v:stroke dashstyle="solid"/>
            </v:rect>
            <w10:wrap type="topAndBottom"/>
          </v:group>
        </w:pict>
      </w:r>
      <w:r>
        <w:rPr/>
        <w:pict>
          <v:group style="position:absolute;margin-left:364.055847pt;margin-top:26.477856pt;width:6.65pt;height:6.1pt;mso-position-horizontal-relative:page;mso-position-vertical-relative:paragraph;z-index:-251592704;mso-wrap-distance-left:0;mso-wrap-distance-right:0" coordorigin="7281,530" coordsize="133,122">
            <v:rect style="position:absolute;left:7290;top:538;width:114;height:104" filled="true" fillcolor="#993366" stroked="false">
              <v:fill type="solid"/>
            </v:rect>
            <v:rect style="position:absolute;left:7290;top:538;width:114;height:104" filled="false" stroked="true" strokeweight=".903593pt" strokecolor="#000000">
              <v:stroke dashstyle="solid"/>
            </v:rect>
            <w10:wrap type="topAndBottom"/>
          </v:group>
        </w:pict>
      </w:r>
    </w:p>
    <w:p>
      <w:pPr>
        <w:pStyle w:val="BodyText"/>
        <w:spacing w:before="1"/>
        <w:ind w:left="0"/>
        <w:jc w:val="left"/>
        <w:rPr>
          <w:rFonts w:ascii="Tahoma"/>
          <w:sz w:val="7"/>
        </w:rPr>
      </w:pPr>
    </w:p>
    <w:p>
      <w:pPr>
        <w:spacing w:before="101" w:after="73"/>
        <w:ind w:left="399" w:right="603" w:firstLine="0"/>
        <w:jc w:val="center"/>
        <w:rPr>
          <w:rFonts w:ascii="Tahoma"/>
          <w:sz w:val="19"/>
        </w:rPr>
      </w:pPr>
      <w:r>
        <w:rPr>
          <w:rFonts w:ascii="Tahoma"/>
          <w:w w:val="110"/>
          <w:sz w:val="19"/>
        </w:rPr>
        <w:t>55%</w:t>
      </w:r>
    </w:p>
    <w:p>
      <w:pPr>
        <w:pStyle w:val="BodyText"/>
        <w:spacing w:line="123" w:lineRule="exact"/>
        <w:ind w:left="6340"/>
        <w:jc w:val="left"/>
        <w:rPr>
          <w:rFonts w:ascii="Tahoma"/>
          <w:sz w:val="12"/>
        </w:rPr>
      </w:pPr>
      <w:r>
        <w:rPr>
          <w:rFonts w:ascii="Tahoma"/>
          <w:position w:val="-1"/>
          <w:sz w:val="12"/>
        </w:rPr>
        <w:pict>
          <v:group style="width:6.65pt;height:6.1pt;mso-position-horizontal-relative:char;mso-position-vertical-relative:line" coordorigin="0,0" coordsize="133,122">
            <v:rect style="position:absolute;left:9;top:9;width:114;height:104" filled="true" fillcolor="#ccffff" stroked="false">
              <v:fill type="solid"/>
            </v:rect>
            <v:rect style="position:absolute;left:9;top:9;width:114;height:104" filled="false" stroked="true" strokeweight=".903593pt" strokecolor="#000000">
              <v:stroke dashstyle="solid"/>
            </v:rect>
          </v:group>
        </w:pict>
      </w:r>
      <w:r>
        <w:rPr>
          <w:rFonts w:ascii="Tahoma"/>
          <w:position w:val="-1"/>
          <w:sz w:val="12"/>
        </w:rPr>
      </w: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17"/>
        </w:rPr>
      </w:pPr>
    </w:p>
    <w:p>
      <w:pPr>
        <w:pStyle w:val="BodyText"/>
        <w:spacing w:before="87"/>
        <w:ind w:left="754"/>
        <w:jc w:val="left"/>
      </w:pPr>
      <w:r>
        <w:rPr>
          <w:b/>
        </w:rPr>
        <w:t>Рис. 4. -</w:t>
      </w:r>
      <w:r>
        <w:rPr/>
        <w:t>Видатки ОНМУ на комунальні послуги у 2017 р.</w:t>
      </w:r>
    </w:p>
    <w:p>
      <w:pPr>
        <w:pStyle w:val="BodyText"/>
        <w:spacing w:before="11"/>
        <w:ind w:left="0"/>
        <w:jc w:val="left"/>
        <w:rPr>
          <w:sz w:val="27"/>
        </w:rPr>
      </w:pPr>
    </w:p>
    <w:p>
      <w:pPr>
        <w:pStyle w:val="BodyText"/>
        <w:ind w:right="609" w:firstLine="710"/>
      </w:pPr>
      <w:r>
        <w:rPr/>
        <w:t>З наведених рисунків безальтернативно витікає, що головними флагманами видатків є теплопостачання та електроенергія. За достатньо прохолодну температуру в корпусах університету необхідно сплачувати величезні </w:t>
      </w:r>
      <w:r>
        <w:rPr>
          <w:spacing w:val="2"/>
        </w:rPr>
        <w:t>гроші </w:t>
      </w:r>
      <w:r>
        <w:rPr/>
        <w:t>(рис. 5). Крім того, при низькій температурі зменшується провітрювання</w:t>
      </w:r>
      <w:r>
        <w:rPr>
          <w:spacing w:val="-11"/>
        </w:rPr>
        <w:t> </w:t>
      </w:r>
      <w:r>
        <w:rPr/>
        <w:t>приміщень</w:t>
      </w:r>
      <w:r>
        <w:rPr>
          <w:spacing w:val="-13"/>
        </w:rPr>
        <w:t> </w:t>
      </w:r>
      <w:r>
        <w:rPr/>
        <w:t>(рідше</w:t>
      </w:r>
      <w:r>
        <w:rPr>
          <w:spacing w:val="-10"/>
        </w:rPr>
        <w:t> </w:t>
      </w:r>
      <w:r>
        <w:rPr/>
        <w:t>відкриваються</w:t>
      </w:r>
      <w:r>
        <w:rPr>
          <w:spacing w:val="-9"/>
        </w:rPr>
        <w:t> </w:t>
      </w:r>
      <w:r>
        <w:rPr/>
        <w:t>кватирки</w:t>
      </w:r>
      <w:r>
        <w:rPr>
          <w:spacing w:val="-7"/>
        </w:rPr>
        <w:t> </w:t>
      </w:r>
      <w:r>
        <w:rPr/>
        <w:t>і</w:t>
      </w:r>
      <w:r>
        <w:rPr>
          <w:spacing w:val="-16"/>
        </w:rPr>
        <w:t> </w:t>
      </w:r>
      <w:r>
        <w:rPr/>
        <w:t>вікна),</w:t>
      </w:r>
      <w:r>
        <w:rPr>
          <w:spacing w:val="-8"/>
        </w:rPr>
        <w:t> </w:t>
      </w:r>
      <w:r>
        <w:rPr/>
        <w:t>що</w:t>
      </w:r>
      <w:r>
        <w:rPr>
          <w:spacing w:val="-10"/>
        </w:rPr>
        <w:t> </w:t>
      </w:r>
      <w:r>
        <w:rPr/>
        <w:t>неминуче призводить до підвищення відносної вологості повітря і як слідство розвиток бактерій та мікроорганізмів шкідливих для здоров’я студентів і співробітників університету. Температура у приміщеннях університету буде залежить от втрат теплоти у навколишнє середовище. Витрати теплоти на опалювання будівлі залежать від її розмірів, метеорологічних умов у навколишньому середовищі та термічного опору огороджень (стіни, дах) та типу системи вентиляції. </w:t>
      </w:r>
      <w:r>
        <w:rPr>
          <w:spacing w:val="-3"/>
        </w:rPr>
        <w:t>На </w:t>
      </w:r>
      <w:r>
        <w:rPr/>
        <w:t>термічний опір можливо впливати за рахунок утеплення</w:t>
      </w:r>
      <w:r>
        <w:rPr>
          <w:spacing w:val="-51"/>
        </w:rPr>
        <w:t> </w:t>
      </w:r>
      <w:r>
        <w:rPr/>
        <w:t>приміщень. Інформація яка характеризує корпуса університету наведена у таблиці</w:t>
      </w:r>
      <w:r>
        <w:rPr>
          <w:spacing w:val="-8"/>
        </w:rPr>
        <w:t> </w:t>
      </w:r>
      <w:r>
        <w:rPr/>
        <w:t>1.</w:t>
      </w:r>
    </w:p>
    <w:p>
      <w:pPr>
        <w:spacing w:after="0"/>
        <w:sectPr>
          <w:pgSz w:w="11910" w:h="16840"/>
          <w:pgMar w:header="713" w:footer="778" w:top="1140" w:bottom="960" w:left="940" w:right="520"/>
        </w:sectPr>
      </w:pPr>
    </w:p>
    <w:p>
      <w:pPr>
        <w:pStyle w:val="BodyText"/>
        <w:spacing w:before="2"/>
        <w:ind w:left="0"/>
        <w:jc w:val="left"/>
        <w:rPr>
          <w:sz w:val="25"/>
        </w:rPr>
      </w:pPr>
    </w:p>
    <w:p>
      <w:pPr>
        <w:spacing w:before="108"/>
        <w:ind w:left="193" w:right="8325" w:firstLine="0"/>
        <w:jc w:val="right"/>
        <w:rPr>
          <w:rFonts w:ascii="Tahoma"/>
          <w:sz w:val="18"/>
        </w:rPr>
      </w:pPr>
      <w:r>
        <w:rPr/>
        <w:pict>
          <v:group style="position:absolute;margin-left:158.432495pt;margin-top:10.99484pt;width:260.75pt;height:166.2pt;mso-position-horizontal-relative:page;mso-position-vertical-relative:paragraph;z-index:251754496" coordorigin="3169,220" coordsize="5215,3324">
            <v:shape style="position:absolute;left:3229;top:946;width:5124;height:2187" coordorigin="3229,946" coordsize="5124,2187" path="m7850,3133l8353,3133m6143,3133l7167,3133m4415,3133l5439,3133m4415,2774l5439,2774m3229,2774l3731,2774m3229,2398l3731,2398m3229,2039l3731,2039m3229,1322l3731,1322m3229,946l3731,946e" filled="false" stroked="true" strokeweight=".85096pt" strokecolor="#000000">
              <v:path arrowok="t"/>
              <v:stroke dashstyle="solid"/>
            </v:shape>
            <v:shape style="position:absolute;left:1015;top:11938;width:3834;height:316" coordorigin="1015,11938" coordsize="3834,316" path="m3229,587l8353,587m3229,228l8353,228e" filled="false" stroked="true" strokeweight=".926634pt" strokecolor="#000000">
              <v:path arrowok="t"/>
              <v:stroke dashstyle="solid"/>
            </v:shape>
            <v:line style="position:absolute" from="3229,228" to="8353,228" stroked="true" strokeweight=".85096pt" strokecolor="#ffffff">
              <v:stroke dashstyle="solid"/>
            </v:line>
            <v:rect style="position:absolute;left:3219;top:245;width:21;height:3247" filled="true" fillcolor="#ffffff" stroked="false">
              <v:fill type="solid"/>
            </v:rect>
            <v:rect style="position:absolute;left:3731;top:2842;width:684;height:641" filled="true" fillcolor="#9999ff" stroked="false">
              <v:fill type="solid"/>
            </v:rect>
            <v:rect style="position:absolute;left:3731;top:2842;width:684;height:641" filled="false" stroked="true" strokeweight=".921714pt" strokecolor="#000000">
              <v:stroke dashstyle="solid"/>
            </v:rect>
            <v:line style="position:absolute" from="6143,2774" to="7167,2774" stroked="true" strokeweight=".85096pt" strokecolor="#000000">
              <v:stroke dashstyle="solid"/>
            </v:line>
            <v:rect style="position:absolute;left:5439;top:2791;width:704;height:693" filled="false" stroked="true" strokeweight=".925386pt" strokecolor="#000000">
              <v:stroke dashstyle="solid"/>
            </v:rect>
            <v:shape style="position:absolute;left:6142;top:2398;width:2210;height:376" coordorigin="6143,2398" coordsize="2210,376" path="m7850,2774l8353,2774m7850,2398l8353,2398m6143,2398l7167,2398e" filled="false" stroked="true" strokeweight=".85096pt" strokecolor="#000000">
              <v:path arrowok="t"/>
              <v:stroke dashstyle="solid"/>
            </v:shape>
            <v:rect style="position:absolute;left:7167;top:2432;width:683;height:1051" filled="false" stroked="true" strokeweight=".957357pt" strokecolor="#000000">
              <v:stroke dashstyle="solid"/>
            </v:rect>
            <v:shape style="position:absolute;left:4414;top:1321;width:2753;height:1077" coordorigin="4415,1322" coordsize="2753,1077" path="m4415,2398l5439,2398m6143,2039l7167,2039m4415,2039l5439,2039m4415,1681l5439,1681m4415,1322l5439,1322e" filled="false" stroked="true" strokeweight=".85096pt" strokecolor="#000000">
              <v:path arrowok="t"/>
              <v:stroke dashstyle="solid"/>
            </v:shape>
            <v:rect style="position:absolute;left:5439;top:1184;width:704;height:1607" filled="true" fillcolor="#993366" stroked="false">
              <v:fill type="solid"/>
            </v:rect>
            <v:rect style="position:absolute;left:5439;top:1184;width:704;height:1607" filled="false" stroked="true" strokeweight=".977936pt" strokecolor="#000000">
              <v:stroke dashstyle="solid"/>
            </v:rect>
            <v:rect style="position:absolute;left:3219;top:228;width:21;height:3247" filled="true" fillcolor="#000000" stroked="false">
              <v:fill type="solid"/>
            </v:rect>
            <v:shape style="position:absolute;left:969;top:11938;width:3880;height:2877" coordorigin="969,11938" coordsize="3880,2877" path="m3169,2774l3209,2774m3169,2398l3209,2398m3169,2039l3209,2039m3169,1322l3209,1322m3169,946l3209,946m3169,587l3209,587m3169,228l3209,228m3229,3492l8353,3492e" filled="false" stroked="true" strokeweight=".926634pt" strokecolor="#000000">
              <v:path arrowok="t"/>
              <v:stroke dashstyle="solid"/>
            </v:shape>
            <v:shape style="position:absolute;left:4926;top:3525;width:3457;height:2" coordorigin="4927,3526" coordsize="3457,0" path="m4927,3526l4947,3526m6655,3526l6675,3526m8363,3526l8383,3526e" filled="false" stroked="true" strokeweight="1.730285pt" strokecolor="#000000">
              <v:path arrowok="t"/>
              <v:stroke dashstyle="solid"/>
            </v:shape>
            <v:shape style="position:absolute;left:7837;top:1432;width:261;height:227" type="#_x0000_t202" filled="false" stroked="false">
              <v:textbox inset="0,0,0,0">
                <w:txbxContent>
                  <w:p>
                    <w:pPr>
                      <w:spacing w:before="7"/>
                      <w:ind w:left="0" w:right="0" w:firstLine="0"/>
                      <w:jc w:val="left"/>
                      <w:rPr>
                        <w:rFonts w:ascii="Tahoma"/>
                        <w:sz w:val="18"/>
                      </w:rPr>
                    </w:pPr>
                    <w:r>
                      <w:rPr>
                        <w:rFonts w:ascii="Tahoma"/>
                        <w:w w:val="125"/>
                        <w:sz w:val="18"/>
                      </w:rPr>
                      <w:t>11</w:t>
                    </w:r>
                  </w:p>
                </w:txbxContent>
              </v:textbox>
              <w10:wrap type="none"/>
            </v:shape>
            <v:shape style="position:absolute;left:5428;top:1859;width:688;height:227" type="#_x0000_t202" filled="false" stroked="false">
              <v:textbox inset="0,0,0,0">
                <w:txbxContent>
                  <w:p>
                    <w:pPr>
                      <w:spacing w:before="7"/>
                      <w:ind w:left="0" w:right="0" w:firstLine="0"/>
                      <w:jc w:val="left"/>
                      <w:rPr>
                        <w:rFonts w:ascii="Tahoma"/>
                        <w:sz w:val="18"/>
                      </w:rPr>
                    </w:pPr>
                    <w:r>
                      <w:rPr>
                        <w:rFonts w:ascii="Tahoma"/>
                        <w:w w:val="120"/>
                        <w:sz w:val="18"/>
                      </w:rPr>
                      <w:t>14018,</w:t>
                    </w:r>
                  </w:p>
                </w:txbxContent>
              </v:textbox>
              <w10:wrap type="none"/>
            </v:shape>
            <v:shape style="position:absolute;left:3661;top:3038;width:943;height:227" type="#_x0000_t202" filled="false" stroked="false">
              <v:textbox inset="0,0,0,0">
                <w:txbxContent>
                  <w:p>
                    <w:pPr>
                      <w:spacing w:before="7"/>
                      <w:ind w:left="0" w:right="0" w:firstLine="0"/>
                      <w:jc w:val="left"/>
                      <w:rPr>
                        <w:rFonts w:ascii="Tahoma"/>
                        <w:sz w:val="18"/>
                      </w:rPr>
                    </w:pPr>
                    <w:r>
                      <w:rPr>
                        <w:rFonts w:ascii="Tahoma"/>
                        <w:w w:val="125"/>
                        <w:sz w:val="18"/>
                      </w:rPr>
                      <w:t>87952,47</w:t>
                    </w:r>
                  </w:p>
                </w:txbxContent>
              </v:textbox>
              <w10:wrap type="none"/>
            </v:shape>
            <v:shape style="position:absolute;left:5248;top:3004;width:141;height:227" type="#_x0000_t202" filled="false" stroked="false">
              <v:textbox inset="0,0,0,0">
                <w:txbxContent>
                  <w:p>
                    <w:pPr>
                      <w:spacing w:before="7"/>
                      <w:ind w:left="0" w:right="0" w:firstLine="0"/>
                      <w:jc w:val="left"/>
                      <w:rPr>
                        <w:rFonts w:ascii="Tahoma"/>
                        <w:sz w:val="18"/>
                      </w:rPr>
                    </w:pPr>
                    <w:r>
                      <w:rPr>
                        <w:rFonts w:ascii="Tahoma"/>
                        <w:w w:val="122"/>
                        <w:sz w:val="18"/>
                      </w:rPr>
                      <w:t>9</w:t>
                    </w:r>
                  </w:p>
                </w:txbxContent>
              </v:textbox>
              <w10:wrap type="none"/>
            </v:shape>
            <v:shape style="position:absolute;left:7837;top:2834;width:261;height:227" type="#_x0000_t202" filled="false" stroked="false">
              <v:textbox inset="0,0,0,0">
                <w:txbxContent>
                  <w:p>
                    <w:pPr>
                      <w:spacing w:before="7"/>
                      <w:ind w:left="0" w:right="0" w:firstLine="0"/>
                      <w:jc w:val="left"/>
                      <w:rPr>
                        <w:rFonts w:ascii="Tahoma"/>
                        <w:sz w:val="18"/>
                      </w:rPr>
                    </w:pPr>
                    <w:r>
                      <w:rPr>
                        <w:rFonts w:ascii="Tahoma"/>
                        <w:w w:val="125"/>
                        <w:sz w:val="18"/>
                      </w:rPr>
                      <w:t>94</w:t>
                    </w:r>
                  </w:p>
                </w:txbxContent>
              </v:textbox>
              <w10:wrap type="none"/>
            </v:shape>
            <v:shape style="position:absolute;left:3229;top:3133;width:502;height:359" type="#_x0000_t202" filled="false" stroked="true" strokeweight=".93407pt" strokecolor="#000000">
              <v:textbox inset="0,0,0,0">
                <w:txbxContent>
                  <w:p>
                    <w:pPr>
                      <w:spacing w:line="121" w:lineRule="exact" w:before="0"/>
                      <w:ind w:left="302" w:right="0" w:firstLine="0"/>
                      <w:jc w:val="left"/>
                      <w:rPr>
                        <w:rFonts w:ascii="Tahoma"/>
                        <w:sz w:val="18"/>
                      </w:rPr>
                    </w:pPr>
                    <w:r>
                      <w:rPr>
                        <w:rFonts w:ascii="Tahoma"/>
                        <w:w w:val="122"/>
                        <w:sz w:val="18"/>
                      </w:rPr>
                      <w:t>8</w:t>
                    </w:r>
                  </w:p>
                </w:txbxContent>
              </v:textbox>
              <v:stroke dashstyle="solid"/>
              <w10:wrap type="none"/>
            </v:shape>
            <v:shape style="position:absolute;left:6915;top:2834;width:141;height:227" type="#_x0000_t202" filled="false" stroked="false">
              <v:textbox inset="0,0,0,0">
                <w:txbxContent>
                  <w:p>
                    <w:pPr>
                      <w:spacing w:before="7"/>
                      <w:ind w:left="0" w:right="0" w:firstLine="0"/>
                      <w:jc w:val="left"/>
                      <w:rPr>
                        <w:rFonts w:ascii="Tahoma"/>
                        <w:sz w:val="18"/>
                      </w:rPr>
                    </w:pPr>
                    <w:r>
                      <w:rPr>
                        <w:rFonts w:ascii="Tahoma"/>
                        <w:spacing w:val="-1"/>
                        <w:w w:val="122"/>
                        <w:sz w:val="18"/>
                      </w:rPr>
                      <w:t>1</w:t>
                    </w:r>
                  </w:p>
                </w:txbxContent>
              </v:textbox>
              <w10:wrap type="none"/>
            </v:shape>
            <v:shape style="position:absolute;left:6171;top:3004;width:141;height:227" type="#_x0000_t202" filled="false" stroked="false">
              <v:textbox inset="0,0,0,0">
                <w:txbxContent>
                  <w:p>
                    <w:pPr>
                      <w:spacing w:before="7"/>
                      <w:ind w:left="0" w:right="0" w:firstLine="0"/>
                      <w:jc w:val="left"/>
                      <w:rPr>
                        <w:rFonts w:ascii="Tahoma"/>
                        <w:sz w:val="18"/>
                      </w:rPr>
                    </w:pPr>
                    <w:r>
                      <w:rPr>
                        <w:rFonts w:ascii="Tahoma"/>
                        <w:w w:val="122"/>
                        <w:sz w:val="18"/>
                      </w:rPr>
                      <w:t>4</w:t>
                    </w:r>
                  </w:p>
                </w:txbxContent>
              </v:textbox>
              <w10:wrap type="none"/>
            </v:shape>
            <v:shape style="position:absolute;left:5448;top:2792;width:685;height:686" type="#_x0000_t202" filled="true" fillcolor="#9999ff" stroked="false">
              <v:textbox inset="0,0,0,0">
                <w:txbxContent>
                  <w:p>
                    <w:pPr>
                      <w:spacing w:line="240" w:lineRule="auto" w:before="1"/>
                      <w:rPr>
                        <w:sz w:val="19"/>
                      </w:rPr>
                    </w:pPr>
                  </w:p>
                  <w:p>
                    <w:pPr>
                      <w:spacing w:before="0"/>
                      <w:ind w:left="-80" w:right="-44" w:firstLine="0"/>
                      <w:jc w:val="left"/>
                      <w:rPr>
                        <w:rFonts w:ascii="Tahoma"/>
                        <w:sz w:val="18"/>
                      </w:rPr>
                    </w:pPr>
                    <w:r>
                      <w:rPr>
                        <w:rFonts w:ascii="Tahoma"/>
                        <w:w w:val="125"/>
                        <w:sz w:val="18"/>
                      </w:rPr>
                      <w:t>74545,7</w:t>
                    </w:r>
                  </w:p>
                </w:txbxContent>
              </v:textbox>
              <v:fill type="solid"/>
              <w10:wrap type="none"/>
            </v:shape>
            <v:shape style="position:absolute;left:7177;top:2417;width:664;height:1062" type="#_x0000_t202" filled="true" fillcolor="#9999ff" stroked="false">
              <v:textbox inset="0,0,0,0">
                <w:txbxContent>
                  <w:p>
                    <w:pPr>
                      <w:spacing w:line="240" w:lineRule="auto" w:before="0"/>
                      <w:rPr>
                        <w:sz w:val="22"/>
                      </w:rPr>
                    </w:pPr>
                  </w:p>
                  <w:p>
                    <w:pPr>
                      <w:spacing w:before="172"/>
                      <w:ind w:left="-141" w:right="0" w:firstLine="0"/>
                      <w:jc w:val="left"/>
                      <w:rPr>
                        <w:rFonts w:ascii="Tahoma"/>
                        <w:sz w:val="18"/>
                      </w:rPr>
                    </w:pPr>
                    <w:r>
                      <w:rPr>
                        <w:rFonts w:ascii="Tahoma"/>
                        <w:w w:val="120"/>
                        <w:sz w:val="18"/>
                      </w:rPr>
                      <w:t>468157,</w:t>
                    </w:r>
                  </w:p>
                </w:txbxContent>
              </v:textbox>
              <v:fill type="solid"/>
              <w10:wrap type="none"/>
            </v:shape>
            <v:shape style="position:absolute;left:6142;top:1680;width:1025;height:359" type="#_x0000_t202" filled="false" stroked="true" strokeweight=".987226pt" strokecolor="#000000">
              <v:textbox inset="0,0,0,0">
                <w:txbxContent>
                  <w:p>
                    <w:pPr>
                      <w:spacing w:line="162" w:lineRule="exact" w:before="177"/>
                      <w:ind w:left="-43" w:right="0" w:firstLine="0"/>
                      <w:jc w:val="left"/>
                      <w:rPr>
                        <w:rFonts w:ascii="Tahoma"/>
                        <w:sz w:val="18"/>
                      </w:rPr>
                    </w:pPr>
                    <w:r>
                      <w:rPr>
                        <w:rFonts w:ascii="Tahoma"/>
                        <w:w w:val="125"/>
                        <w:sz w:val="18"/>
                      </w:rPr>
                      <w:t>65</w:t>
                    </w:r>
                  </w:p>
                </w:txbxContent>
              </v:textbox>
              <v:stroke dashstyle="solid"/>
              <w10:wrap type="none"/>
            </v:shape>
            <v:shape style="position:absolute;left:5187;top:1859;width:261;height:227" type="#_x0000_t202" filled="false" stroked="false">
              <v:textbox inset="0,0,0,0">
                <w:txbxContent>
                  <w:p>
                    <w:pPr>
                      <w:spacing w:before="7"/>
                      <w:ind w:left="0" w:right="0" w:firstLine="0"/>
                      <w:jc w:val="left"/>
                      <w:rPr>
                        <w:rFonts w:ascii="Tahoma"/>
                        <w:sz w:val="18"/>
                      </w:rPr>
                    </w:pPr>
                    <w:r>
                      <w:rPr>
                        <w:rFonts w:ascii="Tahoma"/>
                        <w:w w:val="125"/>
                        <w:sz w:val="18"/>
                      </w:rPr>
                      <w:t>22</w:t>
                    </w:r>
                  </w:p>
                </w:txbxContent>
              </v:textbox>
              <w10:wrap type="none"/>
            </v:shape>
            <v:shape style="position:absolute;left:4402;top:1706;width:261;height:227" type="#_x0000_t202" filled="false" stroked="false">
              <v:textbox inset="0,0,0,0">
                <w:txbxContent>
                  <w:p>
                    <w:pPr>
                      <w:spacing w:before="7"/>
                      <w:ind w:left="0" w:right="0" w:firstLine="0"/>
                      <w:jc w:val="left"/>
                      <w:rPr>
                        <w:rFonts w:ascii="Tahoma"/>
                        <w:sz w:val="18"/>
                      </w:rPr>
                    </w:pPr>
                    <w:r>
                      <w:rPr>
                        <w:rFonts w:ascii="Tahoma"/>
                        <w:w w:val="125"/>
                        <w:sz w:val="18"/>
                      </w:rPr>
                      <w:t>37</w:t>
                    </w:r>
                  </w:p>
                </w:txbxContent>
              </v:textbox>
              <w10:wrap type="none"/>
            </v:shape>
            <v:shape style="position:absolute;left:3229;top:1680;width:502;height:359" type="#_x0000_t202" filled="false" stroked="true" strokeweight=".990727pt" strokecolor="#000000">
              <v:textbox inset="0,0,0,0">
                <w:txbxContent>
                  <w:p>
                    <w:pPr>
                      <w:spacing w:before="23"/>
                      <w:ind w:left="241" w:right="0" w:firstLine="0"/>
                      <w:jc w:val="left"/>
                      <w:rPr>
                        <w:rFonts w:ascii="Tahoma"/>
                        <w:sz w:val="18"/>
                      </w:rPr>
                    </w:pPr>
                    <w:r>
                      <w:rPr>
                        <w:rFonts w:ascii="Tahoma"/>
                        <w:spacing w:val="-1"/>
                        <w:w w:val="122"/>
                        <w:sz w:val="18"/>
                      </w:rPr>
                      <w:t>2</w:t>
                    </w:r>
                  </w:p>
                </w:txbxContent>
              </v:textbox>
              <v:stroke dashstyle="solid"/>
              <w10:wrap type="none"/>
            </v:shape>
            <v:shape style="position:absolute;left:6142;top:1321;width:1025;height:359" type="#_x0000_t202" filled="false" stroked="true" strokeweight=".987226pt" strokecolor="#000000">
              <v:textbox inset="0,0,0,0">
                <w:txbxContent>
                  <w:p>
                    <w:pPr>
                      <w:spacing w:before="109"/>
                      <w:ind w:left="0" w:right="119" w:firstLine="0"/>
                      <w:jc w:val="right"/>
                      <w:rPr>
                        <w:rFonts w:ascii="Tahoma"/>
                        <w:sz w:val="18"/>
                      </w:rPr>
                    </w:pPr>
                    <w:r>
                      <w:rPr>
                        <w:rFonts w:ascii="Tahoma"/>
                        <w:spacing w:val="-1"/>
                        <w:w w:val="122"/>
                        <w:sz w:val="18"/>
                      </w:rPr>
                      <w:t>2</w:t>
                    </w:r>
                  </w:p>
                </w:txbxContent>
              </v:textbox>
              <v:stroke dashstyle="solid"/>
              <w10:wrap type="none"/>
            </v:shape>
            <v:shape style="position:absolute;left:3731;top:826;width:684;height:1957" type="#_x0000_t202" filled="true" fillcolor="#993366" stroked="true" strokeweight=".990727pt" strokecolor="#000000">
              <v:textbox inset="0,0,0,0">
                <w:txbxContent>
                  <w:p>
                    <w:pPr>
                      <w:spacing w:line="240" w:lineRule="auto" w:before="0"/>
                      <w:rPr>
                        <w:sz w:val="22"/>
                      </w:rPr>
                    </w:pPr>
                  </w:p>
                  <w:p>
                    <w:pPr>
                      <w:spacing w:line="240" w:lineRule="auto" w:before="0"/>
                      <w:rPr>
                        <w:sz w:val="22"/>
                      </w:rPr>
                    </w:pPr>
                  </w:p>
                  <w:p>
                    <w:pPr>
                      <w:spacing w:line="240" w:lineRule="auto" w:before="3"/>
                      <w:rPr>
                        <w:sz w:val="32"/>
                      </w:rPr>
                    </w:pPr>
                  </w:p>
                  <w:p>
                    <w:pPr>
                      <w:spacing w:before="0"/>
                      <w:ind w:left="-141" w:right="0" w:firstLine="0"/>
                      <w:jc w:val="left"/>
                      <w:rPr>
                        <w:rFonts w:ascii="Tahoma"/>
                        <w:sz w:val="18"/>
                      </w:rPr>
                    </w:pPr>
                    <w:r>
                      <w:rPr>
                        <w:rFonts w:ascii="Tahoma"/>
                        <w:w w:val="120"/>
                        <w:sz w:val="18"/>
                      </w:rPr>
                      <w:t>796299,</w:t>
                    </w:r>
                  </w:p>
                </w:txbxContent>
              </v:textbox>
              <v:fill type="solid"/>
              <v:stroke dashstyle="solid"/>
              <w10:wrap type="none"/>
            </v:shape>
            <v:shape style="position:absolute;left:7167;top:689;width:683;height:1718" type="#_x0000_t202" filled="true" fillcolor="#993366" stroked="true" strokeweight=".987226pt" strokecolor="#000000">
              <v:textbox inset="0,0,0,0">
                <w:txbxContent>
                  <w:p>
                    <w:pPr>
                      <w:spacing w:line="240" w:lineRule="auto" w:before="0"/>
                      <w:rPr>
                        <w:sz w:val="22"/>
                      </w:rPr>
                    </w:pPr>
                  </w:p>
                  <w:p>
                    <w:pPr>
                      <w:spacing w:line="240" w:lineRule="auto" w:before="0"/>
                      <w:rPr>
                        <w:sz w:val="22"/>
                      </w:rPr>
                    </w:pPr>
                  </w:p>
                  <w:p>
                    <w:pPr>
                      <w:spacing w:line="240" w:lineRule="auto" w:before="4"/>
                      <w:rPr>
                        <w:sz w:val="20"/>
                      </w:rPr>
                    </w:pPr>
                  </w:p>
                  <w:p>
                    <w:pPr>
                      <w:spacing w:before="1"/>
                      <w:ind w:left="-142" w:right="0" w:firstLine="0"/>
                      <w:jc w:val="left"/>
                      <w:rPr>
                        <w:rFonts w:ascii="Tahoma"/>
                        <w:sz w:val="18"/>
                      </w:rPr>
                    </w:pPr>
                    <w:r>
                      <w:rPr>
                        <w:rFonts w:ascii="Tahoma"/>
                        <w:w w:val="120"/>
                        <w:sz w:val="18"/>
                      </w:rPr>
                      <w:t>407337,</w:t>
                    </w:r>
                  </w:p>
                </w:txbxContent>
              </v:textbox>
              <v:fill type="solid"/>
              <v:stroke dashstyle="solid"/>
              <w10:wrap type="none"/>
            </v:shape>
            <w10:wrap type="none"/>
          </v:group>
        </w:pict>
      </w:r>
      <w:r>
        <w:rPr>
          <w:rFonts w:ascii="Tahoma"/>
          <w:spacing w:val="-2"/>
          <w:w w:val="120"/>
          <w:sz w:val="18"/>
        </w:rPr>
        <w:t>4500000</w:t>
      </w:r>
    </w:p>
    <w:p>
      <w:pPr>
        <w:spacing w:before="141"/>
        <w:ind w:left="193" w:right="8325" w:firstLine="0"/>
        <w:jc w:val="right"/>
        <w:rPr>
          <w:rFonts w:ascii="Tahoma"/>
          <w:sz w:val="18"/>
        </w:rPr>
      </w:pPr>
      <w:r>
        <w:rPr>
          <w:rFonts w:ascii="Tahoma"/>
          <w:spacing w:val="-2"/>
          <w:w w:val="120"/>
          <w:sz w:val="18"/>
        </w:rPr>
        <w:t>4000000</w:t>
      </w:r>
    </w:p>
    <w:p>
      <w:pPr>
        <w:spacing w:before="142"/>
        <w:ind w:left="193" w:right="8325" w:firstLine="0"/>
        <w:jc w:val="right"/>
        <w:rPr>
          <w:rFonts w:ascii="Tahoma"/>
          <w:sz w:val="18"/>
        </w:rPr>
      </w:pPr>
      <w:r>
        <w:rPr/>
        <w:pict>
          <v:line style="position:absolute;mso-position-horizontal-relative:page;mso-position-vertical-relative:paragraph;z-index:251758592" from="392.511444pt,13.131725pt" to="417.635959pt,13.131725pt" stroked="true" strokeweight=".85096pt" strokecolor="#000000">
            <v:stroke dashstyle="solid"/>
            <w10:wrap type="none"/>
          </v:line>
        </w:pict>
      </w:r>
      <w:r>
        <w:rPr/>
        <w:pict>
          <v:line style="position:absolute;mso-position-horizontal-relative:page;mso-position-vertical-relative:paragraph;z-index:251759616" from="220.74263pt,13.131725pt" to="358.366173pt,13.131725pt" stroked="true" strokeweight=".85096pt" strokecolor="#000000">
            <v:stroke dashstyle="solid"/>
            <w10:wrap type="none"/>
          </v:line>
        </w:pict>
      </w:r>
      <w:r>
        <w:rPr>
          <w:rFonts w:ascii="Tahoma"/>
          <w:spacing w:val="-2"/>
          <w:w w:val="120"/>
          <w:sz w:val="18"/>
        </w:rPr>
        <w:t>3500000</w:t>
      </w:r>
    </w:p>
    <w:p>
      <w:pPr>
        <w:spacing w:before="159" w:after="4"/>
        <w:ind w:left="193" w:right="8325" w:firstLine="0"/>
        <w:jc w:val="right"/>
        <w:rPr>
          <w:rFonts w:ascii="Tahoma"/>
          <w:sz w:val="18"/>
        </w:rPr>
      </w:pPr>
      <w:r>
        <w:rPr/>
        <w:pict>
          <v:line style="position:absolute;mso-position-horizontal-relative:page;mso-position-vertical-relative:paragraph;z-index:251757568" from="392.511444pt,13.947677pt" to="417.635959pt,13.947677pt" stroked="true" strokeweight=".85096pt" strokecolor="#000000">
            <v:stroke dashstyle="solid"/>
            <w10:wrap type="none"/>
          </v:line>
        </w:pict>
      </w:r>
      <w:r>
        <w:rPr/>
        <w:pict>
          <v:shape style="position:absolute;margin-left:425.186707pt;margin-top:15.250213pt;width:94.45pt;height:50.4pt;mso-position-horizontal-relative:page;mso-position-vertical-relative:paragraph;z-index:-267067392" type="#_x0000_t202" filled="false" stroked="true" strokeweight=".893811pt" strokecolor="#000000">
            <v:textbox inset="0,0,0,0">
              <w:txbxContent>
                <w:p>
                  <w:pPr>
                    <w:spacing w:line="244" w:lineRule="auto" w:before="15"/>
                    <w:ind w:left="452" w:right="0" w:firstLine="0"/>
                    <w:jc w:val="left"/>
                    <w:rPr>
                      <w:rFonts w:ascii="Tahoma" w:hAnsi="Tahoma"/>
                      <w:i/>
                      <w:sz w:val="18"/>
                    </w:rPr>
                  </w:pPr>
                  <w:r>
                    <w:rPr>
                      <w:rFonts w:ascii="Tahoma" w:hAnsi="Tahoma"/>
                      <w:i/>
                      <w:spacing w:val="-2"/>
                      <w:w w:val="120"/>
                      <w:sz w:val="18"/>
                    </w:rPr>
                    <w:t>спеціальний </w:t>
                  </w:r>
                  <w:r>
                    <w:rPr>
                      <w:rFonts w:ascii="Tahoma" w:hAnsi="Tahoma"/>
                      <w:i/>
                      <w:w w:val="125"/>
                      <w:sz w:val="18"/>
                    </w:rPr>
                    <w:t>фонд,</w:t>
                  </w:r>
                  <w:r>
                    <w:rPr>
                      <w:rFonts w:ascii="Tahoma" w:hAnsi="Tahoma"/>
                      <w:i/>
                      <w:spacing w:val="-1"/>
                      <w:w w:val="125"/>
                      <w:sz w:val="18"/>
                    </w:rPr>
                    <w:t> </w:t>
                  </w:r>
                  <w:r>
                    <w:rPr>
                      <w:rFonts w:ascii="Tahoma" w:hAnsi="Tahoma"/>
                      <w:i/>
                      <w:spacing w:val="2"/>
                      <w:w w:val="125"/>
                      <w:sz w:val="18"/>
                    </w:rPr>
                    <w:t>грн</w:t>
                  </w:r>
                </w:p>
                <w:p>
                  <w:pPr>
                    <w:spacing w:line="244" w:lineRule="auto" w:before="53"/>
                    <w:ind w:left="452" w:right="0" w:firstLine="0"/>
                    <w:jc w:val="left"/>
                    <w:rPr>
                      <w:rFonts w:ascii="Tahoma" w:hAnsi="Tahoma"/>
                      <w:i/>
                      <w:sz w:val="18"/>
                    </w:rPr>
                  </w:pPr>
                  <w:r>
                    <w:rPr>
                      <w:rFonts w:ascii="Tahoma" w:hAnsi="Tahoma"/>
                      <w:i/>
                      <w:w w:val="120"/>
                      <w:sz w:val="18"/>
                    </w:rPr>
                    <w:t>загальний </w:t>
                  </w:r>
                  <w:r>
                    <w:rPr>
                      <w:rFonts w:ascii="Tahoma" w:hAnsi="Tahoma"/>
                      <w:i/>
                      <w:w w:val="125"/>
                      <w:sz w:val="18"/>
                    </w:rPr>
                    <w:t>фонд,</w:t>
                  </w:r>
                  <w:r>
                    <w:rPr>
                      <w:rFonts w:ascii="Tahoma" w:hAnsi="Tahoma"/>
                      <w:i/>
                      <w:spacing w:val="-10"/>
                      <w:w w:val="125"/>
                      <w:sz w:val="18"/>
                    </w:rPr>
                    <w:t> </w:t>
                  </w:r>
                  <w:r>
                    <w:rPr>
                      <w:rFonts w:ascii="Tahoma" w:hAnsi="Tahoma"/>
                      <w:i/>
                      <w:spacing w:val="2"/>
                      <w:w w:val="125"/>
                      <w:sz w:val="18"/>
                    </w:rPr>
                    <w:t>грн</w:t>
                  </w:r>
                </w:p>
              </w:txbxContent>
            </v:textbox>
            <v:stroke dashstyle="solid"/>
            <w10:wrap type="none"/>
          </v:shape>
        </w:pict>
      </w:r>
      <w:r>
        <w:rPr>
          <w:rFonts w:ascii="Tahoma"/>
          <w:spacing w:val="-2"/>
          <w:w w:val="120"/>
          <w:sz w:val="18"/>
        </w:rPr>
        <w:t>3000000</w:t>
      </w:r>
    </w:p>
    <w:p>
      <w:pPr>
        <w:pStyle w:val="BodyText"/>
        <w:spacing w:line="122" w:lineRule="exact"/>
        <w:ind w:left="7814"/>
        <w:jc w:val="left"/>
        <w:rPr>
          <w:rFonts w:ascii="Tahoma"/>
          <w:sz w:val="12"/>
        </w:rPr>
      </w:pPr>
      <w:r>
        <w:rPr>
          <w:rFonts w:ascii="Tahoma"/>
          <w:position w:val="-1"/>
          <w:sz w:val="12"/>
        </w:rPr>
        <w:pict>
          <v:group style="width:6.95pt;height:6.1pt;mso-position-horizontal-relative:char;mso-position-vertical-relative:line" coordorigin="0,0" coordsize="139,122">
            <v:rect style="position:absolute;left:9;top:9;width:121;height:103" filled="true" fillcolor="#993366" stroked="false">
              <v:fill type="solid"/>
            </v:rect>
            <v:rect style="position:absolute;left:9;top:9;width:121;height:103" filled="false" stroked="true" strokeweight=".914764pt" strokecolor="#000000">
              <v:stroke dashstyle="solid"/>
            </v:rect>
          </v:group>
        </w:pict>
      </w:r>
      <w:r>
        <w:rPr>
          <w:rFonts w:ascii="Tahoma"/>
          <w:position w:val="-1"/>
          <w:sz w:val="12"/>
        </w:rPr>
      </w:r>
    </w:p>
    <w:p>
      <w:pPr>
        <w:spacing w:before="15"/>
        <w:ind w:left="193" w:right="8325" w:firstLine="0"/>
        <w:jc w:val="right"/>
        <w:rPr>
          <w:rFonts w:ascii="Tahoma"/>
          <w:sz w:val="18"/>
        </w:rPr>
      </w:pPr>
      <w:r>
        <w:rPr/>
        <w:pict>
          <v:line style="position:absolute;mso-position-horizontal-relative:page;mso-position-vertical-relative:paragraph;z-index:251756544" from="392.511444pt,6.770372pt" to="417.635959pt,6.770372pt" stroked="true" strokeweight=".85096pt" strokecolor="#000000">
            <v:stroke dashstyle="solid"/>
            <w10:wrap type="none"/>
          </v:line>
        </w:pict>
      </w:r>
      <w:r>
        <w:rPr>
          <w:rFonts w:ascii="Tahoma"/>
          <w:spacing w:val="-2"/>
          <w:w w:val="120"/>
          <w:sz w:val="18"/>
        </w:rPr>
        <w:t>2500000</w:t>
      </w:r>
    </w:p>
    <w:p>
      <w:pPr>
        <w:spacing w:before="142"/>
        <w:ind w:left="193" w:right="8325" w:firstLine="0"/>
        <w:jc w:val="right"/>
        <w:rPr>
          <w:rFonts w:ascii="Tahoma"/>
          <w:sz w:val="18"/>
        </w:rPr>
      </w:pPr>
      <w:r>
        <w:rPr/>
        <w:pict>
          <v:line style="position:absolute;mso-position-horizontal-relative:page;mso-position-vertical-relative:paragraph;z-index:251755520" from="392.511444pt,13.097655pt" to="417.635959pt,13.097655pt" stroked="true" strokeweight=".85096pt" strokecolor="#000000">
            <v:stroke dashstyle="solid"/>
            <w10:wrap type="none"/>
          </v:line>
        </w:pict>
      </w:r>
      <w:r>
        <w:rPr/>
        <w:pict>
          <v:group style="position:absolute;margin-left:437.780121pt;margin-top:7.103101pt;width:6.95pt;height:6.05pt;mso-position-horizontal-relative:page;mso-position-vertical-relative:paragraph;z-index:-267068416" coordorigin="8756,142" coordsize="139,121">
            <v:rect style="position:absolute;left:8764;top:151;width:121;height:103" filled="true" fillcolor="#9999ff" stroked="false">
              <v:fill type="solid"/>
            </v:rect>
            <v:rect style="position:absolute;left:8764;top:151;width:121;height:103" filled="false" stroked="true" strokeweight=".914356pt" strokecolor="#000000">
              <v:stroke dashstyle="solid"/>
            </v:rect>
            <w10:wrap type="none"/>
          </v:group>
        </w:pict>
      </w:r>
      <w:r>
        <w:rPr>
          <w:rFonts w:ascii="Tahoma"/>
          <w:spacing w:val="-2"/>
          <w:w w:val="120"/>
          <w:sz w:val="18"/>
        </w:rPr>
        <w:t>2000000</w:t>
      </w:r>
    </w:p>
    <w:p>
      <w:pPr>
        <w:spacing w:before="141"/>
        <w:ind w:left="193" w:right="8325" w:firstLine="0"/>
        <w:jc w:val="right"/>
        <w:rPr>
          <w:rFonts w:ascii="Tahoma"/>
          <w:sz w:val="18"/>
        </w:rPr>
      </w:pPr>
      <w:r>
        <w:rPr>
          <w:rFonts w:ascii="Tahoma"/>
          <w:spacing w:val="-2"/>
          <w:w w:val="120"/>
          <w:sz w:val="18"/>
        </w:rPr>
        <w:t>1500000</w:t>
      </w:r>
    </w:p>
    <w:p>
      <w:pPr>
        <w:spacing w:before="159"/>
        <w:ind w:left="193" w:right="8325" w:firstLine="0"/>
        <w:jc w:val="right"/>
        <w:rPr>
          <w:rFonts w:ascii="Tahoma"/>
          <w:sz w:val="18"/>
        </w:rPr>
      </w:pPr>
      <w:r>
        <w:rPr>
          <w:rFonts w:ascii="Tahoma"/>
          <w:spacing w:val="-2"/>
          <w:w w:val="120"/>
          <w:sz w:val="18"/>
        </w:rPr>
        <w:t>1000000</w:t>
      </w:r>
    </w:p>
    <w:p>
      <w:pPr>
        <w:spacing w:before="141"/>
        <w:ind w:left="193" w:right="8324" w:firstLine="0"/>
        <w:jc w:val="right"/>
        <w:rPr>
          <w:rFonts w:ascii="Tahoma"/>
          <w:sz w:val="18"/>
        </w:rPr>
      </w:pPr>
      <w:r>
        <w:rPr>
          <w:rFonts w:ascii="Tahoma"/>
          <w:spacing w:val="-2"/>
          <w:w w:val="120"/>
          <w:sz w:val="18"/>
        </w:rPr>
        <w:t>500000</w:t>
      </w:r>
    </w:p>
    <w:p>
      <w:pPr>
        <w:spacing w:before="142"/>
        <w:ind w:left="1998" w:right="0" w:firstLine="0"/>
        <w:jc w:val="left"/>
        <w:rPr>
          <w:rFonts w:ascii="Tahoma"/>
          <w:sz w:val="18"/>
        </w:rPr>
      </w:pPr>
      <w:r>
        <w:rPr>
          <w:rFonts w:ascii="Tahoma"/>
          <w:w w:val="122"/>
          <w:sz w:val="18"/>
        </w:rPr>
        <w:t>0</w:t>
      </w:r>
    </w:p>
    <w:p>
      <w:pPr>
        <w:tabs>
          <w:tab w:pos="4610" w:val="left" w:leader="none"/>
          <w:tab w:pos="6317" w:val="left" w:leader="none"/>
        </w:tabs>
        <w:spacing w:before="39"/>
        <w:ind w:left="2902" w:right="0" w:firstLine="0"/>
        <w:jc w:val="left"/>
        <w:rPr>
          <w:rFonts w:ascii="Tahoma"/>
          <w:sz w:val="18"/>
        </w:rPr>
      </w:pPr>
      <w:r>
        <w:rPr>
          <w:rFonts w:ascii="Tahoma"/>
          <w:w w:val="125"/>
          <w:sz w:val="18"/>
        </w:rPr>
        <w:t>2015</w:t>
        <w:tab/>
        <w:t>2016</w:t>
        <w:tab/>
        <w:t>2017</w:t>
      </w:r>
    </w:p>
    <w:p>
      <w:pPr>
        <w:pStyle w:val="BodyText"/>
        <w:spacing w:before="6"/>
        <w:ind w:left="0"/>
        <w:jc w:val="left"/>
        <w:rPr>
          <w:rFonts w:ascii="Tahoma"/>
          <w:sz w:val="17"/>
        </w:rPr>
      </w:pPr>
    </w:p>
    <w:p>
      <w:pPr>
        <w:spacing w:before="86"/>
        <w:ind w:left="903" w:right="0" w:firstLine="0"/>
        <w:jc w:val="left"/>
        <w:rPr>
          <w:sz w:val="28"/>
        </w:rPr>
      </w:pPr>
      <w:r>
        <w:rPr>
          <w:b/>
          <w:sz w:val="28"/>
        </w:rPr>
        <w:t>Рис. 5.</w:t>
      </w:r>
      <w:r>
        <w:rPr>
          <w:sz w:val="28"/>
        </w:rPr>
        <w:t>Витрати на теплопостачання</w:t>
      </w:r>
    </w:p>
    <w:p>
      <w:pPr>
        <w:pStyle w:val="BodyText"/>
        <w:ind w:left="0"/>
        <w:jc w:val="left"/>
      </w:pPr>
    </w:p>
    <w:p>
      <w:pPr>
        <w:spacing w:before="0" w:after="12"/>
        <w:ind w:left="903" w:right="0" w:firstLine="0"/>
        <w:jc w:val="left"/>
        <w:rPr>
          <w:b/>
          <w:sz w:val="28"/>
        </w:rPr>
      </w:pPr>
      <w:r>
        <w:rPr>
          <w:sz w:val="28"/>
        </w:rPr>
        <w:t>Таблиця 1. </w:t>
      </w:r>
      <w:r>
        <w:rPr>
          <w:b/>
          <w:sz w:val="28"/>
        </w:rPr>
        <w:t>Параметри навчал ьних корпусів ОНМУ</w:t>
      </w:r>
    </w:p>
    <w:tbl>
      <w:tblPr>
        <w:tblW w:w="0" w:type="auto"/>
        <w:jc w:val="left"/>
        <w:tblInd w:w="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31"/>
        <w:gridCol w:w="1335"/>
        <w:gridCol w:w="1416"/>
        <w:gridCol w:w="1421"/>
        <w:gridCol w:w="1416"/>
        <w:gridCol w:w="1412"/>
      </w:tblGrid>
      <w:tr>
        <w:trPr>
          <w:trHeight w:val="373" w:hRule="atLeast"/>
        </w:trPr>
        <w:tc>
          <w:tcPr>
            <w:tcW w:w="2631" w:type="dxa"/>
          </w:tcPr>
          <w:p>
            <w:pPr>
              <w:pStyle w:val="TableParagraph"/>
              <w:spacing w:before="53"/>
              <w:ind w:right="508"/>
              <w:jc w:val="right"/>
              <w:rPr>
                <w:sz w:val="22"/>
              </w:rPr>
            </w:pPr>
            <w:r>
              <w:rPr>
                <w:sz w:val="22"/>
              </w:rPr>
              <w:t>Параметри</w:t>
            </w:r>
          </w:p>
        </w:tc>
        <w:tc>
          <w:tcPr>
            <w:tcW w:w="1335" w:type="dxa"/>
          </w:tcPr>
          <w:p>
            <w:pPr>
              <w:pStyle w:val="TableParagraph"/>
              <w:spacing w:before="53"/>
              <w:ind w:left="105"/>
              <w:rPr>
                <w:sz w:val="22"/>
              </w:rPr>
            </w:pPr>
            <w:r>
              <w:rPr>
                <w:sz w:val="22"/>
              </w:rPr>
              <w:t>Корпус 1</w:t>
            </w:r>
          </w:p>
        </w:tc>
        <w:tc>
          <w:tcPr>
            <w:tcW w:w="1416" w:type="dxa"/>
          </w:tcPr>
          <w:p>
            <w:pPr>
              <w:pStyle w:val="TableParagraph"/>
              <w:spacing w:before="53"/>
              <w:ind w:left="110"/>
              <w:rPr>
                <w:sz w:val="22"/>
              </w:rPr>
            </w:pPr>
            <w:r>
              <w:rPr>
                <w:sz w:val="22"/>
              </w:rPr>
              <w:t>Корпус 2</w:t>
            </w:r>
          </w:p>
        </w:tc>
        <w:tc>
          <w:tcPr>
            <w:tcW w:w="1421" w:type="dxa"/>
          </w:tcPr>
          <w:p>
            <w:pPr>
              <w:pStyle w:val="TableParagraph"/>
              <w:spacing w:before="53"/>
              <w:ind w:left="110"/>
              <w:rPr>
                <w:sz w:val="22"/>
              </w:rPr>
            </w:pPr>
            <w:r>
              <w:rPr>
                <w:sz w:val="22"/>
              </w:rPr>
              <w:t>Корпус 3</w:t>
            </w:r>
          </w:p>
        </w:tc>
        <w:tc>
          <w:tcPr>
            <w:tcW w:w="1416" w:type="dxa"/>
          </w:tcPr>
          <w:p>
            <w:pPr>
              <w:pStyle w:val="TableParagraph"/>
              <w:spacing w:before="53"/>
              <w:ind w:left="106"/>
              <w:rPr>
                <w:sz w:val="22"/>
              </w:rPr>
            </w:pPr>
            <w:r>
              <w:rPr>
                <w:sz w:val="22"/>
              </w:rPr>
              <w:t>Корпус 4</w:t>
            </w:r>
          </w:p>
        </w:tc>
        <w:tc>
          <w:tcPr>
            <w:tcW w:w="1412" w:type="dxa"/>
          </w:tcPr>
          <w:p>
            <w:pPr>
              <w:pStyle w:val="TableParagraph"/>
              <w:spacing w:before="53"/>
              <w:ind w:left="112"/>
              <w:rPr>
                <w:sz w:val="22"/>
              </w:rPr>
            </w:pPr>
            <w:r>
              <w:rPr>
                <w:sz w:val="22"/>
              </w:rPr>
              <w:t>Корпус 5</w:t>
            </w:r>
          </w:p>
        </w:tc>
      </w:tr>
      <w:tr>
        <w:trPr>
          <w:trHeight w:val="292" w:hRule="atLeast"/>
        </w:trPr>
        <w:tc>
          <w:tcPr>
            <w:tcW w:w="2631" w:type="dxa"/>
          </w:tcPr>
          <w:p>
            <w:pPr>
              <w:pStyle w:val="TableParagraph"/>
              <w:spacing w:before="15"/>
              <w:ind w:left="110"/>
              <w:rPr>
                <w:sz w:val="22"/>
              </w:rPr>
            </w:pPr>
            <w:r>
              <w:rPr>
                <w:sz w:val="22"/>
              </w:rPr>
              <w:t>Площа забудови, м</w:t>
            </w:r>
            <w:r>
              <w:rPr>
                <w:sz w:val="22"/>
                <w:vertAlign w:val="superscript"/>
              </w:rPr>
              <w:t>2</w:t>
            </w:r>
          </w:p>
        </w:tc>
        <w:tc>
          <w:tcPr>
            <w:tcW w:w="1335" w:type="dxa"/>
          </w:tcPr>
          <w:p>
            <w:pPr>
              <w:pStyle w:val="TableParagraph"/>
              <w:spacing w:before="15"/>
              <w:ind w:left="725"/>
              <w:rPr>
                <w:sz w:val="22"/>
              </w:rPr>
            </w:pPr>
            <w:r>
              <w:rPr>
                <w:sz w:val="22"/>
              </w:rPr>
              <w:t>4676</w:t>
            </w:r>
          </w:p>
        </w:tc>
        <w:tc>
          <w:tcPr>
            <w:tcW w:w="1416" w:type="dxa"/>
          </w:tcPr>
          <w:p>
            <w:pPr>
              <w:pStyle w:val="TableParagraph"/>
              <w:spacing w:before="15"/>
              <w:ind w:left="110"/>
              <w:rPr>
                <w:sz w:val="22"/>
              </w:rPr>
            </w:pPr>
            <w:r>
              <w:rPr>
                <w:sz w:val="22"/>
              </w:rPr>
              <w:t>3085,8</w:t>
            </w:r>
          </w:p>
        </w:tc>
        <w:tc>
          <w:tcPr>
            <w:tcW w:w="1421" w:type="dxa"/>
          </w:tcPr>
          <w:p>
            <w:pPr>
              <w:pStyle w:val="TableParagraph"/>
              <w:spacing w:before="15"/>
              <w:ind w:left="110"/>
              <w:rPr>
                <w:sz w:val="22"/>
              </w:rPr>
            </w:pPr>
            <w:r>
              <w:rPr>
                <w:sz w:val="22"/>
              </w:rPr>
              <w:t>1391,2</w:t>
            </w:r>
          </w:p>
        </w:tc>
        <w:tc>
          <w:tcPr>
            <w:tcW w:w="1416" w:type="dxa"/>
          </w:tcPr>
          <w:p>
            <w:pPr>
              <w:pStyle w:val="TableParagraph"/>
              <w:spacing w:before="15"/>
              <w:ind w:left="106"/>
              <w:rPr>
                <w:sz w:val="22"/>
              </w:rPr>
            </w:pPr>
            <w:r>
              <w:rPr>
                <w:sz w:val="22"/>
              </w:rPr>
              <w:t>1402,8</w:t>
            </w:r>
          </w:p>
        </w:tc>
        <w:tc>
          <w:tcPr>
            <w:tcW w:w="1412" w:type="dxa"/>
          </w:tcPr>
          <w:p>
            <w:pPr>
              <w:pStyle w:val="TableParagraph"/>
              <w:spacing w:before="15"/>
              <w:ind w:left="112"/>
              <w:rPr>
                <w:sz w:val="22"/>
              </w:rPr>
            </w:pPr>
            <w:r>
              <w:rPr>
                <w:sz w:val="22"/>
              </w:rPr>
              <w:t>1066,6</w:t>
            </w:r>
          </w:p>
        </w:tc>
      </w:tr>
      <w:tr>
        <w:trPr>
          <w:trHeight w:val="508" w:hRule="atLeast"/>
        </w:trPr>
        <w:tc>
          <w:tcPr>
            <w:tcW w:w="2631" w:type="dxa"/>
          </w:tcPr>
          <w:p>
            <w:pPr>
              <w:pStyle w:val="TableParagraph"/>
              <w:spacing w:before="121"/>
              <w:ind w:left="110"/>
              <w:rPr>
                <w:sz w:val="22"/>
              </w:rPr>
            </w:pPr>
            <w:r>
              <w:rPr>
                <w:sz w:val="22"/>
              </w:rPr>
              <w:t>Будівельний об’єм, м</w:t>
            </w:r>
            <w:r>
              <w:rPr>
                <w:sz w:val="22"/>
                <w:vertAlign w:val="superscript"/>
              </w:rPr>
              <w:t>3</w:t>
            </w:r>
          </w:p>
        </w:tc>
        <w:tc>
          <w:tcPr>
            <w:tcW w:w="1335" w:type="dxa"/>
          </w:tcPr>
          <w:p>
            <w:pPr>
              <w:pStyle w:val="TableParagraph"/>
              <w:spacing w:before="121"/>
              <w:ind w:left="105"/>
              <w:rPr>
                <w:sz w:val="22"/>
              </w:rPr>
            </w:pPr>
            <w:r>
              <w:rPr>
                <w:sz w:val="22"/>
              </w:rPr>
              <w:t>119790,3</w:t>
            </w:r>
          </w:p>
        </w:tc>
        <w:tc>
          <w:tcPr>
            <w:tcW w:w="1416" w:type="dxa"/>
          </w:tcPr>
          <w:p>
            <w:pPr>
              <w:pStyle w:val="TableParagraph"/>
              <w:spacing w:before="121"/>
              <w:ind w:left="110"/>
              <w:rPr>
                <w:sz w:val="22"/>
              </w:rPr>
            </w:pPr>
            <w:r>
              <w:rPr>
                <w:sz w:val="22"/>
              </w:rPr>
              <w:t>76797,7</w:t>
            </w:r>
          </w:p>
        </w:tc>
        <w:tc>
          <w:tcPr>
            <w:tcW w:w="1421" w:type="dxa"/>
          </w:tcPr>
          <w:p>
            <w:pPr>
              <w:pStyle w:val="TableParagraph"/>
              <w:spacing w:line="249" w:lineRule="exact"/>
              <w:ind w:left="687"/>
              <w:rPr>
                <w:sz w:val="22"/>
              </w:rPr>
            </w:pPr>
            <w:r>
              <w:rPr>
                <w:sz w:val="22"/>
              </w:rPr>
              <w:t>29604,</w:t>
            </w:r>
          </w:p>
          <w:p>
            <w:pPr>
              <w:pStyle w:val="TableParagraph"/>
              <w:spacing w:line="238" w:lineRule="exact" w:before="1"/>
              <w:ind w:left="653"/>
              <w:rPr>
                <w:sz w:val="22"/>
              </w:rPr>
            </w:pPr>
            <w:r>
              <w:rPr>
                <w:w w:val="100"/>
                <w:sz w:val="22"/>
              </w:rPr>
              <w:t>8</w:t>
            </w:r>
          </w:p>
        </w:tc>
        <w:tc>
          <w:tcPr>
            <w:tcW w:w="1416" w:type="dxa"/>
          </w:tcPr>
          <w:p>
            <w:pPr>
              <w:pStyle w:val="TableParagraph"/>
              <w:spacing w:line="249" w:lineRule="exact"/>
              <w:ind w:left="682"/>
              <w:rPr>
                <w:sz w:val="22"/>
              </w:rPr>
            </w:pPr>
            <w:r>
              <w:rPr>
                <w:sz w:val="22"/>
              </w:rPr>
              <w:t>13631,</w:t>
            </w:r>
          </w:p>
          <w:p>
            <w:pPr>
              <w:pStyle w:val="TableParagraph"/>
              <w:spacing w:line="238" w:lineRule="exact" w:before="1"/>
              <w:ind w:left="649"/>
              <w:rPr>
                <w:sz w:val="22"/>
              </w:rPr>
            </w:pPr>
            <w:r>
              <w:rPr>
                <w:w w:val="100"/>
                <w:sz w:val="22"/>
              </w:rPr>
              <w:t>2</w:t>
            </w:r>
          </w:p>
        </w:tc>
        <w:tc>
          <w:tcPr>
            <w:tcW w:w="1412" w:type="dxa"/>
          </w:tcPr>
          <w:p>
            <w:pPr>
              <w:pStyle w:val="TableParagraph"/>
              <w:spacing w:before="121"/>
              <w:ind w:right="102"/>
              <w:jc w:val="right"/>
              <w:rPr>
                <w:sz w:val="22"/>
              </w:rPr>
            </w:pPr>
            <w:r>
              <w:rPr>
                <w:sz w:val="22"/>
              </w:rPr>
              <w:t>7047,5</w:t>
            </w:r>
          </w:p>
        </w:tc>
      </w:tr>
      <w:tr>
        <w:trPr>
          <w:trHeight w:val="249" w:hRule="atLeast"/>
        </w:trPr>
        <w:tc>
          <w:tcPr>
            <w:tcW w:w="2631" w:type="dxa"/>
          </w:tcPr>
          <w:p>
            <w:pPr>
              <w:pStyle w:val="TableParagraph"/>
              <w:spacing w:line="230" w:lineRule="exact"/>
              <w:ind w:left="110"/>
              <w:rPr>
                <w:sz w:val="22"/>
              </w:rPr>
            </w:pPr>
            <w:r>
              <w:rPr>
                <w:sz w:val="22"/>
              </w:rPr>
              <w:t>Загальна площа, м</w:t>
            </w:r>
            <w:r>
              <w:rPr>
                <w:sz w:val="22"/>
                <w:vertAlign w:val="superscript"/>
              </w:rPr>
              <w:t>2</w:t>
            </w:r>
          </w:p>
        </w:tc>
        <w:tc>
          <w:tcPr>
            <w:tcW w:w="1335" w:type="dxa"/>
          </w:tcPr>
          <w:p>
            <w:pPr>
              <w:pStyle w:val="TableParagraph"/>
              <w:spacing w:line="230" w:lineRule="exact"/>
              <w:ind w:left="105"/>
              <w:rPr>
                <w:sz w:val="22"/>
              </w:rPr>
            </w:pPr>
            <w:r>
              <w:rPr>
                <w:sz w:val="22"/>
              </w:rPr>
              <w:t>17845</w:t>
            </w:r>
          </w:p>
        </w:tc>
        <w:tc>
          <w:tcPr>
            <w:tcW w:w="1416" w:type="dxa"/>
          </w:tcPr>
          <w:p>
            <w:pPr>
              <w:pStyle w:val="TableParagraph"/>
              <w:spacing w:line="230" w:lineRule="exact"/>
              <w:ind w:left="110"/>
              <w:rPr>
                <w:sz w:val="22"/>
              </w:rPr>
            </w:pPr>
            <w:r>
              <w:rPr>
                <w:sz w:val="22"/>
              </w:rPr>
              <w:t>18505</w:t>
            </w:r>
          </w:p>
        </w:tc>
        <w:tc>
          <w:tcPr>
            <w:tcW w:w="1421" w:type="dxa"/>
          </w:tcPr>
          <w:p>
            <w:pPr>
              <w:pStyle w:val="TableParagraph"/>
              <w:spacing w:line="230" w:lineRule="exact"/>
              <w:ind w:left="110"/>
              <w:rPr>
                <w:sz w:val="22"/>
              </w:rPr>
            </w:pPr>
            <w:r>
              <w:rPr>
                <w:sz w:val="22"/>
              </w:rPr>
              <w:t>6766,9</w:t>
            </w:r>
          </w:p>
        </w:tc>
        <w:tc>
          <w:tcPr>
            <w:tcW w:w="1416" w:type="dxa"/>
          </w:tcPr>
          <w:p>
            <w:pPr>
              <w:pStyle w:val="TableParagraph"/>
              <w:spacing w:line="230" w:lineRule="exact"/>
              <w:ind w:left="106"/>
              <w:rPr>
                <w:sz w:val="22"/>
              </w:rPr>
            </w:pPr>
            <w:r>
              <w:rPr>
                <w:sz w:val="22"/>
              </w:rPr>
              <w:t>2307,1</w:t>
            </w:r>
          </w:p>
        </w:tc>
        <w:tc>
          <w:tcPr>
            <w:tcW w:w="1412" w:type="dxa"/>
          </w:tcPr>
          <w:p>
            <w:pPr>
              <w:pStyle w:val="TableParagraph"/>
              <w:spacing w:line="230" w:lineRule="exact"/>
              <w:ind w:right="188"/>
              <w:jc w:val="right"/>
              <w:rPr>
                <w:sz w:val="22"/>
              </w:rPr>
            </w:pPr>
            <w:r>
              <w:rPr>
                <w:sz w:val="22"/>
              </w:rPr>
              <w:t>1248</w:t>
            </w:r>
          </w:p>
        </w:tc>
      </w:tr>
      <w:tr>
        <w:trPr>
          <w:trHeight w:val="642" w:hRule="atLeast"/>
        </w:trPr>
        <w:tc>
          <w:tcPr>
            <w:tcW w:w="2631" w:type="dxa"/>
          </w:tcPr>
          <w:p>
            <w:pPr>
              <w:pStyle w:val="TableParagraph"/>
              <w:tabs>
                <w:tab w:pos="1093" w:val="left" w:leader="none"/>
              </w:tabs>
              <w:spacing w:before="63"/>
              <w:ind w:left="110" w:right="94"/>
              <w:rPr>
                <w:sz w:val="22"/>
              </w:rPr>
            </w:pPr>
            <w:r>
              <w:rPr>
                <w:sz w:val="22"/>
              </w:rPr>
              <w:t>Площа</w:t>
              <w:tab/>
            </w:r>
            <w:r>
              <w:rPr>
                <w:spacing w:val="-1"/>
                <w:sz w:val="22"/>
              </w:rPr>
              <w:t>опалю-вальних </w:t>
            </w:r>
            <w:r>
              <w:rPr>
                <w:sz w:val="22"/>
              </w:rPr>
              <w:t>риміщень,</w:t>
            </w:r>
            <w:r>
              <w:rPr>
                <w:spacing w:val="3"/>
                <w:sz w:val="22"/>
              </w:rPr>
              <w:t> </w:t>
            </w:r>
            <w:r>
              <w:rPr>
                <w:sz w:val="22"/>
              </w:rPr>
              <w:t>м</w:t>
            </w:r>
            <w:r>
              <w:rPr>
                <w:sz w:val="22"/>
                <w:vertAlign w:val="superscript"/>
              </w:rPr>
              <w:t>2</w:t>
            </w:r>
          </w:p>
        </w:tc>
        <w:tc>
          <w:tcPr>
            <w:tcW w:w="1335" w:type="dxa"/>
          </w:tcPr>
          <w:p>
            <w:pPr>
              <w:pStyle w:val="TableParagraph"/>
              <w:spacing w:before="188"/>
              <w:ind w:left="105"/>
              <w:rPr>
                <w:sz w:val="22"/>
              </w:rPr>
            </w:pPr>
            <w:r>
              <w:rPr>
                <w:sz w:val="22"/>
              </w:rPr>
              <w:t>10002,3</w:t>
            </w:r>
          </w:p>
        </w:tc>
        <w:tc>
          <w:tcPr>
            <w:tcW w:w="1416" w:type="dxa"/>
          </w:tcPr>
          <w:p>
            <w:pPr>
              <w:pStyle w:val="TableParagraph"/>
              <w:spacing w:before="188"/>
              <w:ind w:left="110"/>
              <w:rPr>
                <w:sz w:val="22"/>
              </w:rPr>
            </w:pPr>
            <w:r>
              <w:rPr>
                <w:sz w:val="22"/>
              </w:rPr>
              <w:t>14075,5</w:t>
            </w:r>
          </w:p>
        </w:tc>
        <w:tc>
          <w:tcPr>
            <w:tcW w:w="1421" w:type="dxa"/>
          </w:tcPr>
          <w:p>
            <w:pPr>
              <w:pStyle w:val="TableParagraph"/>
              <w:spacing w:before="188"/>
              <w:ind w:left="110"/>
              <w:rPr>
                <w:sz w:val="22"/>
              </w:rPr>
            </w:pPr>
            <w:r>
              <w:rPr>
                <w:sz w:val="22"/>
              </w:rPr>
              <w:t>4498,8</w:t>
            </w:r>
          </w:p>
        </w:tc>
        <w:tc>
          <w:tcPr>
            <w:tcW w:w="1416" w:type="dxa"/>
          </w:tcPr>
          <w:p>
            <w:pPr>
              <w:pStyle w:val="TableParagraph"/>
              <w:spacing w:before="188"/>
              <w:ind w:left="106"/>
              <w:rPr>
                <w:sz w:val="22"/>
              </w:rPr>
            </w:pPr>
            <w:r>
              <w:rPr>
                <w:sz w:val="22"/>
              </w:rPr>
              <w:t>2066,4</w:t>
            </w:r>
          </w:p>
        </w:tc>
        <w:tc>
          <w:tcPr>
            <w:tcW w:w="1412" w:type="dxa"/>
          </w:tcPr>
          <w:p>
            <w:pPr>
              <w:pStyle w:val="TableParagraph"/>
              <w:spacing w:before="188"/>
              <w:ind w:left="822"/>
              <w:rPr>
                <w:sz w:val="22"/>
              </w:rPr>
            </w:pPr>
            <w:r>
              <w:rPr>
                <w:sz w:val="22"/>
              </w:rPr>
              <w:t>748</w:t>
            </w:r>
          </w:p>
        </w:tc>
      </w:tr>
      <w:tr>
        <w:trPr>
          <w:trHeight w:val="503" w:hRule="atLeast"/>
        </w:trPr>
        <w:tc>
          <w:tcPr>
            <w:tcW w:w="2631" w:type="dxa"/>
          </w:tcPr>
          <w:p>
            <w:pPr>
              <w:pStyle w:val="TableParagraph"/>
              <w:spacing w:line="250" w:lineRule="exact" w:before="1"/>
              <w:ind w:left="110"/>
              <w:rPr>
                <w:sz w:val="22"/>
              </w:rPr>
            </w:pPr>
            <w:r>
              <w:rPr>
                <w:sz w:val="22"/>
              </w:rPr>
              <w:t>Площа неопалювальних приміщень, м</w:t>
            </w:r>
            <w:r>
              <w:rPr>
                <w:sz w:val="22"/>
                <w:vertAlign w:val="superscript"/>
              </w:rPr>
              <w:t>2</w:t>
            </w:r>
          </w:p>
        </w:tc>
        <w:tc>
          <w:tcPr>
            <w:tcW w:w="1335" w:type="dxa"/>
          </w:tcPr>
          <w:p>
            <w:pPr>
              <w:pStyle w:val="TableParagraph"/>
              <w:spacing w:before="121"/>
              <w:ind w:left="105"/>
              <w:rPr>
                <w:sz w:val="22"/>
              </w:rPr>
            </w:pPr>
            <w:r>
              <w:rPr>
                <w:sz w:val="22"/>
              </w:rPr>
              <w:t>4214,9</w:t>
            </w:r>
          </w:p>
        </w:tc>
        <w:tc>
          <w:tcPr>
            <w:tcW w:w="1416" w:type="dxa"/>
          </w:tcPr>
          <w:p>
            <w:pPr>
              <w:pStyle w:val="TableParagraph"/>
              <w:spacing w:before="121"/>
              <w:ind w:left="110"/>
              <w:rPr>
                <w:sz w:val="22"/>
              </w:rPr>
            </w:pPr>
            <w:r>
              <w:rPr>
                <w:sz w:val="22"/>
              </w:rPr>
              <w:t>4429</w:t>
            </w:r>
          </w:p>
        </w:tc>
        <w:tc>
          <w:tcPr>
            <w:tcW w:w="1421" w:type="dxa"/>
          </w:tcPr>
          <w:p>
            <w:pPr>
              <w:pStyle w:val="TableParagraph"/>
              <w:spacing w:before="121"/>
              <w:ind w:left="110"/>
              <w:rPr>
                <w:sz w:val="22"/>
              </w:rPr>
            </w:pPr>
            <w:r>
              <w:rPr>
                <w:sz w:val="22"/>
              </w:rPr>
              <w:t>2247,7</w:t>
            </w:r>
          </w:p>
        </w:tc>
        <w:tc>
          <w:tcPr>
            <w:tcW w:w="1416" w:type="dxa"/>
          </w:tcPr>
          <w:p>
            <w:pPr>
              <w:pStyle w:val="TableParagraph"/>
              <w:spacing w:before="121"/>
              <w:ind w:left="106"/>
              <w:rPr>
                <w:sz w:val="22"/>
              </w:rPr>
            </w:pPr>
            <w:r>
              <w:rPr>
                <w:sz w:val="22"/>
              </w:rPr>
              <w:t>240,7</w:t>
            </w:r>
          </w:p>
        </w:tc>
        <w:tc>
          <w:tcPr>
            <w:tcW w:w="1412" w:type="dxa"/>
          </w:tcPr>
          <w:p>
            <w:pPr>
              <w:pStyle w:val="TableParagraph"/>
              <w:spacing w:before="121"/>
              <w:ind w:left="112"/>
              <w:rPr>
                <w:sz w:val="22"/>
              </w:rPr>
            </w:pPr>
            <w:r>
              <w:rPr>
                <w:sz w:val="22"/>
              </w:rPr>
              <w:t>1164,3</w:t>
            </w:r>
          </w:p>
        </w:tc>
      </w:tr>
      <w:tr>
        <w:trPr>
          <w:trHeight w:val="1012" w:hRule="atLeast"/>
        </w:trPr>
        <w:tc>
          <w:tcPr>
            <w:tcW w:w="2631" w:type="dxa"/>
          </w:tcPr>
          <w:p>
            <w:pPr>
              <w:pStyle w:val="TableParagraph"/>
              <w:spacing w:before="7"/>
              <w:rPr>
                <w:b/>
                <w:sz w:val="32"/>
              </w:rPr>
            </w:pPr>
          </w:p>
          <w:p>
            <w:pPr>
              <w:pStyle w:val="TableParagraph"/>
              <w:ind w:right="379"/>
              <w:jc w:val="right"/>
              <w:rPr>
                <w:sz w:val="22"/>
              </w:rPr>
            </w:pPr>
            <w:r>
              <w:rPr>
                <w:sz w:val="22"/>
              </w:rPr>
              <w:t>Матеріал стін</w:t>
            </w:r>
          </w:p>
        </w:tc>
        <w:tc>
          <w:tcPr>
            <w:tcW w:w="1335" w:type="dxa"/>
          </w:tcPr>
          <w:p>
            <w:pPr>
              <w:pStyle w:val="TableParagraph"/>
              <w:spacing w:before="8"/>
              <w:rPr>
                <w:b/>
                <w:sz w:val="21"/>
              </w:rPr>
            </w:pPr>
          </w:p>
          <w:p>
            <w:pPr>
              <w:pStyle w:val="TableParagraph"/>
              <w:spacing w:before="1"/>
              <w:ind w:left="105"/>
              <w:rPr>
                <w:sz w:val="22"/>
              </w:rPr>
            </w:pPr>
            <w:r>
              <w:rPr>
                <w:sz w:val="22"/>
              </w:rPr>
              <w:t>Черепашник</w:t>
            </w:r>
          </w:p>
        </w:tc>
        <w:tc>
          <w:tcPr>
            <w:tcW w:w="1416" w:type="dxa"/>
          </w:tcPr>
          <w:p>
            <w:pPr>
              <w:pStyle w:val="TableParagraph"/>
              <w:tabs>
                <w:tab w:pos="1098" w:val="left" w:leader="none"/>
              </w:tabs>
              <w:ind w:left="110" w:right="92"/>
              <w:rPr>
                <w:sz w:val="22"/>
              </w:rPr>
            </w:pPr>
            <w:r>
              <w:rPr>
                <w:sz w:val="22"/>
              </w:rPr>
              <w:t>Червона цегла</w:t>
              <w:tab/>
            </w:r>
            <w:r>
              <w:rPr>
                <w:spacing w:val="-11"/>
                <w:sz w:val="22"/>
              </w:rPr>
              <w:t>на </w:t>
            </w:r>
            <w:r>
              <w:rPr>
                <w:sz w:val="22"/>
              </w:rPr>
              <w:t>складному</w:t>
            </w:r>
          </w:p>
          <w:p>
            <w:pPr>
              <w:pStyle w:val="TableParagraph"/>
              <w:spacing w:line="238" w:lineRule="exact"/>
              <w:ind w:left="110"/>
              <w:rPr>
                <w:sz w:val="22"/>
              </w:rPr>
            </w:pPr>
            <w:r>
              <w:rPr>
                <w:sz w:val="22"/>
              </w:rPr>
              <w:t>розчині</w:t>
            </w:r>
          </w:p>
        </w:tc>
        <w:tc>
          <w:tcPr>
            <w:tcW w:w="1421" w:type="dxa"/>
          </w:tcPr>
          <w:p>
            <w:pPr>
              <w:pStyle w:val="TableParagraph"/>
              <w:spacing w:before="10"/>
              <w:rPr>
                <w:b/>
                <w:sz w:val="21"/>
              </w:rPr>
            </w:pPr>
          </w:p>
          <w:p>
            <w:pPr>
              <w:pStyle w:val="TableParagraph"/>
              <w:spacing w:line="237" w:lineRule="auto" w:before="1"/>
              <w:ind w:left="110" w:right="187"/>
              <w:rPr>
                <w:sz w:val="22"/>
              </w:rPr>
            </w:pPr>
            <w:r>
              <w:rPr>
                <w:sz w:val="22"/>
              </w:rPr>
              <w:t>Червона цегла М100</w:t>
            </w:r>
          </w:p>
        </w:tc>
        <w:tc>
          <w:tcPr>
            <w:tcW w:w="1416" w:type="dxa"/>
          </w:tcPr>
          <w:p>
            <w:pPr>
              <w:pStyle w:val="TableParagraph"/>
              <w:tabs>
                <w:tab w:pos="1094" w:val="left" w:leader="none"/>
              </w:tabs>
              <w:ind w:left="106" w:right="96"/>
              <w:rPr>
                <w:sz w:val="22"/>
              </w:rPr>
            </w:pPr>
            <w:r>
              <w:rPr>
                <w:sz w:val="22"/>
              </w:rPr>
              <w:t>Червона цегла</w:t>
              <w:tab/>
            </w:r>
            <w:r>
              <w:rPr>
                <w:spacing w:val="-11"/>
                <w:sz w:val="22"/>
              </w:rPr>
              <w:t>на </w:t>
            </w:r>
            <w:r>
              <w:rPr>
                <w:sz w:val="22"/>
              </w:rPr>
              <w:t>складному</w:t>
            </w:r>
          </w:p>
          <w:p>
            <w:pPr>
              <w:pStyle w:val="TableParagraph"/>
              <w:spacing w:line="238" w:lineRule="exact"/>
              <w:ind w:left="106"/>
              <w:rPr>
                <w:sz w:val="22"/>
              </w:rPr>
            </w:pPr>
            <w:r>
              <w:rPr>
                <w:sz w:val="22"/>
              </w:rPr>
              <w:t>розчині</w:t>
            </w:r>
          </w:p>
        </w:tc>
        <w:tc>
          <w:tcPr>
            <w:tcW w:w="1412" w:type="dxa"/>
          </w:tcPr>
          <w:p>
            <w:pPr>
              <w:pStyle w:val="TableParagraph"/>
              <w:tabs>
                <w:tab w:pos="1094" w:val="left" w:leader="none"/>
              </w:tabs>
              <w:ind w:left="112" w:right="91"/>
              <w:rPr>
                <w:sz w:val="22"/>
              </w:rPr>
            </w:pPr>
            <w:r>
              <w:rPr>
                <w:sz w:val="22"/>
              </w:rPr>
              <w:t>Червона цегла</w:t>
              <w:tab/>
            </w:r>
            <w:r>
              <w:rPr>
                <w:spacing w:val="-11"/>
                <w:sz w:val="22"/>
              </w:rPr>
              <w:t>на </w:t>
            </w:r>
            <w:r>
              <w:rPr>
                <w:sz w:val="22"/>
              </w:rPr>
              <w:t>складному</w:t>
            </w:r>
          </w:p>
          <w:p>
            <w:pPr>
              <w:pStyle w:val="TableParagraph"/>
              <w:spacing w:line="238" w:lineRule="exact"/>
              <w:ind w:left="112"/>
              <w:rPr>
                <w:sz w:val="22"/>
              </w:rPr>
            </w:pPr>
            <w:r>
              <w:rPr>
                <w:sz w:val="22"/>
              </w:rPr>
              <w:t>розчині</w:t>
            </w:r>
          </w:p>
        </w:tc>
      </w:tr>
      <w:tr>
        <w:trPr>
          <w:trHeight w:val="325" w:hRule="atLeast"/>
        </w:trPr>
        <w:tc>
          <w:tcPr>
            <w:tcW w:w="2631" w:type="dxa"/>
          </w:tcPr>
          <w:p>
            <w:pPr>
              <w:pStyle w:val="TableParagraph"/>
              <w:spacing w:before="29"/>
              <w:ind w:left="110"/>
              <w:rPr>
                <w:sz w:val="22"/>
              </w:rPr>
            </w:pPr>
            <w:r>
              <w:rPr>
                <w:sz w:val="22"/>
              </w:rPr>
              <w:t>Товщина стін, </w:t>
            </w:r>
            <w:r>
              <w:rPr>
                <w:i/>
                <w:sz w:val="22"/>
              </w:rPr>
              <w:t>δ</w:t>
            </w:r>
            <w:r>
              <w:rPr>
                <w:sz w:val="22"/>
              </w:rPr>
              <w:t>, мм</w:t>
            </w:r>
          </w:p>
        </w:tc>
        <w:tc>
          <w:tcPr>
            <w:tcW w:w="1335" w:type="dxa"/>
          </w:tcPr>
          <w:p>
            <w:pPr>
              <w:pStyle w:val="TableParagraph"/>
              <w:spacing w:before="29"/>
              <w:ind w:left="105"/>
              <w:rPr>
                <w:sz w:val="22"/>
              </w:rPr>
            </w:pPr>
            <w:r>
              <w:rPr>
                <w:sz w:val="22"/>
              </w:rPr>
              <w:t>1000-1500</w:t>
            </w:r>
          </w:p>
        </w:tc>
        <w:tc>
          <w:tcPr>
            <w:tcW w:w="1416" w:type="dxa"/>
          </w:tcPr>
          <w:p>
            <w:pPr>
              <w:pStyle w:val="TableParagraph"/>
              <w:spacing w:before="29"/>
              <w:ind w:right="246"/>
              <w:jc w:val="right"/>
              <w:rPr>
                <w:sz w:val="22"/>
              </w:rPr>
            </w:pPr>
            <w:r>
              <w:rPr>
                <w:sz w:val="22"/>
              </w:rPr>
              <w:t>250</w:t>
            </w:r>
          </w:p>
        </w:tc>
        <w:tc>
          <w:tcPr>
            <w:tcW w:w="1421" w:type="dxa"/>
          </w:tcPr>
          <w:p>
            <w:pPr>
              <w:pStyle w:val="TableParagraph"/>
              <w:spacing w:before="29"/>
              <w:ind w:right="251"/>
              <w:jc w:val="right"/>
              <w:rPr>
                <w:sz w:val="22"/>
              </w:rPr>
            </w:pPr>
            <w:r>
              <w:rPr>
                <w:sz w:val="22"/>
              </w:rPr>
              <w:t>510</w:t>
            </w:r>
          </w:p>
        </w:tc>
        <w:tc>
          <w:tcPr>
            <w:tcW w:w="1416" w:type="dxa"/>
          </w:tcPr>
          <w:p>
            <w:pPr>
              <w:pStyle w:val="TableParagraph"/>
              <w:spacing w:before="29"/>
              <w:ind w:left="106"/>
              <w:rPr>
                <w:sz w:val="22"/>
              </w:rPr>
            </w:pPr>
            <w:r>
              <w:rPr>
                <w:sz w:val="22"/>
              </w:rPr>
              <w:t>400-570</w:t>
            </w:r>
          </w:p>
        </w:tc>
        <w:tc>
          <w:tcPr>
            <w:tcW w:w="1412" w:type="dxa"/>
          </w:tcPr>
          <w:p>
            <w:pPr>
              <w:pStyle w:val="TableParagraph"/>
              <w:spacing w:before="29"/>
              <w:ind w:left="112"/>
              <w:rPr>
                <w:sz w:val="22"/>
              </w:rPr>
            </w:pPr>
            <w:r>
              <w:rPr>
                <w:sz w:val="22"/>
              </w:rPr>
              <w:t>510-600</w:t>
            </w:r>
          </w:p>
        </w:tc>
      </w:tr>
      <w:tr>
        <w:trPr>
          <w:trHeight w:val="1010" w:hRule="atLeast"/>
        </w:trPr>
        <w:tc>
          <w:tcPr>
            <w:tcW w:w="2631" w:type="dxa"/>
            <w:tcBorders>
              <w:bottom w:val="single" w:sz="6" w:space="0" w:color="000000"/>
            </w:tcBorders>
          </w:tcPr>
          <w:p>
            <w:pPr>
              <w:pStyle w:val="TableParagraph"/>
              <w:tabs>
                <w:tab w:pos="1482" w:val="left" w:leader="none"/>
                <w:tab w:pos="2376" w:val="left" w:leader="none"/>
              </w:tabs>
              <w:ind w:left="110" w:right="95"/>
              <w:rPr>
                <w:sz w:val="22"/>
              </w:rPr>
            </w:pPr>
            <w:r>
              <w:rPr>
                <w:sz w:val="22"/>
              </w:rPr>
              <w:t>Коефіцієнт теплопровідності матеріалу</w:t>
              <w:tab/>
              <w:t>стін,</w:t>
              <w:tab/>
            </w:r>
            <w:r>
              <w:rPr>
                <w:i/>
                <w:spacing w:val="-11"/>
                <w:sz w:val="22"/>
              </w:rPr>
              <w:t>λ</w:t>
            </w:r>
            <w:r>
              <w:rPr>
                <w:spacing w:val="-11"/>
                <w:sz w:val="22"/>
              </w:rPr>
              <w:t>,</w:t>
            </w:r>
          </w:p>
          <w:p>
            <w:pPr>
              <w:pStyle w:val="TableParagraph"/>
              <w:spacing w:line="235" w:lineRule="exact"/>
              <w:ind w:left="110"/>
              <w:rPr>
                <w:sz w:val="22"/>
              </w:rPr>
            </w:pPr>
            <w:r>
              <w:rPr>
                <w:sz w:val="22"/>
              </w:rPr>
              <w:t>Вт/(м∙К)</w:t>
            </w:r>
          </w:p>
        </w:tc>
        <w:tc>
          <w:tcPr>
            <w:tcW w:w="1335" w:type="dxa"/>
            <w:tcBorders>
              <w:bottom w:val="single" w:sz="6" w:space="0" w:color="000000"/>
            </w:tcBorders>
          </w:tcPr>
          <w:p>
            <w:pPr>
              <w:pStyle w:val="TableParagraph"/>
              <w:spacing w:before="7"/>
              <w:rPr>
                <w:b/>
                <w:sz w:val="32"/>
              </w:rPr>
            </w:pPr>
          </w:p>
          <w:p>
            <w:pPr>
              <w:pStyle w:val="TableParagraph"/>
              <w:ind w:left="807"/>
              <w:rPr>
                <w:sz w:val="22"/>
              </w:rPr>
            </w:pPr>
            <w:r>
              <w:rPr>
                <w:sz w:val="22"/>
              </w:rPr>
              <w:t>0,3</w:t>
            </w:r>
          </w:p>
        </w:tc>
        <w:tc>
          <w:tcPr>
            <w:tcW w:w="1416" w:type="dxa"/>
            <w:tcBorders>
              <w:bottom w:val="single" w:sz="6" w:space="0" w:color="000000"/>
            </w:tcBorders>
          </w:tcPr>
          <w:p>
            <w:pPr>
              <w:pStyle w:val="TableParagraph"/>
              <w:spacing w:before="7"/>
              <w:rPr>
                <w:b/>
                <w:sz w:val="32"/>
              </w:rPr>
            </w:pPr>
          </w:p>
          <w:p>
            <w:pPr>
              <w:pStyle w:val="TableParagraph"/>
              <w:ind w:right="218"/>
              <w:jc w:val="right"/>
              <w:rPr>
                <w:sz w:val="22"/>
              </w:rPr>
            </w:pPr>
            <w:r>
              <w:rPr>
                <w:sz w:val="22"/>
              </w:rPr>
              <w:t>0,56</w:t>
            </w:r>
          </w:p>
        </w:tc>
        <w:tc>
          <w:tcPr>
            <w:tcW w:w="1421" w:type="dxa"/>
            <w:tcBorders>
              <w:bottom w:val="single" w:sz="6" w:space="0" w:color="000000"/>
            </w:tcBorders>
          </w:tcPr>
          <w:p>
            <w:pPr>
              <w:pStyle w:val="TableParagraph"/>
              <w:spacing w:before="7"/>
              <w:rPr>
                <w:b/>
                <w:sz w:val="32"/>
              </w:rPr>
            </w:pPr>
          </w:p>
          <w:p>
            <w:pPr>
              <w:pStyle w:val="TableParagraph"/>
              <w:ind w:right="222"/>
              <w:jc w:val="right"/>
              <w:rPr>
                <w:sz w:val="22"/>
              </w:rPr>
            </w:pPr>
            <w:r>
              <w:rPr>
                <w:sz w:val="22"/>
              </w:rPr>
              <w:t>0,67</w:t>
            </w:r>
          </w:p>
        </w:tc>
        <w:tc>
          <w:tcPr>
            <w:tcW w:w="1416" w:type="dxa"/>
            <w:tcBorders>
              <w:bottom w:val="single" w:sz="6" w:space="0" w:color="000000"/>
            </w:tcBorders>
          </w:tcPr>
          <w:p>
            <w:pPr>
              <w:pStyle w:val="TableParagraph"/>
              <w:spacing w:before="7"/>
              <w:rPr>
                <w:b/>
                <w:sz w:val="32"/>
              </w:rPr>
            </w:pPr>
          </w:p>
          <w:p>
            <w:pPr>
              <w:pStyle w:val="TableParagraph"/>
              <w:ind w:left="793"/>
              <w:rPr>
                <w:sz w:val="22"/>
              </w:rPr>
            </w:pPr>
            <w:r>
              <w:rPr>
                <w:sz w:val="22"/>
              </w:rPr>
              <w:t>0,56</w:t>
            </w:r>
          </w:p>
        </w:tc>
        <w:tc>
          <w:tcPr>
            <w:tcW w:w="1412" w:type="dxa"/>
            <w:tcBorders>
              <w:bottom w:val="single" w:sz="6" w:space="0" w:color="000000"/>
            </w:tcBorders>
          </w:tcPr>
          <w:p>
            <w:pPr>
              <w:pStyle w:val="TableParagraph"/>
              <w:spacing w:before="7"/>
              <w:rPr>
                <w:b/>
                <w:sz w:val="32"/>
              </w:rPr>
            </w:pPr>
          </w:p>
          <w:p>
            <w:pPr>
              <w:pStyle w:val="TableParagraph"/>
              <w:ind w:right="212"/>
              <w:jc w:val="right"/>
              <w:rPr>
                <w:sz w:val="22"/>
              </w:rPr>
            </w:pPr>
            <w:r>
              <w:rPr>
                <w:sz w:val="22"/>
              </w:rPr>
              <w:t>0,56</w:t>
            </w:r>
          </w:p>
        </w:tc>
      </w:tr>
      <w:tr>
        <w:trPr>
          <w:trHeight w:val="501" w:hRule="atLeast"/>
        </w:trPr>
        <w:tc>
          <w:tcPr>
            <w:tcW w:w="2631" w:type="dxa"/>
            <w:tcBorders>
              <w:top w:val="single" w:sz="6" w:space="0" w:color="000000"/>
            </w:tcBorders>
          </w:tcPr>
          <w:p>
            <w:pPr>
              <w:pStyle w:val="TableParagraph"/>
              <w:spacing w:line="242" w:lineRule="exact"/>
              <w:ind w:right="292"/>
              <w:jc w:val="right"/>
              <w:rPr>
                <w:sz w:val="22"/>
              </w:rPr>
            </w:pPr>
            <w:r>
              <w:rPr>
                <w:sz w:val="22"/>
              </w:rPr>
              <w:t>Термічний</w:t>
            </w:r>
            <w:r>
              <w:rPr>
                <w:spacing w:val="-7"/>
                <w:sz w:val="22"/>
              </w:rPr>
              <w:t> </w:t>
            </w:r>
            <w:r>
              <w:rPr>
                <w:sz w:val="22"/>
              </w:rPr>
              <w:t>опір</w:t>
            </w:r>
          </w:p>
          <w:p>
            <w:pPr>
              <w:pStyle w:val="TableParagraph"/>
              <w:spacing w:line="238" w:lineRule="exact" w:before="1"/>
              <w:ind w:right="300"/>
              <w:jc w:val="right"/>
              <w:rPr>
                <w:sz w:val="22"/>
              </w:rPr>
            </w:pPr>
            <w:r>
              <w:rPr>
                <w:sz w:val="22"/>
              </w:rPr>
              <w:t>стін, </w:t>
            </w:r>
            <w:r>
              <w:rPr>
                <w:i/>
                <w:sz w:val="22"/>
              </w:rPr>
              <w:t>R= δ / </w:t>
            </w:r>
            <w:r>
              <w:rPr>
                <w:i/>
                <w:spacing w:val="-3"/>
                <w:sz w:val="22"/>
              </w:rPr>
              <w:t>λ</w:t>
            </w:r>
            <w:r>
              <w:rPr>
                <w:spacing w:val="-3"/>
                <w:sz w:val="22"/>
              </w:rPr>
              <w:t>, </w:t>
            </w:r>
            <w:r>
              <w:rPr>
                <w:sz w:val="22"/>
              </w:rPr>
              <w:t>м</w:t>
            </w:r>
            <w:r>
              <w:rPr>
                <w:sz w:val="22"/>
                <w:vertAlign w:val="superscript"/>
              </w:rPr>
              <w:t>2</w:t>
            </w:r>
            <w:r>
              <w:rPr>
                <w:spacing w:val="-13"/>
                <w:sz w:val="22"/>
                <w:vertAlign w:val="baseline"/>
              </w:rPr>
              <w:t> </w:t>
            </w:r>
            <w:r>
              <w:rPr>
                <w:sz w:val="22"/>
                <w:vertAlign w:val="baseline"/>
              </w:rPr>
              <w:t>К/Вт</w:t>
            </w:r>
          </w:p>
        </w:tc>
        <w:tc>
          <w:tcPr>
            <w:tcW w:w="1335" w:type="dxa"/>
            <w:tcBorders>
              <w:top w:val="single" w:sz="6" w:space="0" w:color="000000"/>
            </w:tcBorders>
          </w:tcPr>
          <w:p>
            <w:pPr>
              <w:pStyle w:val="TableParagraph"/>
              <w:spacing w:before="118"/>
              <w:ind w:left="105"/>
              <w:rPr>
                <w:sz w:val="22"/>
              </w:rPr>
            </w:pPr>
            <w:r>
              <w:rPr>
                <w:sz w:val="22"/>
              </w:rPr>
              <w:t>3,33-5</w:t>
            </w:r>
          </w:p>
        </w:tc>
        <w:tc>
          <w:tcPr>
            <w:tcW w:w="1416" w:type="dxa"/>
            <w:tcBorders>
              <w:top w:val="single" w:sz="6" w:space="0" w:color="000000"/>
            </w:tcBorders>
          </w:tcPr>
          <w:p>
            <w:pPr>
              <w:pStyle w:val="TableParagraph"/>
              <w:spacing w:before="118"/>
              <w:ind w:right="218"/>
              <w:jc w:val="right"/>
              <w:rPr>
                <w:sz w:val="22"/>
              </w:rPr>
            </w:pPr>
            <w:r>
              <w:rPr>
                <w:sz w:val="22"/>
              </w:rPr>
              <w:t>0,44</w:t>
            </w:r>
          </w:p>
        </w:tc>
        <w:tc>
          <w:tcPr>
            <w:tcW w:w="1421" w:type="dxa"/>
            <w:tcBorders>
              <w:top w:val="single" w:sz="6" w:space="0" w:color="000000"/>
            </w:tcBorders>
          </w:tcPr>
          <w:p>
            <w:pPr>
              <w:pStyle w:val="TableParagraph"/>
              <w:spacing w:before="118"/>
              <w:ind w:right="222"/>
              <w:jc w:val="right"/>
              <w:rPr>
                <w:sz w:val="22"/>
              </w:rPr>
            </w:pPr>
            <w:r>
              <w:rPr>
                <w:sz w:val="22"/>
              </w:rPr>
              <w:t>0,76</w:t>
            </w:r>
          </w:p>
        </w:tc>
        <w:tc>
          <w:tcPr>
            <w:tcW w:w="1416" w:type="dxa"/>
            <w:tcBorders>
              <w:top w:val="single" w:sz="6" w:space="0" w:color="000000"/>
            </w:tcBorders>
          </w:tcPr>
          <w:p>
            <w:pPr>
              <w:pStyle w:val="TableParagraph"/>
              <w:spacing w:before="118"/>
              <w:ind w:left="106"/>
              <w:rPr>
                <w:sz w:val="22"/>
              </w:rPr>
            </w:pPr>
            <w:r>
              <w:rPr>
                <w:sz w:val="22"/>
              </w:rPr>
              <w:t>0,71-1,01</w:t>
            </w:r>
          </w:p>
        </w:tc>
        <w:tc>
          <w:tcPr>
            <w:tcW w:w="1412" w:type="dxa"/>
            <w:tcBorders>
              <w:top w:val="single" w:sz="6" w:space="0" w:color="000000"/>
            </w:tcBorders>
          </w:tcPr>
          <w:p>
            <w:pPr>
              <w:pStyle w:val="TableParagraph"/>
              <w:spacing w:before="118"/>
              <w:ind w:left="112"/>
              <w:rPr>
                <w:sz w:val="22"/>
              </w:rPr>
            </w:pPr>
            <w:r>
              <w:rPr>
                <w:sz w:val="22"/>
              </w:rPr>
              <w:t>0,9-1,07</w:t>
            </w:r>
          </w:p>
        </w:tc>
      </w:tr>
    </w:tbl>
    <w:p>
      <w:pPr>
        <w:pStyle w:val="BodyText"/>
        <w:spacing w:before="4"/>
        <w:ind w:left="0"/>
        <w:jc w:val="left"/>
        <w:rPr>
          <w:b/>
          <w:sz w:val="27"/>
        </w:rPr>
      </w:pPr>
    </w:p>
    <w:p>
      <w:pPr>
        <w:pStyle w:val="BodyText"/>
        <w:ind w:right="633"/>
        <w:jc w:val="left"/>
      </w:pPr>
      <w:r>
        <w:rPr/>
        <w:t>Наведені дані у таблиці 1 проілюструємо, для наочності, у вигляді діаграм (рис. 6, 7).</w:t>
      </w:r>
    </w:p>
    <w:p>
      <w:pPr>
        <w:spacing w:after="0"/>
        <w:jc w:val="left"/>
        <w:sectPr>
          <w:pgSz w:w="11910" w:h="16840"/>
          <w:pgMar w:header="713" w:footer="778" w:top="1140" w:bottom="960" w:left="940" w:right="520"/>
        </w:sectPr>
      </w:pPr>
    </w:p>
    <w:p>
      <w:pPr>
        <w:pStyle w:val="BodyText"/>
        <w:spacing w:before="7"/>
        <w:ind w:left="0"/>
        <w:jc w:val="left"/>
        <w:rPr>
          <w:sz w:val="8"/>
        </w:rPr>
      </w:pPr>
    </w:p>
    <w:p>
      <w:pPr>
        <w:pStyle w:val="BodyText"/>
        <w:ind w:left="1270"/>
        <w:jc w:val="left"/>
        <w:rPr>
          <w:sz w:val="20"/>
        </w:rPr>
      </w:pPr>
      <w:r>
        <w:rPr>
          <w:sz w:val="20"/>
        </w:rPr>
        <w:drawing>
          <wp:inline distT="0" distB="0" distL="0" distR="0">
            <wp:extent cx="5029666" cy="2754344"/>
            <wp:effectExtent l="0" t="0" r="0" b="0"/>
            <wp:docPr id="41" name="image75.png"/>
            <wp:cNvGraphicFramePr>
              <a:graphicFrameLocks noChangeAspect="1"/>
            </wp:cNvGraphicFramePr>
            <a:graphic>
              <a:graphicData uri="http://schemas.openxmlformats.org/drawingml/2006/picture">
                <pic:pic>
                  <pic:nvPicPr>
                    <pic:cNvPr id="42" name="image75.png"/>
                    <pic:cNvPicPr/>
                  </pic:nvPicPr>
                  <pic:blipFill>
                    <a:blip r:embed="rId124" cstate="print"/>
                    <a:stretch>
                      <a:fillRect/>
                    </a:stretch>
                  </pic:blipFill>
                  <pic:spPr>
                    <a:xfrm>
                      <a:off x="0" y="0"/>
                      <a:ext cx="5029666" cy="2754344"/>
                    </a:xfrm>
                    <a:prstGeom prst="rect">
                      <a:avLst/>
                    </a:prstGeom>
                  </pic:spPr>
                </pic:pic>
              </a:graphicData>
            </a:graphic>
          </wp:inline>
        </w:drawing>
      </w:r>
      <w:r>
        <w:rPr>
          <w:sz w:val="20"/>
        </w:rPr>
      </w:r>
    </w:p>
    <w:p>
      <w:pPr>
        <w:pStyle w:val="BodyText"/>
        <w:spacing w:before="55" w:after="8"/>
        <w:jc w:val="left"/>
        <w:rPr>
          <w:sz w:val="18"/>
        </w:rPr>
      </w:pPr>
      <w:r>
        <w:rPr>
          <w:b/>
        </w:rPr>
        <w:t>Рис. 6. </w:t>
      </w:r>
      <w:r>
        <w:rPr/>
        <w:t>Площа опалювальних приміщень навчальних корпусів ОНМУ, м.</w:t>
      </w:r>
      <w:r>
        <w:rPr>
          <w:position w:val="10"/>
          <w:sz w:val="18"/>
        </w:rPr>
        <w:t>2</w:t>
      </w:r>
    </w:p>
    <w:p>
      <w:pPr>
        <w:pStyle w:val="BodyText"/>
        <w:ind w:left="1270"/>
        <w:jc w:val="left"/>
        <w:rPr>
          <w:sz w:val="20"/>
        </w:rPr>
      </w:pPr>
      <w:r>
        <w:rPr>
          <w:sz w:val="20"/>
        </w:rPr>
        <w:drawing>
          <wp:inline distT="0" distB="0" distL="0" distR="0">
            <wp:extent cx="5110662" cy="2798064"/>
            <wp:effectExtent l="0" t="0" r="0" b="0"/>
            <wp:docPr id="43" name="image76.png"/>
            <wp:cNvGraphicFramePr>
              <a:graphicFrameLocks noChangeAspect="1"/>
            </wp:cNvGraphicFramePr>
            <a:graphic>
              <a:graphicData uri="http://schemas.openxmlformats.org/drawingml/2006/picture">
                <pic:pic>
                  <pic:nvPicPr>
                    <pic:cNvPr id="44" name="image76.png"/>
                    <pic:cNvPicPr/>
                  </pic:nvPicPr>
                  <pic:blipFill>
                    <a:blip r:embed="rId125" cstate="print"/>
                    <a:stretch>
                      <a:fillRect/>
                    </a:stretch>
                  </pic:blipFill>
                  <pic:spPr>
                    <a:xfrm>
                      <a:off x="0" y="0"/>
                      <a:ext cx="5110662" cy="2798064"/>
                    </a:xfrm>
                    <a:prstGeom prst="rect">
                      <a:avLst/>
                    </a:prstGeom>
                  </pic:spPr>
                </pic:pic>
              </a:graphicData>
            </a:graphic>
          </wp:inline>
        </w:drawing>
      </w:r>
      <w:r>
        <w:rPr>
          <w:sz w:val="20"/>
        </w:rPr>
      </w:r>
    </w:p>
    <w:p>
      <w:pPr>
        <w:pStyle w:val="BodyText"/>
        <w:jc w:val="left"/>
      </w:pPr>
      <w:r>
        <w:rPr>
          <w:b/>
        </w:rPr>
        <w:t>Рис. 7. </w:t>
      </w:r>
      <w:r>
        <w:rPr/>
        <w:t>Термічний опір стін корпусів ОНМУ, м</w:t>
      </w:r>
      <w:r>
        <w:rPr>
          <w:position w:val="10"/>
          <w:sz w:val="18"/>
        </w:rPr>
        <w:t>2 </w:t>
      </w:r>
      <w:r>
        <w:rPr/>
        <w:t>К/Вт.</w:t>
      </w:r>
    </w:p>
    <w:p>
      <w:pPr>
        <w:pStyle w:val="BodyText"/>
        <w:spacing w:before="6"/>
        <w:ind w:left="0"/>
        <w:jc w:val="left"/>
      </w:pPr>
    </w:p>
    <w:p>
      <w:pPr>
        <w:pStyle w:val="BodyText"/>
        <w:spacing w:line="237" w:lineRule="auto"/>
        <w:ind w:right="610" w:firstLine="566"/>
      </w:pPr>
      <w:r>
        <w:rPr/>
        <w:t>Адміністративно-аудиторний корпус є «лідером» не тільки по площі опалювальних</w:t>
      </w:r>
      <w:r>
        <w:rPr>
          <w:spacing w:val="-12"/>
        </w:rPr>
        <w:t> </w:t>
      </w:r>
      <w:r>
        <w:rPr/>
        <w:t>приміщень</w:t>
      </w:r>
      <w:r>
        <w:rPr>
          <w:spacing w:val="-9"/>
        </w:rPr>
        <w:t> </w:t>
      </w:r>
      <w:r>
        <w:rPr/>
        <w:t>(14076</w:t>
      </w:r>
      <w:r>
        <w:rPr>
          <w:spacing w:val="-6"/>
        </w:rPr>
        <w:t> </w:t>
      </w:r>
      <w:r>
        <w:rPr/>
        <w:t>м</w:t>
      </w:r>
      <w:r>
        <w:rPr>
          <w:position w:val="10"/>
          <w:sz w:val="18"/>
        </w:rPr>
        <w:t>2</w:t>
      </w:r>
      <w:r>
        <w:rPr/>
        <w:t>),</w:t>
      </w:r>
      <w:r>
        <w:rPr>
          <w:spacing w:val="-5"/>
        </w:rPr>
        <w:t> </w:t>
      </w:r>
      <w:r>
        <w:rPr/>
        <w:t>а</w:t>
      </w:r>
      <w:r>
        <w:rPr>
          <w:spacing w:val="-6"/>
        </w:rPr>
        <w:t> </w:t>
      </w:r>
      <w:r>
        <w:rPr/>
        <w:t>і</w:t>
      </w:r>
      <w:r>
        <w:rPr>
          <w:spacing w:val="-8"/>
        </w:rPr>
        <w:t> </w:t>
      </w:r>
      <w:r>
        <w:rPr/>
        <w:t>по</w:t>
      </w:r>
      <w:r>
        <w:rPr>
          <w:spacing w:val="-6"/>
        </w:rPr>
        <w:t> </w:t>
      </w:r>
      <w:r>
        <w:rPr/>
        <w:t>найменшому</w:t>
      </w:r>
      <w:r>
        <w:rPr>
          <w:spacing w:val="-6"/>
        </w:rPr>
        <w:t> </w:t>
      </w:r>
      <w:r>
        <w:rPr/>
        <w:t>термічному</w:t>
      </w:r>
      <w:r>
        <w:rPr>
          <w:spacing w:val="-12"/>
        </w:rPr>
        <w:t> </w:t>
      </w:r>
      <w:r>
        <w:rPr/>
        <w:t>опору</w:t>
      </w:r>
      <w:r>
        <w:rPr>
          <w:spacing w:val="-11"/>
        </w:rPr>
        <w:t> </w:t>
      </w:r>
      <w:r>
        <w:rPr/>
        <w:t>(0,44 м</w:t>
      </w:r>
      <w:r>
        <w:rPr>
          <w:position w:val="10"/>
          <w:sz w:val="18"/>
        </w:rPr>
        <w:t>2</w:t>
      </w:r>
      <w:r>
        <w:rPr/>
        <w:t>К/Вт). Тому зрозуміло необхідно зосередити увагу на ньому. Коефіцієнт скління (відношення площі вікон до загальної площі стіни) східної та західної стін</w:t>
      </w:r>
      <w:r>
        <w:rPr>
          <w:spacing w:val="-18"/>
        </w:rPr>
        <w:t> </w:t>
      </w:r>
      <w:r>
        <w:rPr/>
        <w:t>(північна</w:t>
      </w:r>
      <w:r>
        <w:rPr>
          <w:spacing w:val="-17"/>
        </w:rPr>
        <w:t> </w:t>
      </w:r>
      <w:r>
        <w:rPr/>
        <w:t>та</w:t>
      </w:r>
      <w:r>
        <w:rPr>
          <w:spacing w:val="-16"/>
        </w:rPr>
        <w:t> </w:t>
      </w:r>
      <w:r>
        <w:rPr/>
        <w:t>південна</w:t>
      </w:r>
      <w:r>
        <w:rPr>
          <w:spacing w:val="-17"/>
        </w:rPr>
        <w:t> </w:t>
      </w:r>
      <w:r>
        <w:rPr/>
        <w:t>стіни</w:t>
      </w:r>
      <w:r>
        <w:rPr>
          <w:spacing w:val="-17"/>
        </w:rPr>
        <w:t> </w:t>
      </w:r>
      <w:r>
        <w:rPr/>
        <w:t>вікон</w:t>
      </w:r>
      <w:r>
        <w:rPr>
          <w:spacing w:val="-18"/>
        </w:rPr>
        <w:t> </w:t>
      </w:r>
      <w:r>
        <w:rPr/>
        <w:t>не</w:t>
      </w:r>
      <w:r>
        <w:rPr>
          <w:spacing w:val="-12"/>
        </w:rPr>
        <w:t> </w:t>
      </w:r>
      <w:r>
        <w:rPr/>
        <w:t>мають)</w:t>
      </w:r>
      <w:r>
        <w:rPr>
          <w:spacing w:val="-18"/>
        </w:rPr>
        <w:t> </w:t>
      </w:r>
      <w:r>
        <w:rPr/>
        <w:t>дорівнює</w:t>
      </w:r>
      <w:r>
        <w:rPr>
          <w:spacing w:val="-17"/>
        </w:rPr>
        <w:t> </w:t>
      </w:r>
      <w:r>
        <w:rPr/>
        <w:t>близько</w:t>
      </w:r>
      <w:r>
        <w:rPr>
          <w:spacing w:val="-17"/>
        </w:rPr>
        <w:t> </w:t>
      </w:r>
      <w:r>
        <w:rPr/>
        <w:t>72</w:t>
      </w:r>
      <w:r>
        <w:rPr>
          <w:spacing w:val="-18"/>
        </w:rPr>
        <w:t> </w:t>
      </w:r>
      <w:r>
        <w:rPr/>
        <w:t>%.</w:t>
      </w:r>
      <w:r>
        <w:rPr>
          <w:spacing w:val="-11"/>
        </w:rPr>
        <w:t> </w:t>
      </w:r>
      <w:r>
        <w:rPr/>
        <w:t>Всі</w:t>
      </w:r>
      <w:r>
        <w:rPr>
          <w:spacing w:val="-22"/>
        </w:rPr>
        <w:t> </w:t>
      </w:r>
      <w:r>
        <w:rPr/>
        <w:t>вікна подвійного скління у металевих роздільних плетіннях, за літературними джерелами мають термічний опір 0,34 м</w:t>
      </w:r>
      <w:r>
        <w:rPr>
          <w:position w:val="10"/>
          <w:sz w:val="18"/>
        </w:rPr>
        <w:t>2 </w:t>
      </w:r>
      <w:r>
        <w:rPr/>
        <w:t>К/Вт, що практично удвічі менше нормативного</w:t>
      </w:r>
      <w:r>
        <w:rPr>
          <w:spacing w:val="-5"/>
        </w:rPr>
        <w:t> </w:t>
      </w:r>
      <w:r>
        <w:rPr/>
        <w:t>(0,6</w:t>
      </w:r>
      <w:r>
        <w:rPr>
          <w:spacing w:val="-4"/>
        </w:rPr>
        <w:t> </w:t>
      </w:r>
      <w:r>
        <w:rPr/>
        <w:t>м</w:t>
      </w:r>
      <w:r>
        <w:rPr>
          <w:position w:val="10"/>
          <w:sz w:val="18"/>
        </w:rPr>
        <w:t>2</w:t>
      </w:r>
      <w:r>
        <w:rPr/>
        <w:t>К/Вт)</w:t>
      </w:r>
      <w:r>
        <w:rPr>
          <w:spacing w:val="-6"/>
        </w:rPr>
        <w:t> </w:t>
      </w:r>
      <w:r>
        <w:rPr/>
        <w:t>та</w:t>
      </w:r>
      <w:r>
        <w:rPr>
          <w:spacing w:val="-1"/>
        </w:rPr>
        <w:t> </w:t>
      </w:r>
      <w:r>
        <w:rPr/>
        <w:t>на</w:t>
      </w:r>
      <w:r>
        <w:rPr>
          <w:spacing w:val="-4"/>
        </w:rPr>
        <w:t> </w:t>
      </w:r>
      <w:r>
        <w:rPr/>
        <w:t>23</w:t>
      </w:r>
      <w:r>
        <w:rPr>
          <w:spacing w:val="-5"/>
        </w:rPr>
        <w:t> </w:t>
      </w:r>
      <w:r>
        <w:rPr/>
        <w:t>%</w:t>
      </w:r>
      <w:r>
        <w:rPr>
          <w:spacing w:val="-10"/>
        </w:rPr>
        <w:t> </w:t>
      </w:r>
      <w:r>
        <w:rPr/>
        <w:t>менше</w:t>
      </w:r>
      <w:r>
        <w:rPr>
          <w:spacing w:val="-4"/>
        </w:rPr>
        <w:t> </w:t>
      </w:r>
      <w:r>
        <w:rPr/>
        <w:t>за</w:t>
      </w:r>
      <w:r>
        <w:rPr>
          <w:spacing w:val="-7"/>
        </w:rPr>
        <w:t> </w:t>
      </w:r>
      <w:r>
        <w:rPr/>
        <w:t>термічний</w:t>
      </w:r>
      <w:r>
        <w:rPr>
          <w:spacing w:val="-5"/>
        </w:rPr>
        <w:t> </w:t>
      </w:r>
      <w:r>
        <w:rPr/>
        <w:t>опір</w:t>
      </w:r>
      <w:r>
        <w:rPr>
          <w:spacing w:val="-5"/>
        </w:rPr>
        <w:t> </w:t>
      </w:r>
      <w:r>
        <w:rPr/>
        <w:t>«холодних»</w:t>
      </w:r>
      <w:r>
        <w:rPr>
          <w:spacing w:val="-8"/>
        </w:rPr>
        <w:t> </w:t>
      </w:r>
      <w:r>
        <w:rPr/>
        <w:t>стін. Аналіз щомісячних витрат теплоти на опалення (рис. 8) і споживання електроенергії (рис. 9) показує чіткий зв'язок між</w:t>
      </w:r>
      <w:r>
        <w:rPr>
          <w:spacing w:val="2"/>
        </w:rPr>
        <w:t> </w:t>
      </w:r>
      <w:r>
        <w:rPr/>
        <w:t>ними.</w:t>
      </w:r>
    </w:p>
    <w:p>
      <w:pPr>
        <w:spacing w:after="0" w:line="237" w:lineRule="auto"/>
        <w:sectPr>
          <w:pgSz w:w="11910" w:h="16840"/>
          <w:pgMar w:header="713" w:footer="778" w:top="1140" w:bottom="960" w:left="940" w:right="520"/>
        </w:sectPr>
      </w:pPr>
    </w:p>
    <w:p>
      <w:pPr>
        <w:pStyle w:val="BodyText"/>
        <w:ind w:left="0"/>
        <w:jc w:val="left"/>
        <w:rPr>
          <w:sz w:val="20"/>
        </w:rPr>
      </w:pPr>
    </w:p>
    <w:p>
      <w:pPr>
        <w:pStyle w:val="BodyText"/>
        <w:spacing w:before="4"/>
        <w:ind w:left="0"/>
        <w:jc w:val="left"/>
        <w:rPr>
          <w:sz w:val="25"/>
        </w:rPr>
      </w:pPr>
    </w:p>
    <w:p>
      <w:pPr>
        <w:pStyle w:val="BodyText"/>
        <w:ind w:left="1205"/>
        <w:jc w:val="left"/>
        <w:rPr>
          <w:sz w:val="20"/>
        </w:rPr>
      </w:pPr>
      <w:r>
        <w:rPr>
          <w:sz w:val="20"/>
        </w:rPr>
        <w:drawing>
          <wp:inline distT="0" distB="0" distL="0" distR="0">
            <wp:extent cx="5419288" cy="1883664"/>
            <wp:effectExtent l="0" t="0" r="0" b="0"/>
            <wp:docPr id="45" name="image77.png"/>
            <wp:cNvGraphicFramePr>
              <a:graphicFrameLocks noChangeAspect="1"/>
            </wp:cNvGraphicFramePr>
            <a:graphic>
              <a:graphicData uri="http://schemas.openxmlformats.org/drawingml/2006/picture">
                <pic:pic>
                  <pic:nvPicPr>
                    <pic:cNvPr id="46" name="image77.png"/>
                    <pic:cNvPicPr/>
                  </pic:nvPicPr>
                  <pic:blipFill>
                    <a:blip r:embed="rId126" cstate="print"/>
                    <a:stretch>
                      <a:fillRect/>
                    </a:stretch>
                  </pic:blipFill>
                  <pic:spPr>
                    <a:xfrm>
                      <a:off x="0" y="0"/>
                      <a:ext cx="5419288" cy="1883664"/>
                    </a:xfrm>
                    <a:prstGeom prst="rect">
                      <a:avLst/>
                    </a:prstGeom>
                  </pic:spPr>
                </pic:pic>
              </a:graphicData>
            </a:graphic>
          </wp:inline>
        </w:drawing>
      </w:r>
      <w:r>
        <w:rPr>
          <w:sz w:val="20"/>
        </w:rPr>
      </w:r>
    </w:p>
    <w:p>
      <w:pPr>
        <w:pStyle w:val="BodyText"/>
        <w:spacing w:before="2"/>
        <w:ind w:left="0"/>
        <w:jc w:val="left"/>
        <w:rPr>
          <w:sz w:val="25"/>
        </w:rPr>
      </w:pPr>
    </w:p>
    <w:p>
      <w:pPr>
        <w:pStyle w:val="BodyText"/>
        <w:spacing w:before="87"/>
        <w:ind w:left="172" w:right="603"/>
        <w:jc w:val="center"/>
      </w:pPr>
      <w:r>
        <w:rPr>
          <w:b/>
        </w:rPr>
        <w:t>Рис. 8. </w:t>
      </w:r>
      <w:r>
        <w:rPr/>
        <w:t>Щомісячні витрати теплоенергії у 2017 р.</w:t>
      </w:r>
    </w:p>
    <w:p>
      <w:pPr>
        <w:pStyle w:val="BodyText"/>
        <w:spacing w:before="3"/>
        <w:ind w:left="0"/>
        <w:jc w:val="left"/>
        <w:rPr>
          <w:sz w:val="22"/>
        </w:rPr>
      </w:pPr>
      <w:r>
        <w:rPr/>
        <w:drawing>
          <wp:anchor distT="0" distB="0" distL="0" distR="0" allowOverlap="1" layoutInCell="1" locked="0" behindDoc="0" simplePos="0" relativeHeight="102">
            <wp:simplePos x="0" y="0"/>
            <wp:positionH relativeFrom="page">
              <wp:posOffset>1325658</wp:posOffset>
            </wp:positionH>
            <wp:positionV relativeFrom="paragraph">
              <wp:posOffset>187440</wp:posOffset>
            </wp:positionV>
            <wp:extent cx="5425158" cy="2371344"/>
            <wp:effectExtent l="0" t="0" r="0" b="0"/>
            <wp:wrapTopAndBottom/>
            <wp:docPr id="47" name="image78.png"/>
            <wp:cNvGraphicFramePr>
              <a:graphicFrameLocks noChangeAspect="1"/>
            </wp:cNvGraphicFramePr>
            <a:graphic>
              <a:graphicData uri="http://schemas.openxmlformats.org/drawingml/2006/picture">
                <pic:pic>
                  <pic:nvPicPr>
                    <pic:cNvPr id="48" name="image78.png"/>
                    <pic:cNvPicPr/>
                  </pic:nvPicPr>
                  <pic:blipFill>
                    <a:blip r:embed="rId127" cstate="print"/>
                    <a:stretch>
                      <a:fillRect/>
                    </a:stretch>
                  </pic:blipFill>
                  <pic:spPr>
                    <a:xfrm>
                      <a:off x="0" y="0"/>
                      <a:ext cx="5425158" cy="2371344"/>
                    </a:xfrm>
                    <a:prstGeom prst="rect">
                      <a:avLst/>
                    </a:prstGeom>
                  </pic:spPr>
                </pic:pic>
              </a:graphicData>
            </a:graphic>
          </wp:anchor>
        </w:drawing>
      </w:r>
    </w:p>
    <w:p>
      <w:pPr>
        <w:pStyle w:val="BodyText"/>
        <w:spacing w:before="8"/>
        <w:ind w:left="0"/>
        <w:jc w:val="left"/>
      </w:pPr>
    </w:p>
    <w:p>
      <w:pPr>
        <w:pStyle w:val="BodyText"/>
        <w:ind w:left="172" w:right="603"/>
        <w:jc w:val="center"/>
      </w:pPr>
      <w:r>
        <w:rPr>
          <w:b/>
        </w:rPr>
        <w:t>Рис. 9. </w:t>
      </w:r>
      <w:r>
        <w:rPr/>
        <w:t>Щомісячні витрати електроенергії у 2017 р.</w:t>
      </w:r>
    </w:p>
    <w:p>
      <w:pPr>
        <w:pStyle w:val="BodyText"/>
        <w:spacing w:before="4"/>
        <w:ind w:left="0"/>
        <w:jc w:val="left"/>
      </w:pPr>
    </w:p>
    <w:p>
      <w:pPr>
        <w:pStyle w:val="BodyText"/>
        <w:tabs>
          <w:tab w:pos="937" w:val="left" w:leader="none"/>
          <w:tab w:pos="1833" w:val="left" w:leader="none"/>
          <w:tab w:pos="2347" w:val="left" w:leader="none"/>
          <w:tab w:pos="2984" w:val="left" w:leader="none"/>
          <w:tab w:pos="3934" w:val="left" w:leader="none"/>
          <w:tab w:pos="4356" w:val="left" w:leader="none"/>
          <w:tab w:pos="4845" w:val="left" w:leader="none"/>
          <w:tab w:pos="4912" w:val="left" w:leader="none"/>
          <w:tab w:pos="5733" w:val="left" w:leader="none"/>
          <w:tab w:pos="6955" w:val="left" w:leader="none"/>
          <w:tab w:pos="7013" w:val="left" w:leader="none"/>
          <w:tab w:pos="8600" w:val="left" w:leader="none"/>
          <w:tab w:pos="8672" w:val="left" w:leader="none"/>
        </w:tabs>
        <w:ind w:right="612" w:firstLine="710"/>
        <w:jc w:val="right"/>
      </w:pPr>
      <w:r>
        <w:rPr/>
        <w:t>Таким</w:t>
      </w:r>
      <w:r>
        <w:rPr>
          <w:spacing w:val="34"/>
        </w:rPr>
        <w:t> </w:t>
      </w:r>
      <w:r>
        <w:rPr/>
        <w:t>чином,</w:t>
      </w:r>
      <w:r>
        <w:rPr>
          <w:spacing w:val="36"/>
        </w:rPr>
        <w:t> </w:t>
      </w:r>
      <w:r>
        <w:rPr/>
        <w:t>якщо</w:t>
      </w:r>
      <w:r>
        <w:rPr>
          <w:spacing w:val="33"/>
        </w:rPr>
        <w:t> </w:t>
      </w:r>
      <w:r>
        <w:rPr/>
        <w:t>подача</w:t>
      </w:r>
      <w:r>
        <w:rPr>
          <w:spacing w:val="35"/>
        </w:rPr>
        <w:t> </w:t>
      </w:r>
      <w:r>
        <w:rPr/>
        <w:t>теплоносія</w:t>
      </w:r>
      <w:r>
        <w:rPr>
          <w:spacing w:val="34"/>
        </w:rPr>
        <w:t> </w:t>
      </w:r>
      <w:r>
        <w:rPr/>
        <w:t>у</w:t>
      </w:r>
      <w:r>
        <w:rPr>
          <w:spacing w:val="29"/>
        </w:rPr>
        <w:t> </w:t>
      </w:r>
      <w:r>
        <w:rPr/>
        <w:t>мережу</w:t>
      </w:r>
      <w:r>
        <w:rPr>
          <w:spacing w:val="29"/>
        </w:rPr>
        <w:t> </w:t>
      </w:r>
      <w:r>
        <w:rPr/>
        <w:t>опалення</w:t>
      </w:r>
      <w:r>
        <w:rPr>
          <w:spacing w:val="34"/>
        </w:rPr>
        <w:t> </w:t>
      </w:r>
      <w:r>
        <w:rPr/>
        <w:t>затримується</w:t>
      </w:r>
      <w:r>
        <w:rPr>
          <w:w w:val="99"/>
        </w:rPr>
        <w:t> </w:t>
      </w:r>
      <w:r>
        <w:rPr/>
        <w:t>або припиняється раніше, тоді стрімко зростає споживання</w:t>
      </w:r>
      <w:r>
        <w:rPr>
          <w:spacing w:val="25"/>
        </w:rPr>
        <w:t> </w:t>
      </w:r>
      <w:r>
        <w:rPr/>
        <w:t>електричної</w:t>
      </w:r>
      <w:r>
        <w:rPr>
          <w:spacing w:val="-1"/>
        </w:rPr>
        <w:t> </w:t>
      </w:r>
      <w:r>
        <w:rPr/>
        <w:t>енергії.</w:t>
      </w:r>
      <w:r>
        <w:rPr>
          <w:w w:val="99"/>
        </w:rPr>
        <w:t> </w:t>
      </w:r>
      <w:r>
        <w:rPr/>
        <w:t>Такими</w:t>
      </w:r>
      <w:r>
        <w:rPr>
          <w:spacing w:val="-5"/>
        </w:rPr>
        <w:t> </w:t>
      </w:r>
      <w:r>
        <w:rPr/>
        <w:t>критичними</w:t>
      </w:r>
      <w:r>
        <w:rPr>
          <w:spacing w:val="-5"/>
        </w:rPr>
        <w:t> </w:t>
      </w:r>
      <w:r>
        <w:rPr/>
        <w:t>місяцями</w:t>
      </w:r>
      <w:r>
        <w:rPr>
          <w:spacing w:val="-5"/>
        </w:rPr>
        <w:t> </w:t>
      </w:r>
      <w:r>
        <w:rPr/>
        <w:t>є</w:t>
      </w:r>
      <w:r>
        <w:rPr>
          <w:spacing w:val="-4"/>
        </w:rPr>
        <w:t> </w:t>
      </w:r>
      <w:r>
        <w:rPr/>
        <w:t>березень</w:t>
      </w:r>
      <w:r>
        <w:rPr>
          <w:spacing w:val="-6"/>
        </w:rPr>
        <w:t> </w:t>
      </w:r>
      <w:r>
        <w:rPr/>
        <w:t>і</w:t>
      </w:r>
      <w:r>
        <w:rPr>
          <w:spacing w:val="-10"/>
        </w:rPr>
        <w:t> </w:t>
      </w:r>
      <w:r>
        <w:rPr/>
        <w:t>квітень</w:t>
      </w:r>
      <w:r>
        <w:rPr>
          <w:spacing w:val="-6"/>
        </w:rPr>
        <w:t> </w:t>
      </w:r>
      <w:r>
        <w:rPr/>
        <w:t>весною</w:t>
      </w:r>
      <w:r>
        <w:rPr>
          <w:spacing w:val="-6"/>
        </w:rPr>
        <w:t> </w:t>
      </w:r>
      <w:r>
        <w:rPr/>
        <w:t>та</w:t>
      </w:r>
      <w:r>
        <w:rPr>
          <w:spacing w:val="-4"/>
        </w:rPr>
        <w:t> </w:t>
      </w:r>
      <w:r>
        <w:rPr/>
        <w:t>жовтень</w:t>
      </w:r>
      <w:r>
        <w:rPr>
          <w:spacing w:val="-2"/>
        </w:rPr>
        <w:t> </w:t>
      </w:r>
      <w:r>
        <w:rPr/>
        <w:t>і</w:t>
      </w:r>
      <w:r>
        <w:rPr>
          <w:spacing w:val="-9"/>
        </w:rPr>
        <w:t> </w:t>
      </w:r>
      <w:r>
        <w:rPr/>
        <w:t>листопад</w:t>
      </w:r>
      <w:r>
        <w:rPr>
          <w:w w:val="99"/>
        </w:rPr>
        <w:t> </w:t>
      </w:r>
      <w:r>
        <w:rPr/>
        <w:t>восени. </w:t>
      </w:r>
      <w:r>
        <w:rPr>
          <w:spacing w:val="-3"/>
        </w:rPr>
        <w:t>Це </w:t>
      </w:r>
      <w:r>
        <w:rPr/>
        <w:t>легко пояснюється вмиканням електричних обігрівачів.</w:t>
      </w:r>
      <w:r>
        <w:rPr>
          <w:spacing w:val="55"/>
        </w:rPr>
        <w:t> </w:t>
      </w:r>
      <w:r>
        <w:rPr/>
        <w:t>З</w:t>
      </w:r>
      <w:r>
        <w:rPr>
          <w:spacing w:val="6"/>
        </w:rPr>
        <w:t> </w:t>
      </w:r>
      <w:r>
        <w:rPr/>
        <w:t>цього</w:t>
      </w:r>
      <w:r>
        <w:rPr>
          <w:w w:val="99"/>
        </w:rPr>
        <w:t> </w:t>
      </w:r>
      <w:r>
        <w:rPr/>
        <w:t>припустимо</w:t>
        <w:tab/>
        <w:t>зробити</w:t>
        <w:tab/>
        <w:t>висновок,</w:t>
        <w:tab/>
        <w:t>що</w:t>
        <w:tab/>
        <w:tab/>
        <w:t>якщо</w:t>
        <w:tab/>
        <w:t>вдасться</w:t>
        <w:tab/>
        <w:t>забезпечити</w:t>
        <w:tab/>
      </w:r>
      <w:r>
        <w:rPr>
          <w:w w:val="95"/>
        </w:rPr>
        <w:t>відповідні </w:t>
      </w:r>
      <w:r>
        <w:rPr/>
        <w:t>санітарно-гігієнічні умови перебування у приміщеннях ОНМУ,</w:t>
      </w:r>
      <w:r>
        <w:rPr>
          <w:spacing w:val="-21"/>
        </w:rPr>
        <w:t> </w:t>
      </w:r>
      <w:r>
        <w:rPr/>
        <w:t>тоді</w:t>
      </w:r>
      <w:r>
        <w:rPr>
          <w:spacing w:val="37"/>
        </w:rPr>
        <w:t> </w:t>
      </w:r>
      <w:r>
        <w:rPr/>
        <w:t>можливо</w:t>
      </w:r>
      <w:r>
        <w:rPr>
          <w:w w:val="99"/>
        </w:rPr>
        <w:t> </w:t>
      </w:r>
      <w:r>
        <w:rPr/>
        <w:t>буде отримати економію споживання не тільки теплової, а і</w:t>
      </w:r>
      <w:r>
        <w:rPr>
          <w:spacing w:val="-46"/>
        </w:rPr>
        <w:t> </w:t>
      </w:r>
      <w:r>
        <w:rPr/>
        <w:t>електричної</w:t>
      </w:r>
      <w:r>
        <w:rPr>
          <w:spacing w:val="-9"/>
        </w:rPr>
        <w:t> </w:t>
      </w:r>
      <w:r>
        <w:rPr/>
        <w:t>енергії.</w:t>
      </w:r>
      <w:r>
        <w:rPr>
          <w:w w:val="99"/>
        </w:rPr>
        <w:t> </w:t>
      </w:r>
      <w:r>
        <w:rPr>
          <w:b/>
        </w:rPr>
        <w:t>Результати досліджень. </w:t>
      </w:r>
      <w:r>
        <w:rPr/>
        <w:t>Тепловтрати приміщень у житлових</w:t>
      </w:r>
      <w:r>
        <w:rPr>
          <w:spacing w:val="49"/>
        </w:rPr>
        <w:t> </w:t>
      </w:r>
      <w:r>
        <w:rPr/>
        <w:t>і</w:t>
      </w:r>
      <w:r>
        <w:rPr>
          <w:spacing w:val="3"/>
        </w:rPr>
        <w:t> </w:t>
      </w:r>
      <w:r>
        <w:rPr/>
        <w:t>цивільних</w:t>
      </w:r>
      <w:r>
        <w:rPr>
          <w:w w:val="99"/>
        </w:rPr>
        <w:t> </w:t>
      </w:r>
      <w:r>
        <w:rPr/>
        <w:t>будівлях складаються з тепловтрат через зовнішні захищення</w:t>
      </w:r>
      <w:r>
        <w:rPr>
          <w:spacing w:val="22"/>
        </w:rPr>
        <w:t> </w:t>
      </w:r>
      <w:r>
        <w:rPr/>
        <w:t>(стіни,</w:t>
      </w:r>
      <w:r>
        <w:rPr>
          <w:spacing w:val="6"/>
        </w:rPr>
        <w:t> </w:t>
      </w:r>
      <w:r>
        <w:rPr/>
        <w:t>вікна,</w:t>
      </w:r>
      <w:r>
        <w:rPr>
          <w:w w:val="99"/>
        </w:rPr>
        <w:t> </w:t>
      </w:r>
      <w:r>
        <w:rPr/>
        <w:t>підлоги, перекриття) і витрат теплоти на нагрівання повітря,</w:t>
      </w:r>
      <w:r>
        <w:rPr>
          <w:spacing w:val="54"/>
        </w:rPr>
        <w:t> </w:t>
      </w:r>
      <w:r>
        <w:rPr/>
        <w:t>що</w:t>
      </w:r>
      <w:r>
        <w:rPr>
          <w:spacing w:val="7"/>
        </w:rPr>
        <w:t> </w:t>
      </w:r>
      <w:r>
        <w:rPr/>
        <w:t>інфільтрується</w:t>
      </w:r>
      <w:r>
        <w:rPr>
          <w:w w:val="99"/>
        </w:rPr>
        <w:t> </w:t>
      </w:r>
      <w:r>
        <w:rPr/>
        <w:t>в приміщення через нещільність в конструкціях. У</w:t>
      </w:r>
      <w:r>
        <w:rPr>
          <w:spacing w:val="34"/>
        </w:rPr>
        <w:t> </w:t>
      </w:r>
      <w:r>
        <w:rPr/>
        <w:t>промислових</w:t>
      </w:r>
      <w:r>
        <w:rPr>
          <w:spacing w:val="20"/>
        </w:rPr>
        <w:t> </w:t>
      </w:r>
      <w:r>
        <w:rPr/>
        <w:t>будівлях</w:t>
      </w:r>
      <w:r>
        <w:rPr>
          <w:w w:val="99"/>
        </w:rPr>
        <w:t> </w:t>
      </w:r>
      <w:r>
        <w:rPr/>
        <w:t>враховують</w:t>
      </w:r>
      <w:r>
        <w:rPr>
          <w:spacing w:val="-9"/>
        </w:rPr>
        <w:t> </w:t>
      </w:r>
      <w:r>
        <w:rPr/>
        <w:t>і</w:t>
      </w:r>
      <w:r>
        <w:rPr>
          <w:spacing w:val="-10"/>
        </w:rPr>
        <w:t> </w:t>
      </w:r>
      <w:r>
        <w:rPr/>
        <w:t>інші</w:t>
      </w:r>
      <w:r>
        <w:rPr>
          <w:spacing w:val="-16"/>
        </w:rPr>
        <w:t> </w:t>
      </w:r>
      <w:r>
        <w:rPr/>
        <w:t>втрати</w:t>
      </w:r>
      <w:r>
        <w:rPr>
          <w:spacing w:val="-10"/>
        </w:rPr>
        <w:t> </w:t>
      </w:r>
      <w:r>
        <w:rPr/>
        <w:t>теплоти.</w:t>
      </w:r>
      <w:r>
        <w:rPr>
          <w:spacing w:val="-8"/>
        </w:rPr>
        <w:t> </w:t>
      </w:r>
      <w:r>
        <w:rPr/>
        <w:t>Таким</w:t>
      </w:r>
      <w:r>
        <w:rPr>
          <w:spacing w:val="-5"/>
        </w:rPr>
        <w:t> </w:t>
      </w:r>
      <w:r>
        <w:rPr/>
        <w:t>чином,</w:t>
      </w:r>
      <w:r>
        <w:rPr>
          <w:spacing w:val="-8"/>
        </w:rPr>
        <w:t> </w:t>
      </w:r>
      <w:r>
        <w:rPr/>
        <w:t>необхідно</w:t>
      </w:r>
      <w:r>
        <w:rPr>
          <w:spacing w:val="-10"/>
        </w:rPr>
        <w:t> </w:t>
      </w:r>
      <w:r>
        <w:rPr/>
        <w:t>провести</w:t>
      </w:r>
      <w:r>
        <w:rPr>
          <w:spacing w:val="-10"/>
        </w:rPr>
        <w:t> </w:t>
      </w:r>
      <w:r>
        <w:rPr/>
        <w:t>розрахунок</w:t>
      </w:r>
      <w:r>
        <w:rPr>
          <w:w w:val="99"/>
        </w:rPr>
        <w:t> </w:t>
      </w:r>
      <w:r>
        <w:rPr/>
        <w:t>шару теплової ізоляції адміністративно-аудиторного корпусу</w:t>
      </w:r>
      <w:r>
        <w:rPr>
          <w:spacing w:val="18"/>
        </w:rPr>
        <w:t> </w:t>
      </w:r>
      <w:r>
        <w:rPr/>
        <w:t>для</w:t>
      </w:r>
      <w:r>
        <w:rPr>
          <w:spacing w:val="51"/>
        </w:rPr>
        <w:t> </w:t>
      </w:r>
      <w:r>
        <w:rPr/>
        <w:t>підвищення</w:t>
      </w:r>
      <w:r>
        <w:rPr>
          <w:spacing w:val="-1"/>
          <w:w w:val="99"/>
        </w:rPr>
        <w:t> </w:t>
      </w:r>
      <w:r>
        <w:rPr/>
        <w:t>термічного</w:t>
      </w:r>
      <w:r>
        <w:rPr>
          <w:spacing w:val="-8"/>
        </w:rPr>
        <w:t> </w:t>
      </w:r>
      <w:r>
        <w:rPr/>
        <w:t>опору</w:t>
      </w:r>
      <w:r>
        <w:rPr>
          <w:spacing w:val="-13"/>
        </w:rPr>
        <w:t> </w:t>
      </w:r>
      <w:r>
        <w:rPr/>
        <w:t>стін.</w:t>
      </w:r>
      <w:r>
        <w:rPr>
          <w:spacing w:val="-6"/>
        </w:rPr>
        <w:t> </w:t>
      </w:r>
      <w:r>
        <w:rPr/>
        <w:t>Розрахунок</w:t>
      </w:r>
      <w:r>
        <w:rPr>
          <w:spacing w:val="-10"/>
        </w:rPr>
        <w:t> </w:t>
      </w:r>
      <w:r>
        <w:rPr/>
        <w:t>тепловтрат</w:t>
      </w:r>
      <w:r>
        <w:rPr>
          <w:spacing w:val="-9"/>
        </w:rPr>
        <w:t> </w:t>
      </w:r>
      <w:r>
        <w:rPr/>
        <w:t>приміщення</w:t>
      </w:r>
      <w:r>
        <w:rPr>
          <w:spacing w:val="-8"/>
        </w:rPr>
        <w:t> </w:t>
      </w:r>
      <w:r>
        <w:rPr/>
        <w:t>полягає</w:t>
      </w:r>
      <w:r>
        <w:rPr>
          <w:spacing w:val="-8"/>
        </w:rPr>
        <w:t> </w:t>
      </w:r>
      <w:r>
        <w:rPr/>
        <w:t>у</w:t>
      </w:r>
      <w:r>
        <w:rPr>
          <w:spacing w:val="-7"/>
        </w:rPr>
        <w:t> </w:t>
      </w:r>
      <w:r>
        <w:rPr/>
        <w:t>визначенні</w:t>
      </w:r>
      <w:r>
        <w:rPr>
          <w:w w:val="99"/>
        </w:rPr>
        <w:t> </w:t>
      </w:r>
      <w:r>
        <w:rPr/>
        <w:t>всіх</w:t>
        <w:tab/>
        <w:t>сумарних</w:t>
        <w:tab/>
        <w:t>тепловтрат</w:t>
        <w:tab/>
        <w:t>через</w:t>
        <w:tab/>
        <w:t>огороджувальні</w:t>
        <w:tab/>
        <w:tab/>
        <w:t>конструкції</w:t>
        <w:tab/>
        <w:tab/>
        <w:t>(зовнішні захищення)</w:t>
      </w:r>
      <w:r>
        <w:rPr>
          <w:spacing w:val="59"/>
        </w:rPr>
        <w:t> </w:t>
      </w:r>
      <w:r>
        <w:rPr/>
        <w:t>і</w:t>
      </w:r>
      <w:r>
        <w:rPr>
          <w:spacing w:val="55"/>
        </w:rPr>
        <w:t> </w:t>
      </w:r>
      <w:r>
        <w:rPr/>
        <w:t>для</w:t>
      </w:r>
      <w:r>
        <w:rPr>
          <w:spacing w:val="63"/>
        </w:rPr>
        <w:t> </w:t>
      </w:r>
      <w:r>
        <w:rPr/>
        <w:t>всіх</w:t>
      </w:r>
      <w:r>
        <w:rPr>
          <w:spacing w:val="55"/>
        </w:rPr>
        <w:t> </w:t>
      </w:r>
      <w:r>
        <w:rPr/>
        <w:t>опалювальних</w:t>
      </w:r>
      <w:r>
        <w:rPr>
          <w:spacing w:val="57"/>
        </w:rPr>
        <w:t> </w:t>
      </w:r>
      <w:r>
        <w:rPr/>
        <w:t>приміщень</w:t>
      </w:r>
      <w:r>
        <w:rPr>
          <w:spacing w:val="58"/>
        </w:rPr>
        <w:t> </w:t>
      </w:r>
      <w:r>
        <w:rPr/>
        <w:t>згідно</w:t>
      </w:r>
      <w:r>
        <w:rPr>
          <w:spacing w:val="60"/>
        </w:rPr>
        <w:t> </w:t>
      </w:r>
      <w:r>
        <w:rPr/>
        <w:t>з</w:t>
      </w:r>
      <w:r>
        <w:rPr>
          <w:spacing w:val="62"/>
        </w:rPr>
        <w:t> </w:t>
      </w:r>
      <w:r>
        <w:rPr/>
        <w:t>ДБН</w:t>
      </w:r>
      <w:r>
        <w:rPr>
          <w:spacing w:val="56"/>
        </w:rPr>
        <w:t> </w:t>
      </w:r>
      <w:r>
        <w:rPr/>
        <w:t>В.2.6–31:2016</w:t>
      </w:r>
    </w:p>
    <w:p>
      <w:pPr>
        <w:spacing w:after="0"/>
        <w:jc w:val="right"/>
        <w:sectPr>
          <w:pgSz w:w="11910" w:h="16840"/>
          <w:pgMar w:header="713" w:footer="778" w:top="1140" w:bottom="960" w:left="940" w:right="520"/>
        </w:sectPr>
      </w:pPr>
    </w:p>
    <w:p>
      <w:pPr>
        <w:pStyle w:val="BodyText"/>
        <w:spacing w:before="92"/>
        <w:ind w:right="799"/>
        <w:jc w:val="left"/>
      </w:pPr>
      <w:r>
        <w:rPr/>
        <w:t>«Теплова ізоляція будівель». Тепловтрати через огороджувальні конструкції розраховують за формулою:</w:t>
      </w:r>
    </w:p>
    <w:p>
      <w:pPr>
        <w:pStyle w:val="BodyText"/>
        <w:tabs>
          <w:tab w:pos="1479" w:val="left" w:leader="none"/>
          <w:tab w:pos="2035" w:val="left" w:leader="none"/>
          <w:tab w:pos="3010" w:val="left" w:leader="none"/>
          <w:tab w:pos="3746" w:val="left" w:leader="none"/>
          <w:tab w:pos="4545" w:val="left" w:leader="none"/>
          <w:tab w:pos="4864" w:val="left" w:leader="none"/>
          <w:tab w:pos="5224" w:val="left" w:leader="none"/>
          <w:tab w:pos="5822" w:val="left" w:leader="none"/>
          <w:tab w:pos="6926" w:val="left" w:leader="none"/>
          <w:tab w:pos="7332" w:val="left" w:leader="none"/>
          <w:tab w:pos="7840" w:val="left" w:leader="none"/>
          <w:tab w:pos="8490" w:val="left" w:leader="none"/>
          <w:tab w:pos="9543" w:val="left" w:leader="none"/>
        </w:tabs>
        <w:spacing w:line="237" w:lineRule="auto" w:before="2"/>
        <w:ind w:right="607" w:firstLine="5325"/>
        <w:jc w:val="right"/>
      </w:pPr>
      <w:r>
        <w:rPr>
          <w:i/>
        </w:rPr>
        <w:t>Q</w:t>
      </w:r>
      <w:r>
        <w:rPr>
          <w:i/>
          <w:vertAlign w:val="subscript"/>
        </w:rPr>
        <w:t>огр</w:t>
      </w:r>
      <w:r>
        <w:rPr>
          <w:i/>
          <w:vertAlign w:val="baseline"/>
        </w:rPr>
        <w:t> = F ( t</w:t>
      </w:r>
      <w:r>
        <w:rPr>
          <w:i/>
          <w:vertAlign w:val="subscript"/>
        </w:rPr>
        <w:t>вн</w:t>
      </w:r>
      <w:r>
        <w:rPr>
          <w:i/>
          <w:vertAlign w:val="baseline"/>
        </w:rPr>
        <w:t> – t</w:t>
      </w:r>
      <w:r>
        <w:rPr>
          <w:i/>
          <w:vertAlign w:val="subscript"/>
        </w:rPr>
        <w:t>зБ</w:t>
      </w:r>
      <w:r>
        <w:rPr>
          <w:i/>
          <w:vertAlign w:val="baseline"/>
        </w:rPr>
        <w:t>) </w:t>
      </w:r>
      <w:r>
        <w:rPr>
          <w:i/>
          <w:spacing w:val="-4"/>
          <w:vertAlign w:val="baseline"/>
        </w:rPr>
        <w:t>(1 </w:t>
      </w:r>
      <w:r>
        <w:rPr>
          <w:i/>
          <w:vertAlign w:val="baseline"/>
        </w:rPr>
        <w:t>+ Σ β ) n /</w:t>
      </w:r>
      <w:r>
        <w:rPr>
          <w:i/>
          <w:spacing w:val="22"/>
          <w:vertAlign w:val="baseline"/>
        </w:rPr>
        <w:t> </w:t>
      </w:r>
      <w:r>
        <w:rPr>
          <w:i/>
          <w:vertAlign w:val="baseline"/>
        </w:rPr>
        <w:t>R</w:t>
      </w:r>
      <w:r>
        <w:rPr>
          <w:i/>
          <w:vertAlign w:val="subscript"/>
        </w:rPr>
        <w:t>о</w:t>
      </w:r>
      <w:r>
        <w:rPr>
          <w:i/>
          <w:spacing w:val="3"/>
          <w:vertAlign w:val="baseline"/>
        </w:rPr>
        <w:t> </w:t>
      </w:r>
      <w:r>
        <w:rPr>
          <w:spacing w:val="-20"/>
          <w:vertAlign w:val="baseline"/>
        </w:rPr>
        <w:t>(1)</w:t>
      </w:r>
      <w:r>
        <w:rPr>
          <w:w w:val="99"/>
          <w:vertAlign w:val="baseline"/>
        </w:rPr>
        <w:t> </w:t>
      </w:r>
      <w:r>
        <w:rPr>
          <w:vertAlign w:val="baseline"/>
        </w:rPr>
        <w:t>де </w:t>
      </w:r>
      <w:r>
        <w:rPr>
          <w:i/>
          <w:vertAlign w:val="baseline"/>
        </w:rPr>
        <w:t>F </w:t>
      </w:r>
      <w:r>
        <w:rPr>
          <w:vertAlign w:val="baseline"/>
        </w:rPr>
        <w:t>– розрахункова площа огороджувальної конструкції, </w:t>
      </w:r>
      <w:r>
        <w:rPr>
          <w:spacing w:val="3"/>
          <w:vertAlign w:val="baseline"/>
        </w:rPr>
        <w:t>м</w:t>
      </w:r>
      <w:r>
        <w:rPr>
          <w:spacing w:val="3"/>
          <w:position w:val="10"/>
          <w:sz w:val="18"/>
          <w:vertAlign w:val="baseline"/>
        </w:rPr>
        <w:t>2</w:t>
      </w:r>
      <w:r>
        <w:rPr>
          <w:spacing w:val="3"/>
          <w:vertAlign w:val="baseline"/>
        </w:rPr>
        <w:t>;</w:t>
      </w:r>
      <w:r>
        <w:rPr>
          <w:spacing w:val="45"/>
          <w:vertAlign w:val="baseline"/>
        </w:rPr>
        <w:t> </w:t>
      </w:r>
      <w:r>
        <w:rPr>
          <w:i/>
          <w:vertAlign w:val="baseline"/>
        </w:rPr>
        <w:t>t</w:t>
      </w:r>
      <w:r>
        <w:rPr>
          <w:i/>
          <w:vertAlign w:val="subscript"/>
        </w:rPr>
        <w:t>вн</w:t>
      </w:r>
      <w:r>
        <w:rPr>
          <w:i/>
          <w:spacing w:val="51"/>
          <w:vertAlign w:val="baseline"/>
        </w:rPr>
        <w:t> </w:t>
      </w:r>
      <w:r>
        <w:rPr>
          <w:vertAlign w:val="baseline"/>
        </w:rPr>
        <w:t>–</w:t>
      </w:r>
      <w:r>
        <w:rPr>
          <w:w w:val="99"/>
          <w:vertAlign w:val="baseline"/>
        </w:rPr>
        <w:t> </w:t>
      </w:r>
      <w:r>
        <w:rPr>
          <w:vertAlign w:val="baseline"/>
        </w:rPr>
        <w:t>розрахункова</w:t>
        <w:tab/>
        <w:t>температура</w:t>
        <w:tab/>
        <w:t>повітря</w:t>
        <w:tab/>
        <w:t>в</w:t>
        <w:tab/>
        <w:t>приміщенні,</w:t>
        <w:tab/>
        <w:t>приймаємо</w:t>
        <w:tab/>
      </w:r>
      <w:r>
        <w:rPr>
          <w:spacing w:val="-1"/>
          <w:vertAlign w:val="baseline"/>
        </w:rPr>
        <w:t>мінімально</w:t>
      </w:r>
      <w:r>
        <w:rPr>
          <w:w w:val="99"/>
          <w:vertAlign w:val="baseline"/>
        </w:rPr>
        <w:t> </w:t>
      </w:r>
      <w:r>
        <w:rPr>
          <w:vertAlign w:val="baseline"/>
        </w:rPr>
        <w:t>допустиму</w:t>
      </w:r>
      <w:r>
        <w:rPr>
          <w:spacing w:val="35"/>
          <w:vertAlign w:val="baseline"/>
        </w:rPr>
        <w:t> </w:t>
      </w:r>
      <w:r>
        <w:rPr>
          <w:vertAlign w:val="baseline"/>
        </w:rPr>
        <w:t>для</w:t>
      </w:r>
      <w:r>
        <w:rPr>
          <w:spacing w:val="42"/>
          <w:vertAlign w:val="baseline"/>
        </w:rPr>
        <w:t> </w:t>
      </w:r>
      <w:r>
        <w:rPr>
          <w:vertAlign w:val="baseline"/>
        </w:rPr>
        <w:t>холодного</w:t>
      </w:r>
      <w:r>
        <w:rPr>
          <w:spacing w:val="39"/>
          <w:vertAlign w:val="baseline"/>
        </w:rPr>
        <w:t> </w:t>
      </w:r>
      <w:r>
        <w:rPr>
          <w:vertAlign w:val="baseline"/>
        </w:rPr>
        <w:t>періоду</w:t>
      </w:r>
      <w:r>
        <w:rPr>
          <w:spacing w:val="36"/>
          <w:vertAlign w:val="baseline"/>
        </w:rPr>
        <w:t> </w:t>
      </w:r>
      <w:r>
        <w:rPr>
          <w:vertAlign w:val="baseline"/>
        </w:rPr>
        <w:t>року</w:t>
      </w:r>
      <w:r>
        <w:rPr>
          <w:spacing w:val="40"/>
          <w:vertAlign w:val="baseline"/>
        </w:rPr>
        <w:t> </w:t>
      </w:r>
      <w:r>
        <w:rPr>
          <w:vertAlign w:val="baseline"/>
        </w:rPr>
        <w:t>18</w:t>
      </w:r>
      <w:r>
        <w:rPr>
          <w:spacing w:val="9"/>
          <w:vertAlign w:val="baseline"/>
        </w:rPr>
        <w:t> </w:t>
      </w:r>
      <w:r>
        <w:rPr>
          <w:position w:val="10"/>
          <w:sz w:val="18"/>
          <w:vertAlign w:val="baseline"/>
        </w:rPr>
        <w:t>о</w:t>
      </w:r>
      <w:r>
        <w:rPr>
          <w:vertAlign w:val="baseline"/>
        </w:rPr>
        <w:t>С;</w:t>
      </w:r>
      <w:r>
        <w:rPr>
          <w:spacing w:val="41"/>
          <w:vertAlign w:val="baseline"/>
        </w:rPr>
        <w:t> </w:t>
      </w:r>
      <w:r>
        <w:rPr>
          <w:i/>
          <w:vertAlign w:val="baseline"/>
        </w:rPr>
        <w:t>t</w:t>
      </w:r>
      <w:r>
        <w:rPr>
          <w:i/>
          <w:vertAlign w:val="subscript"/>
        </w:rPr>
        <w:t>зБ</w:t>
      </w:r>
      <w:r>
        <w:rPr>
          <w:i/>
          <w:spacing w:val="39"/>
          <w:vertAlign w:val="baseline"/>
        </w:rPr>
        <w:t> </w:t>
      </w:r>
      <w:r>
        <w:rPr>
          <w:vertAlign w:val="baseline"/>
        </w:rPr>
        <w:t>–</w:t>
      </w:r>
      <w:r>
        <w:rPr>
          <w:spacing w:val="40"/>
          <w:vertAlign w:val="baseline"/>
        </w:rPr>
        <w:t> </w:t>
      </w:r>
      <w:r>
        <w:rPr>
          <w:vertAlign w:val="baseline"/>
        </w:rPr>
        <w:t>розрахункова</w:t>
      </w:r>
      <w:r>
        <w:rPr>
          <w:spacing w:val="41"/>
          <w:vertAlign w:val="baseline"/>
        </w:rPr>
        <w:t> </w:t>
      </w:r>
      <w:r>
        <w:rPr>
          <w:vertAlign w:val="baseline"/>
        </w:rPr>
        <w:t>температура</w:t>
      </w:r>
      <w:r>
        <w:rPr>
          <w:w w:val="99"/>
          <w:vertAlign w:val="baseline"/>
        </w:rPr>
        <w:t> </w:t>
      </w:r>
      <w:r>
        <w:rPr>
          <w:vertAlign w:val="baseline"/>
        </w:rPr>
        <w:t>зовнішнього</w:t>
      </w:r>
      <w:r>
        <w:rPr>
          <w:spacing w:val="17"/>
          <w:vertAlign w:val="baseline"/>
        </w:rPr>
        <w:t> </w:t>
      </w:r>
      <w:r>
        <w:rPr>
          <w:vertAlign w:val="baseline"/>
        </w:rPr>
        <w:t>повітря,</w:t>
      </w:r>
      <w:r>
        <w:rPr>
          <w:spacing w:val="20"/>
          <w:vertAlign w:val="baseline"/>
        </w:rPr>
        <w:t> </w:t>
      </w:r>
      <w:r>
        <w:rPr>
          <w:vertAlign w:val="baseline"/>
        </w:rPr>
        <w:t>для</w:t>
      </w:r>
      <w:r>
        <w:rPr>
          <w:spacing w:val="19"/>
          <w:vertAlign w:val="baseline"/>
        </w:rPr>
        <w:t> </w:t>
      </w:r>
      <w:r>
        <w:rPr>
          <w:vertAlign w:val="baseline"/>
        </w:rPr>
        <w:t>другої</w:t>
      </w:r>
      <w:r>
        <w:rPr>
          <w:spacing w:val="12"/>
          <w:vertAlign w:val="baseline"/>
        </w:rPr>
        <w:t> </w:t>
      </w:r>
      <w:r>
        <w:rPr>
          <w:vertAlign w:val="baseline"/>
        </w:rPr>
        <w:t>температурної</w:t>
      </w:r>
      <w:r>
        <w:rPr>
          <w:spacing w:val="11"/>
          <w:vertAlign w:val="baseline"/>
        </w:rPr>
        <w:t> </w:t>
      </w:r>
      <w:r>
        <w:rPr>
          <w:vertAlign w:val="baseline"/>
        </w:rPr>
        <w:t>зони</w:t>
      </w:r>
      <w:r>
        <w:rPr>
          <w:spacing w:val="17"/>
          <w:vertAlign w:val="baseline"/>
        </w:rPr>
        <w:t> </w:t>
      </w:r>
      <w:r>
        <w:rPr>
          <w:vertAlign w:val="baseline"/>
        </w:rPr>
        <w:t>тобто</w:t>
      </w:r>
      <w:r>
        <w:rPr>
          <w:spacing w:val="18"/>
          <w:vertAlign w:val="baseline"/>
        </w:rPr>
        <w:t> </w:t>
      </w:r>
      <w:r>
        <w:rPr>
          <w:vertAlign w:val="baseline"/>
        </w:rPr>
        <w:t>для</w:t>
      </w:r>
      <w:r>
        <w:rPr>
          <w:spacing w:val="19"/>
          <w:vertAlign w:val="baseline"/>
        </w:rPr>
        <w:t> </w:t>
      </w:r>
      <w:r>
        <w:rPr>
          <w:vertAlign w:val="baseline"/>
        </w:rPr>
        <w:t>міста</w:t>
      </w:r>
      <w:r>
        <w:rPr>
          <w:spacing w:val="17"/>
          <w:vertAlign w:val="baseline"/>
        </w:rPr>
        <w:t> </w:t>
      </w:r>
      <w:r>
        <w:rPr>
          <w:vertAlign w:val="baseline"/>
        </w:rPr>
        <w:t>Одеси</w:t>
      </w:r>
      <w:r>
        <w:rPr>
          <w:spacing w:val="30"/>
          <w:vertAlign w:val="baseline"/>
        </w:rPr>
        <w:t> </w:t>
      </w:r>
      <w:r>
        <w:rPr>
          <w:vertAlign w:val="baseline"/>
        </w:rPr>
        <w:t>-18</w:t>
      </w:r>
      <w:r>
        <w:rPr>
          <w:w w:val="99"/>
          <w:vertAlign w:val="baseline"/>
        </w:rPr>
        <w:t> </w:t>
      </w:r>
      <w:r>
        <w:rPr>
          <w:position w:val="10"/>
          <w:sz w:val="18"/>
          <w:vertAlign w:val="baseline"/>
        </w:rPr>
        <w:t>о</w:t>
      </w:r>
      <w:r>
        <w:rPr>
          <w:vertAlign w:val="baseline"/>
        </w:rPr>
        <w:t>С;</w:t>
      </w:r>
      <w:r>
        <w:rPr>
          <w:spacing w:val="11"/>
          <w:vertAlign w:val="baseline"/>
        </w:rPr>
        <w:t> </w:t>
      </w:r>
      <w:r>
        <w:rPr>
          <w:i/>
          <w:vertAlign w:val="baseline"/>
        </w:rPr>
        <w:t>β</w:t>
      </w:r>
      <w:r>
        <w:rPr>
          <w:i/>
          <w:spacing w:val="11"/>
          <w:vertAlign w:val="baseline"/>
        </w:rPr>
        <w:t> </w:t>
      </w:r>
      <w:r>
        <w:rPr>
          <w:vertAlign w:val="baseline"/>
        </w:rPr>
        <w:t>–</w:t>
      </w:r>
      <w:r>
        <w:rPr>
          <w:spacing w:val="11"/>
          <w:vertAlign w:val="baseline"/>
        </w:rPr>
        <w:t> </w:t>
      </w:r>
      <w:r>
        <w:rPr>
          <w:vertAlign w:val="baseline"/>
        </w:rPr>
        <w:t>додаткові</w:t>
      </w:r>
      <w:r>
        <w:rPr>
          <w:spacing w:val="6"/>
          <w:vertAlign w:val="baseline"/>
        </w:rPr>
        <w:t> </w:t>
      </w:r>
      <w:r>
        <w:rPr>
          <w:vertAlign w:val="baseline"/>
        </w:rPr>
        <w:t>тепловтрати,</w:t>
      </w:r>
      <w:r>
        <w:rPr>
          <w:spacing w:val="12"/>
          <w:vertAlign w:val="baseline"/>
        </w:rPr>
        <w:t> </w:t>
      </w:r>
      <w:r>
        <w:rPr>
          <w:vertAlign w:val="baseline"/>
        </w:rPr>
        <w:t>в</w:t>
      </w:r>
      <w:r>
        <w:rPr>
          <w:spacing w:val="9"/>
          <w:vertAlign w:val="baseline"/>
        </w:rPr>
        <w:t> </w:t>
      </w:r>
      <w:r>
        <w:rPr>
          <w:vertAlign w:val="baseline"/>
        </w:rPr>
        <w:t>частках</w:t>
      </w:r>
      <w:r>
        <w:rPr>
          <w:spacing w:val="12"/>
          <w:vertAlign w:val="baseline"/>
        </w:rPr>
        <w:t> </w:t>
      </w:r>
      <w:r>
        <w:rPr>
          <w:spacing w:val="-3"/>
          <w:vertAlign w:val="baseline"/>
        </w:rPr>
        <w:t>від</w:t>
      </w:r>
      <w:r>
        <w:rPr>
          <w:spacing w:val="13"/>
          <w:vertAlign w:val="baseline"/>
        </w:rPr>
        <w:t> </w:t>
      </w:r>
      <w:r>
        <w:rPr>
          <w:vertAlign w:val="baseline"/>
        </w:rPr>
        <w:t>основних</w:t>
      </w:r>
      <w:r>
        <w:rPr>
          <w:spacing w:val="11"/>
          <w:vertAlign w:val="baseline"/>
        </w:rPr>
        <w:t> </w:t>
      </w:r>
      <w:r>
        <w:rPr>
          <w:vertAlign w:val="baseline"/>
        </w:rPr>
        <w:t>втрат;</w:t>
      </w:r>
      <w:r>
        <w:rPr>
          <w:spacing w:val="19"/>
          <w:vertAlign w:val="baseline"/>
        </w:rPr>
        <w:t> </w:t>
      </w:r>
      <w:r>
        <w:rPr>
          <w:i/>
          <w:vertAlign w:val="baseline"/>
        </w:rPr>
        <w:t>n</w:t>
      </w:r>
      <w:r>
        <w:rPr>
          <w:i/>
          <w:spacing w:val="11"/>
          <w:vertAlign w:val="baseline"/>
        </w:rPr>
        <w:t> </w:t>
      </w:r>
      <w:r>
        <w:rPr>
          <w:vertAlign w:val="baseline"/>
        </w:rPr>
        <w:t>–</w:t>
      </w:r>
      <w:r>
        <w:rPr>
          <w:spacing w:val="11"/>
          <w:vertAlign w:val="baseline"/>
        </w:rPr>
        <w:t> </w:t>
      </w:r>
      <w:r>
        <w:rPr>
          <w:vertAlign w:val="baseline"/>
        </w:rPr>
        <w:t>коефіцієнт,</w:t>
      </w:r>
      <w:r>
        <w:rPr>
          <w:spacing w:val="13"/>
          <w:vertAlign w:val="baseline"/>
        </w:rPr>
        <w:t> </w:t>
      </w:r>
      <w:r>
        <w:rPr>
          <w:vertAlign w:val="baseline"/>
        </w:rPr>
        <w:t>що</w:t>
      </w:r>
      <w:r>
        <w:rPr>
          <w:w w:val="99"/>
          <w:vertAlign w:val="baseline"/>
        </w:rPr>
        <w:t> </w:t>
      </w:r>
      <w:r>
        <w:rPr>
          <w:vertAlign w:val="baseline"/>
        </w:rPr>
        <w:t>враховує</w:t>
        <w:tab/>
        <w:t>положення</w:t>
        <w:tab/>
        <w:t>зовнішньої</w:t>
        <w:tab/>
        <w:t>поверхні</w:t>
        <w:tab/>
        <w:t>захищення</w:t>
        <w:tab/>
        <w:t>по</w:t>
        <w:tab/>
        <w:t>відношенню</w:t>
        <w:tab/>
        <w:t>до</w:t>
      </w:r>
      <w:r>
        <w:rPr>
          <w:w w:val="99"/>
          <w:vertAlign w:val="baseline"/>
        </w:rPr>
        <w:t> </w:t>
      </w:r>
      <w:r>
        <w:rPr>
          <w:vertAlign w:val="baseline"/>
        </w:rPr>
        <w:t>зовнішнього</w:t>
      </w:r>
      <w:r>
        <w:rPr>
          <w:spacing w:val="22"/>
          <w:vertAlign w:val="baseline"/>
        </w:rPr>
        <w:t> </w:t>
      </w:r>
      <w:r>
        <w:rPr>
          <w:vertAlign w:val="baseline"/>
        </w:rPr>
        <w:t>повітря;</w:t>
      </w:r>
      <w:r>
        <w:rPr>
          <w:spacing w:val="26"/>
          <w:vertAlign w:val="baseline"/>
        </w:rPr>
        <w:t> </w:t>
      </w:r>
      <w:r>
        <w:rPr>
          <w:i/>
          <w:vertAlign w:val="baseline"/>
        </w:rPr>
        <w:t>R</w:t>
      </w:r>
      <w:r>
        <w:rPr>
          <w:i/>
          <w:vertAlign w:val="subscript"/>
        </w:rPr>
        <w:t>о</w:t>
      </w:r>
      <w:r>
        <w:rPr>
          <w:i/>
          <w:spacing w:val="24"/>
          <w:vertAlign w:val="baseline"/>
        </w:rPr>
        <w:t> </w:t>
      </w:r>
      <w:r>
        <w:rPr>
          <w:vertAlign w:val="baseline"/>
        </w:rPr>
        <w:t>–</w:t>
      </w:r>
      <w:r>
        <w:rPr>
          <w:spacing w:val="24"/>
          <w:vertAlign w:val="baseline"/>
        </w:rPr>
        <w:t> </w:t>
      </w:r>
      <w:r>
        <w:rPr>
          <w:vertAlign w:val="baseline"/>
        </w:rPr>
        <w:t>опір</w:t>
      </w:r>
      <w:r>
        <w:rPr>
          <w:spacing w:val="23"/>
          <w:vertAlign w:val="baseline"/>
        </w:rPr>
        <w:t> </w:t>
      </w:r>
      <w:r>
        <w:rPr>
          <w:vertAlign w:val="baseline"/>
        </w:rPr>
        <w:t>теплопередачі</w:t>
      </w:r>
      <w:r>
        <w:rPr>
          <w:spacing w:val="18"/>
          <w:vertAlign w:val="baseline"/>
        </w:rPr>
        <w:t> </w:t>
      </w:r>
      <w:r>
        <w:rPr>
          <w:vertAlign w:val="baseline"/>
        </w:rPr>
        <w:t>м</w:t>
      </w:r>
      <w:r>
        <w:rPr>
          <w:position w:val="10"/>
          <w:sz w:val="18"/>
          <w:vertAlign w:val="baseline"/>
        </w:rPr>
        <w:t>2</w:t>
      </w:r>
      <w:r>
        <w:rPr>
          <w:vertAlign w:val="baseline"/>
        </w:rPr>
        <w:t>К/Вт,</w:t>
      </w:r>
      <w:r>
        <w:rPr>
          <w:spacing w:val="25"/>
          <w:vertAlign w:val="baseline"/>
        </w:rPr>
        <w:t> </w:t>
      </w:r>
      <w:r>
        <w:rPr>
          <w:vertAlign w:val="baseline"/>
        </w:rPr>
        <w:t>що</w:t>
      </w:r>
      <w:r>
        <w:rPr>
          <w:spacing w:val="23"/>
          <w:vertAlign w:val="baseline"/>
        </w:rPr>
        <w:t> </w:t>
      </w:r>
      <w:r>
        <w:rPr>
          <w:vertAlign w:val="baseline"/>
        </w:rPr>
        <w:t>визначається</w:t>
      </w:r>
      <w:r>
        <w:rPr>
          <w:spacing w:val="24"/>
          <w:vertAlign w:val="baseline"/>
        </w:rPr>
        <w:t> </w:t>
      </w:r>
      <w:r>
        <w:rPr>
          <w:vertAlign w:val="baseline"/>
        </w:rPr>
        <w:t>за</w:t>
      </w:r>
    </w:p>
    <w:p>
      <w:pPr>
        <w:pStyle w:val="BodyText"/>
        <w:spacing w:line="321" w:lineRule="exact"/>
        <w:jc w:val="left"/>
      </w:pPr>
      <w:r>
        <w:rPr/>
        <w:t>формулою:</w:t>
      </w:r>
    </w:p>
    <w:p>
      <w:pPr>
        <w:pStyle w:val="BodyText"/>
        <w:tabs>
          <w:tab w:pos="1133" w:val="left" w:leader="none"/>
          <w:tab w:pos="2084" w:val="left" w:leader="none"/>
          <w:tab w:pos="2738" w:val="left" w:leader="none"/>
          <w:tab w:pos="3126" w:val="left" w:leader="none"/>
          <w:tab w:pos="3482" w:val="left" w:leader="none"/>
          <w:tab w:pos="3861" w:val="left" w:leader="none"/>
          <w:tab w:pos="4207" w:val="left" w:leader="none"/>
          <w:tab w:pos="5444" w:val="left" w:leader="none"/>
          <w:tab w:pos="6269" w:val="left" w:leader="none"/>
          <w:tab w:pos="6547" w:val="left" w:leader="none"/>
          <w:tab w:pos="8543" w:val="left" w:leader="none"/>
        </w:tabs>
        <w:spacing w:line="235" w:lineRule="auto" w:before="4"/>
        <w:ind w:right="605" w:firstLine="5166"/>
        <w:jc w:val="right"/>
      </w:pPr>
      <w:r>
        <w:rPr>
          <w:i/>
        </w:rPr>
        <w:t>R</w:t>
      </w:r>
      <w:r>
        <w:rPr>
          <w:i/>
          <w:vertAlign w:val="subscript"/>
        </w:rPr>
        <w:t>о</w:t>
      </w:r>
      <w:r>
        <w:rPr>
          <w:i/>
          <w:vertAlign w:val="baseline"/>
        </w:rPr>
        <w:t> = 1/ α</w:t>
      </w:r>
      <w:r>
        <w:rPr>
          <w:i/>
          <w:vertAlign w:val="subscript"/>
        </w:rPr>
        <w:t>в</w:t>
      </w:r>
      <w:r>
        <w:rPr>
          <w:i/>
          <w:vertAlign w:val="baseline"/>
        </w:rPr>
        <w:t> + Σ ( δ</w:t>
      </w:r>
      <w:r>
        <w:rPr>
          <w:i/>
          <w:vertAlign w:val="subscript"/>
        </w:rPr>
        <w:t>і</w:t>
      </w:r>
      <w:r>
        <w:rPr>
          <w:i/>
          <w:vertAlign w:val="baseline"/>
        </w:rPr>
        <w:t> / λ</w:t>
      </w:r>
      <w:r>
        <w:rPr>
          <w:i/>
          <w:vertAlign w:val="subscript"/>
        </w:rPr>
        <w:t>і</w:t>
      </w:r>
      <w:r>
        <w:rPr>
          <w:i/>
          <w:vertAlign w:val="baseline"/>
        </w:rPr>
        <w:t> ) + 1/ α</w:t>
      </w:r>
      <w:r>
        <w:rPr>
          <w:i/>
          <w:vertAlign w:val="subscript"/>
        </w:rPr>
        <w:t>з</w:t>
      </w:r>
      <w:r>
        <w:rPr>
          <w:i/>
          <w:vertAlign w:val="baseline"/>
        </w:rPr>
        <w:t> +</w:t>
      </w:r>
      <w:r>
        <w:rPr>
          <w:i/>
          <w:spacing w:val="14"/>
          <w:vertAlign w:val="baseline"/>
        </w:rPr>
        <w:t> </w:t>
      </w:r>
      <w:r>
        <w:rPr>
          <w:i/>
          <w:vertAlign w:val="baseline"/>
        </w:rPr>
        <w:t>R</w:t>
      </w:r>
      <w:r>
        <w:rPr>
          <w:i/>
          <w:vertAlign w:val="subscript"/>
        </w:rPr>
        <w:t>пп</w:t>
      </w:r>
      <w:r>
        <w:rPr>
          <w:i/>
          <w:spacing w:val="2"/>
          <w:vertAlign w:val="baseline"/>
        </w:rPr>
        <w:t> </w:t>
      </w:r>
      <w:r>
        <w:rPr>
          <w:spacing w:val="-18"/>
          <w:vertAlign w:val="baseline"/>
        </w:rPr>
        <w:t>(2)</w:t>
      </w:r>
      <w:r>
        <w:rPr>
          <w:w w:val="99"/>
          <w:vertAlign w:val="baseline"/>
        </w:rPr>
        <w:t> </w:t>
      </w:r>
      <w:r>
        <w:rPr>
          <w:vertAlign w:val="baseline"/>
        </w:rPr>
        <w:t>де</w:t>
      </w:r>
      <w:r>
        <w:rPr>
          <w:spacing w:val="-5"/>
          <w:vertAlign w:val="baseline"/>
        </w:rPr>
        <w:t> </w:t>
      </w:r>
      <w:r>
        <w:rPr>
          <w:i/>
          <w:vertAlign w:val="baseline"/>
        </w:rPr>
        <w:t>α</w:t>
      </w:r>
      <w:r>
        <w:rPr>
          <w:i/>
          <w:vertAlign w:val="subscript"/>
        </w:rPr>
        <w:t>в</w:t>
      </w:r>
      <w:r>
        <w:rPr>
          <w:i/>
          <w:spacing w:val="-10"/>
          <w:vertAlign w:val="baseline"/>
        </w:rPr>
        <w:t> </w:t>
      </w:r>
      <w:r>
        <w:rPr>
          <w:vertAlign w:val="baseline"/>
        </w:rPr>
        <w:t>–</w:t>
      </w:r>
      <w:r>
        <w:rPr>
          <w:spacing w:val="-7"/>
          <w:vertAlign w:val="baseline"/>
        </w:rPr>
        <w:t> </w:t>
      </w:r>
      <w:r>
        <w:rPr>
          <w:vertAlign w:val="baseline"/>
        </w:rPr>
        <w:t>коефіцієнт</w:t>
      </w:r>
      <w:r>
        <w:rPr>
          <w:spacing w:val="-8"/>
          <w:vertAlign w:val="baseline"/>
        </w:rPr>
        <w:t> </w:t>
      </w:r>
      <w:r>
        <w:rPr>
          <w:vertAlign w:val="baseline"/>
        </w:rPr>
        <w:t>тепловіддачі</w:t>
      </w:r>
      <w:r>
        <w:rPr>
          <w:spacing w:val="-13"/>
          <w:vertAlign w:val="baseline"/>
        </w:rPr>
        <w:t> </w:t>
      </w:r>
      <w:r>
        <w:rPr>
          <w:vertAlign w:val="baseline"/>
        </w:rPr>
        <w:t>внутрішньої</w:t>
      </w:r>
      <w:r>
        <w:rPr>
          <w:spacing w:val="-12"/>
          <w:vertAlign w:val="baseline"/>
        </w:rPr>
        <w:t> </w:t>
      </w:r>
      <w:r>
        <w:rPr>
          <w:vertAlign w:val="baseline"/>
        </w:rPr>
        <w:t>поверхні</w:t>
      </w:r>
      <w:r>
        <w:rPr>
          <w:spacing w:val="-13"/>
          <w:vertAlign w:val="baseline"/>
        </w:rPr>
        <w:t> </w:t>
      </w:r>
      <w:r>
        <w:rPr>
          <w:vertAlign w:val="baseline"/>
        </w:rPr>
        <w:t>захищення,</w:t>
      </w:r>
      <w:r>
        <w:rPr>
          <w:spacing w:val="-5"/>
          <w:vertAlign w:val="baseline"/>
        </w:rPr>
        <w:t> </w:t>
      </w:r>
      <w:r>
        <w:rPr>
          <w:vertAlign w:val="baseline"/>
        </w:rPr>
        <w:t>(м</w:t>
      </w:r>
      <w:r>
        <w:rPr>
          <w:position w:val="10"/>
          <w:sz w:val="18"/>
          <w:vertAlign w:val="baseline"/>
        </w:rPr>
        <w:t>2</w:t>
      </w:r>
      <w:r>
        <w:rPr>
          <w:vertAlign w:val="baseline"/>
        </w:rPr>
        <w:t>К)/Вт,</w:t>
      </w:r>
      <w:r>
        <w:rPr>
          <w:w w:val="99"/>
          <w:vertAlign w:val="baseline"/>
        </w:rPr>
        <w:t> </w:t>
      </w:r>
      <w:r>
        <w:rPr>
          <w:i/>
          <w:vertAlign w:val="baseline"/>
        </w:rPr>
        <w:t>α</w:t>
      </w:r>
      <w:r>
        <w:rPr>
          <w:i/>
          <w:vertAlign w:val="subscript"/>
        </w:rPr>
        <w:t>в</w:t>
      </w:r>
      <w:r>
        <w:rPr>
          <w:vertAlign w:val="baseline"/>
        </w:rPr>
        <w:t>=8,7</w:t>
        <w:tab/>
        <w:t>Вт/(м</w:t>
      </w:r>
      <w:r>
        <w:rPr>
          <w:position w:val="10"/>
          <w:sz w:val="18"/>
          <w:vertAlign w:val="baseline"/>
        </w:rPr>
        <w:t>2</w:t>
        <w:tab/>
      </w:r>
      <w:r>
        <w:rPr>
          <w:vertAlign w:val="baseline"/>
        </w:rPr>
        <w:t>·К);</w:t>
        <w:tab/>
      </w:r>
      <w:r>
        <w:rPr>
          <w:i/>
          <w:vertAlign w:val="baseline"/>
        </w:rPr>
        <w:t>δ</w:t>
      </w:r>
      <w:r>
        <w:rPr>
          <w:i/>
          <w:vertAlign w:val="subscript"/>
        </w:rPr>
        <w:t>і</w:t>
      </w:r>
      <w:r>
        <w:rPr>
          <w:i/>
          <w:vertAlign w:val="baseline"/>
        </w:rPr>
        <w:tab/>
      </w:r>
      <w:r>
        <w:rPr>
          <w:vertAlign w:val="baseline"/>
        </w:rPr>
        <w:t>и</w:t>
        <w:tab/>
      </w:r>
      <w:r>
        <w:rPr>
          <w:i/>
          <w:vertAlign w:val="baseline"/>
        </w:rPr>
        <w:t>λ</w:t>
      </w:r>
      <w:r>
        <w:rPr>
          <w:i/>
          <w:vertAlign w:val="subscript"/>
        </w:rPr>
        <w:t>і</w:t>
      </w:r>
      <w:r>
        <w:rPr>
          <w:i/>
          <w:vertAlign w:val="baseline"/>
        </w:rPr>
        <w:tab/>
      </w:r>
      <w:r>
        <w:rPr>
          <w:vertAlign w:val="baseline"/>
        </w:rPr>
        <w:t>–</w:t>
        <w:tab/>
        <w:t>товщина</w:t>
        <w:tab/>
        <w:t>шару</w:t>
        <w:tab/>
        <w:t>і</w:t>
        <w:tab/>
        <w:t>розрахунковий</w:t>
        <w:tab/>
      </w:r>
      <w:r>
        <w:rPr>
          <w:w w:val="95"/>
          <w:vertAlign w:val="baseline"/>
        </w:rPr>
        <w:t>коефіцієнт </w:t>
      </w:r>
      <w:r>
        <w:rPr>
          <w:vertAlign w:val="baseline"/>
        </w:rPr>
        <w:t>теплопровідності матеріалу шару конструкції; </w:t>
      </w:r>
      <w:r>
        <w:rPr>
          <w:i/>
          <w:vertAlign w:val="baseline"/>
        </w:rPr>
        <w:t>α</w:t>
      </w:r>
      <w:r>
        <w:rPr>
          <w:i/>
          <w:vertAlign w:val="subscript"/>
        </w:rPr>
        <w:t>з</w:t>
      </w:r>
      <w:r>
        <w:rPr>
          <w:i/>
          <w:vertAlign w:val="baseline"/>
        </w:rPr>
        <w:t> </w:t>
      </w:r>
      <w:r>
        <w:rPr>
          <w:vertAlign w:val="baseline"/>
        </w:rPr>
        <w:t>–</w:t>
      </w:r>
      <w:r>
        <w:rPr>
          <w:spacing w:val="47"/>
          <w:vertAlign w:val="baseline"/>
        </w:rPr>
        <w:t> </w:t>
      </w:r>
      <w:r>
        <w:rPr>
          <w:vertAlign w:val="baseline"/>
        </w:rPr>
        <w:t>коефіцієнт</w:t>
      </w:r>
      <w:r>
        <w:rPr>
          <w:spacing w:val="19"/>
          <w:vertAlign w:val="baseline"/>
        </w:rPr>
        <w:t> </w:t>
      </w:r>
      <w:r>
        <w:rPr>
          <w:vertAlign w:val="baseline"/>
        </w:rPr>
        <w:t>тепловіддачі</w:t>
      </w:r>
      <w:r>
        <w:rPr>
          <w:w w:val="99"/>
          <w:vertAlign w:val="baseline"/>
        </w:rPr>
        <w:t> </w:t>
      </w:r>
      <w:r>
        <w:rPr>
          <w:vertAlign w:val="baseline"/>
        </w:rPr>
        <w:t>зовнішньої поверхні захищення, (м</w:t>
      </w:r>
      <w:r>
        <w:rPr>
          <w:position w:val="10"/>
          <w:sz w:val="18"/>
          <w:vertAlign w:val="baseline"/>
        </w:rPr>
        <w:t>2</w:t>
      </w:r>
      <w:r>
        <w:rPr>
          <w:vertAlign w:val="baseline"/>
        </w:rPr>
        <w:t>К)/Вт, </w:t>
      </w:r>
      <w:r>
        <w:rPr>
          <w:i/>
          <w:vertAlign w:val="baseline"/>
        </w:rPr>
        <w:t>α</w:t>
      </w:r>
      <w:r>
        <w:rPr>
          <w:i/>
          <w:vertAlign w:val="subscript"/>
        </w:rPr>
        <w:t>з</w:t>
      </w:r>
      <w:r>
        <w:rPr>
          <w:vertAlign w:val="baseline"/>
        </w:rPr>
        <w:t>=23 Вт/(м</w:t>
      </w:r>
      <w:r>
        <w:rPr>
          <w:position w:val="10"/>
          <w:sz w:val="18"/>
          <w:vertAlign w:val="baseline"/>
        </w:rPr>
        <w:t>2 </w:t>
      </w:r>
      <w:r>
        <w:rPr>
          <w:vertAlign w:val="baseline"/>
        </w:rPr>
        <w:t>·К); </w:t>
      </w:r>
      <w:r>
        <w:rPr>
          <w:i/>
          <w:vertAlign w:val="baseline"/>
        </w:rPr>
        <w:t>R</w:t>
      </w:r>
      <w:r>
        <w:rPr>
          <w:i/>
          <w:vertAlign w:val="subscript"/>
        </w:rPr>
        <w:t>nn</w:t>
      </w:r>
      <w:r>
        <w:rPr>
          <w:i/>
          <w:vertAlign w:val="baseline"/>
        </w:rPr>
        <w:t> </w:t>
      </w:r>
      <w:r>
        <w:rPr>
          <w:vertAlign w:val="baseline"/>
        </w:rPr>
        <w:t>– термічний</w:t>
      </w:r>
      <w:r>
        <w:rPr>
          <w:spacing w:val="-26"/>
          <w:vertAlign w:val="baseline"/>
        </w:rPr>
        <w:t> </w:t>
      </w:r>
      <w:r>
        <w:rPr>
          <w:vertAlign w:val="baseline"/>
        </w:rPr>
        <w:t>опір</w:t>
      </w:r>
    </w:p>
    <w:p>
      <w:pPr>
        <w:pStyle w:val="BodyText"/>
        <w:spacing w:line="328" w:lineRule="exact"/>
      </w:pPr>
      <w:r>
        <w:rPr/>
        <w:t>закритого повітряного прошарку (при наявності його в конструкції), м</w:t>
      </w:r>
      <w:r>
        <w:rPr>
          <w:position w:val="10"/>
          <w:sz w:val="18"/>
        </w:rPr>
        <w:t>2</w:t>
      </w:r>
      <w:r>
        <w:rPr/>
        <w:t>К/Вт.</w:t>
      </w:r>
    </w:p>
    <w:p>
      <w:pPr>
        <w:pStyle w:val="BodyText"/>
        <w:ind w:right="609" w:firstLine="710"/>
      </w:pPr>
      <w:r>
        <w:rPr/>
        <w:t>Коефіцієнти </w:t>
      </w:r>
      <w:r>
        <w:rPr>
          <w:i/>
        </w:rPr>
        <w:t>α</w:t>
      </w:r>
      <w:r>
        <w:rPr>
          <w:i/>
          <w:vertAlign w:val="subscript"/>
        </w:rPr>
        <w:t>в</w:t>
      </w:r>
      <w:r>
        <w:rPr>
          <w:i/>
          <w:vertAlign w:val="baseline"/>
        </w:rPr>
        <w:t> </w:t>
      </w:r>
      <w:r>
        <w:rPr>
          <w:vertAlign w:val="baseline"/>
        </w:rPr>
        <w:t>и </w:t>
      </w:r>
      <w:r>
        <w:rPr>
          <w:i/>
          <w:vertAlign w:val="baseline"/>
        </w:rPr>
        <w:t>α</w:t>
      </w:r>
      <w:r>
        <w:rPr>
          <w:i/>
          <w:vertAlign w:val="subscript"/>
        </w:rPr>
        <w:t>з</w:t>
      </w:r>
      <w:r>
        <w:rPr>
          <w:i/>
          <w:vertAlign w:val="baseline"/>
        </w:rPr>
        <w:t> </w:t>
      </w:r>
      <w:r>
        <w:rPr>
          <w:vertAlign w:val="baseline"/>
        </w:rPr>
        <w:t>приймаються за СНіПом; </w:t>
      </w:r>
      <w:r>
        <w:rPr>
          <w:i/>
          <w:vertAlign w:val="baseline"/>
        </w:rPr>
        <w:t>δ</w:t>
      </w:r>
      <w:r>
        <w:rPr>
          <w:i/>
          <w:vertAlign w:val="subscript"/>
        </w:rPr>
        <w:t>і</w:t>
      </w:r>
      <w:r>
        <w:rPr>
          <w:i/>
          <w:vertAlign w:val="baseline"/>
        </w:rPr>
        <w:t> </w:t>
      </w:r>
      <w:r>
        <w:rPr>
          <w:vertAlign w:val="baseline"/>
        </w:rPr>
        <w:t>– визначається з будівельних креслень огороджуючих конструкцій або призначається у відповідності з завданням; </w:t>
      </w:r>
      <w:r>
        <w:rPr>
          <w:i/>
          <w:vertAlign w:val="baseline"/>
        </w:rPr>
        <w:t>λ</w:t>
      </w:r>
      <w:r>
        <w:rPr>
          <w:i/>
          <w:vertAlign w:val="subscript"/>
        </w:rPr>
        <w:t>і</w:t>
      </w:r>
      <w:r>
        <w:rPr>
          <w:i/>
          <w:vertAlign w:val="baseline"/>
        </w:rPr>
        <w:t> </w:t>
      </w:r>
      <w:r>
        <w:rPr>
          <w:vertAlign w:val="baseline"/>
        </w:rPr>
        <w:t>– приймається за довідковими даними. Опір теплопередачі вікон і дверей зазвичай не розраховується і приймається за довідковими</w:t>
      </w:r>
      <w:r>
        <w:rPr>
          <w:spacing w:val="-9"/>
          <w:vertAlign w:val="baseline"/>
        </w:rPr>
        <w:t> </w:t>
      </w:r>
      <w:r>
        <w:rPr>
          <w:vertAlign w:val="baseline"/>
        </w:rPr>
        <w:t>даними</w:t>
      </w:r>
      <w:r>
        <w:rPr>
          <w:spacing w:val="-8"/>
          <w:vertAlign w:val="baseline"/>
        </w:rPr>
        <w:t> </w:t>
      </w:r>
      <w:r>
        <w:rPr>
          <w:vertAlign w:val="baseline"/>
        </w:rPr>
        <w:t>в</w:t>
      </w:r>
      <w:r>
        <w:rPr>
          <w:spacing w:val="-10"/>
          <w:vertAlign w:val="baseline"/>
        </w:rPr>
        <w:t> </w:t>
      </w:r>
      <w:r>
        <w:rPr>
          <w:vertAlign w:val="baseline"/>
        </w:rPr>
        <w:t>залежності</w:t>
      </w:r>
      <w:r>
        <w:rPr>
          <w:spacing w:val="-9"/>
          <w:vertAlign w:val="baseline"/>
        </w:rPr>
        <w:t> </w:t>
      </w:r>
      <w:r>
        <w:rPr>
          <w:vertAlign w:val="baseline"/>
        </w:rPr>
        <w:t>від</w:t>
      </w:r>
      <w:r>
        <w:rPr>
          <w:spacing w:val="-6"/>
          <w:vertAlign w:val="baseline"/>
        </w:rPr>
        <w:t> </w:t>
      </w:r>
      <w:r>
        <w:rPr>
          <w:vertAlign w:val="baseline"/>
        </w:rPr>
        <w:t>використовуваної</w:t>
      </w:r>
      <w:r>
        <w:rPr>
          <w:spacing w:val="-14"/>
          <w:vertAlign w:val="baseline"/>
        </w:rPr>
        <w:t> </w:t>
      </w:r>
      <w:r>
        <w:rPr>
          <w:vertAlign w:val="baseline"/>
        </w:rPr>
        <w:t>конструкції.</w:t>
      </w:r>
      <w:r>
        <w:rPr>
          <w:spacing w:val="-2"/>
          <w:vertAlign w:val="baseline"/>
        </w:rPr>
        <w:t> </w:t>
      </w:r>
      <w:r>
        <w:rPr>
          <w:vertAlign w:val="baseline"/>
        </w:rPr>
        <w:t>Положення норм згідно Державних норм будівництва встановлюють мінімальні вимоги до теплотехнічних показників конструкцій теплоізоляційної оболонки будівель та до енергетичних характеристик будівель або відокремлених їх частин, що визначені на підставі економічно обґрунтованого рівня енергетичної ефективності будівлі з урахуванням очікуваного життєвого її циклу за умови задоволення побутових потреб людини та створення оптимальних мікрокліматичних умов для її перебування та/або проживання у приміщеннях такої будівлі. Визначаємо опір теплопередачі зовнішніх стін згідно з формулою 2</w:t>
      </w:r>
    </w:p>
    <w:p>
      <w:pPr>
        <w:spacing w:after="0"/>
        <w:sectPr>
          <w:pgSz w:w="11910" w:h="16840"/>
          <w:pgMar w:header="713" w:footer="778" w:top="1140" w:bottom="960" w:left="940" w:right="520"/>
        </w:sectPr>
      </w:pPr>
    </w:p>
    <w:p>
      <w:pPr>
        <w:spacing w:line="428" w:lineRule="exact" w:before="23"/>
        <w:ind w:left="2848" w:right="0" w:firstLine="0"/>
        <w:jc w:val="left"/>
        <w:rPr>
          <w:rFonts w:ascii="Symbol" w:hAnsi="Symbol"/>
          <w:sz w:val="28"/>
        </w:rPr>
      </w:pPr>
      <w:r>
        <w:rPr/>
        <w:pict>
          <v:line style="position:absolute;mso-position-horizontal-relative:page;mso-position-vertical-relative:paragraph;z-index:-267065344" from="219.262939pt,19.671638pt" to="237.753089pt,19.671638pt" stroked="true" strokeweight=".597767pt" strokecolor="#000000">
            <v:stroke dashstyle="solid"/>
            <w10:wrap type="none"/>
          </v:line>
        </w:pict>
      </w:r>
      <w:r>
        <w:rPr>
          <w:i/>
          <w:w w:val="105"/>
          <w:sz w:val="28"/>
        </w:rPr>
        <w:t>R </w:t>
      </w:r>
      <w:r>
        <w:rPr>
          <w:rFonts w:ascii="Symbol" w:hAnsi="Symbol"/>
          <w:w w:val="105"/>
          <w:sz w:val="28"/>
        </w:rPr>
        <w:t></w:t>
      </w:r>
      <w:r>
        <w:rPr>
          <w:w w:val="105"/>
          <w:sz w:val="28"/>
        </w:rPr>
        <w:t> </w:t>
      </w:r>
      <w:r>
        <w:rPr>
          <w:w w:val="105"/>
          <w:position w:val="18"/>
          <w:sz w:val="28"/>
        </w:rPr>
        <w:t>1 </w:t>
      </w:r>
      <w:r>
        <w:rPr>
          <w:rFonts w:ascii="Symbol" w:hAnsi="Symbol"/>
          <w:w w:val="105"/>
          <w:sz w:val="28"/>
        </w:rPr>
        <w:t></w:t>
      </w:r>
    </w:p>
    <w:p>
      <w:pPr>
        <w:tabs>
          <w:tab w:pos="3450" w:val="left" w:leader="none"/>
        </w:tabs>
        <w:spacing w:line="297" w:lineRule="exact" w:before="0"/>
        <w:ind w:left="3020" w:right="0" w:firstLine="0"/>
        <w:jc w:val="left"/>
        <w:rPr>
          <w:sz w:val="28"/>
        </w:rPr>
      </w:pPr>
      <w:r>
        <w:rPr>
          <w:rFonts w:ascii="Symbol" w:hAnsi="Symbol"/>
          <w:w w:val="105"/>
          <w:position w:val="15"/>
          <w:sz w:val="16"/>
        </w:rPr>
        <w:t></w:t>
      </w:r>
      <w:r>
        <w:rPr>
          <w:w w:val="105"/>
          <w:position w:val="15"/>
          <w:sz w:val="16"/>
        </w:rPr>
        <w:tab/>
      </w:r>
      <w:r>
        <w:rPr>
          <w:spacing w:val="-4"/>
          <w:w w:val="105"/>
          <w:sz w:val="28"/>
        </w:rPr>
        <w:t>8,7</w:t>
      </w:r>
    </w:p>
    <w:p>
      <w:pPr>
        <w:pStyle w:val="BodyText"/>
        <w:spacing w:line="187" w:lineRule="auto" w:before="46"/>
        <w:ind w:left="31"/>
        <w:jc w:val="left"/>
        <w:rPr>
          <w:rFonts w:ascii="Symbol" w:hAnsi="Symbol"/>
        </w:rPr>
      </w:pPr>
      <w:r>
        <w:rPr/>
        <w:br w:type="column"/>
      </w:r>
      <w:r>
        <w:rPr>
          <w:w w:val="105"/>
        </w:rPr>
        <w:t>0,015</w:t>
      </w:r>
      <w:r>
        <w:rPr>
          <w:spacing w:val="-32"/>
          <w:w w:val="105"/>
        </w:rPr>
        <w:t> </w:t>
      </w:r>
      <w:r>
        <w:rPr>
          <w:rFonts w:ascii="Symbol" w:hAnsi="Symbol"/>
          <w:spacing w:val="-17"/>
          <w:w w:val="105"/>
          <w:position w:val="-17"/>
        </w:rPr>
        <w:t></w:t>
      </w:r>
    </w:p>
    <w:p>
      <w:pPr>
        <w:pStyle w:val="BodyText"/>
        <w:spacing w:line="271" w:lineRule="exact"/>
        <w:ind w:left="107"/>
        <w:jc w:val="left"/>
      </w:pPr>
      <w:r>
        <w:rPr/>
        <w:pict>
          <v:line style="position:absolute;mso-position-horizontal-relative:page;mso-position-vertical-relative:paragraph;z-index:-267064320" from="251.391281pt,-4.174207pt" to="284.437303pt,-4.174207pt" stroked="true" strokeweight=".597767pt" strokecolor="#000000">
            <v:stroke dashstyle="solid"/>
            <w10:wrap type="none"/>
          </v:line>
        </w:pict>
      </w:r>
      <w:r>
        <w:rPr>
          <w:w w:val="105"/>
        </w:rPr>
        <w:t>0,93</w:t>
      </w:r>
    </w:p>
    <w:p>
      <w:pPr>
        <w:pStyle w:val="BodyText"/>
        <w:spacing w:line="187" w:lineRule="auto" w:before="46"/>
        <w:ind w:left="31"/>
        <w:jc w:val="left"/>
        <w:rPr>
          <w:rFonts w:ascii="Symbol" w:hAnsi="Symbol"/>
        </w:rPr>
      </w:pPr>
      <w:r>
        <w:rPr/>
        <w:br w:type="column"/>
      </w:r>
      <w:r>
        <w:rPr>
          <w:w w:val="105"/>
        </w:rPr>
        <w:t>0,25</w:t>
      </w:r>
      <w:r>
        <w:rPr>
          <w:spacing w:val="-24"/>
          <w:w w:val="105"/>
        </w:rPr>
        <w:t> </w:t>
      </w:r>
      <w:r>
        <w:rPr>
          <w:rFonts w:ascii="Symbol" w:hAnsi="Symbol"/>
          <w:spacing w:val="-18"/>
          <w:w w:val="105"/>
          <w:position w:val="-17"/>
        </w:rPr>
        <w:t></w:t>
      </w:r>
    </w:p>
    <w:p>
      <w:pPr>
        <w:pStyle w:val="BodyText"/>
        <w:spacing w:line="271" w:lineRule="exact"/>
        <w:ind w:left="33"/>
        <w:jc w:val="left"/>
      </w:pPr>
      <w:r>
        <w:rPr/>
        <w:pict>
          <v:line style="position:absolute;mso-position-horizontal-relative:page;mso-position-vertical-relative:paragraph;z-index:-267063296" from="298.0755pt,-4.174207pt" to="324.175399pt,-4.174207pt" stroked="true" strokeweight=".597767pt" strokecolor="#000000">
            <v:stroke dashstyle="solid"/>
            <w10:wrap type="none"/>
          </v:line>
        </w:pict>
      </w:r>
      <w:r>
        <w:rPr>
          <w:w w:val="105"/>
        </w:rPr>
        <w:t>0,56</w:t>
      </w:r>
    </w:p>
    <w:p>
      <w:pPr>
        <w:pStyle w:val="BodyText"/>
        <w:spacing w:line="483" w:lineRule="exact" w:before="20"/>
        <w:ind w:left="98"/>
        <w:jc w:val="left"/>
      </w:pPr>
      <w:r>
        <w:rPr/>
        <w:br w:type="column"/>
      </w:r>
      <w:r>
        <w:rPr>
          <w:position w:val="24"/>
        </w:rPr>
        <w:t>1 </w:t>
      </w:r>
      <w:r>
        <w:rPr>
          <w:rFonts w:ascii="Symbol" w:hAnsi="Symbol"/>
          <w:position w:val="6"/>
        </w:rPr>
        <w:t></w:t>
      </w:r>
      <w:r>
        <w:rPr>
          <w:position w:val="6"/>
        </w:rPr>
        <w:t> 1,41 </w:t>
      </w:r>
      <w:r>
        <w:rPr/>
        <w:t>, м</w:t>
      </w:r>
      <w:r>
        <w:rPr>
          <w:position w:val="10"/>
          <w:sz w:val="18"/>
        </w:rPr>
        <w:t>2 </w:t>
      </w:r>
      <w:r>
        <w:rPr/>
        <w:t>К/Вт</w:t>
      </w:r>
    </w:p>
    <w:p>
      <w:pPr>
        <w:pStyle w:val="BodyText"/>
        <w:spacing w:line="243" w:lineRule="exact"/>
        <w:ind w:left="35"/>
        <w:jc w:val="left"/>
      </w:pPr>
      <w:r>
        <w:rPr/>
        <w:pict>
          <v:line style="position:absolute;mso-position-horizontal-relative:page;mso-position-vertical-relative:paragraph;z-index:-267062272" from="337.839691pt,-5.533033pt" to="353.201651pt,-5.533033pt" stroked="true" strokeweight=".597767pt" strokecolor="#000000">
            <v:stroke dashstyle="solid"/>
            <w10:wrap type="none"/>
          </v:line>
        </w:pict>
      </w:r>
      <w:r>
        <w:rPr>
          <w:w w:val="105"/>
        </w:rPr>
        <w:t>23</w:t>
      </w:r>
    </w:p>
    <w:p>
      <w:pPr>
        <w:spacing w:after="0" w:line="243" w:lineRule="exact"/>
        <w:jc w:val="left"/>
        <w:sectPr>
          <w:type w:val="continuous"/>
          <w:pgSz w:w="11910" w:h="16840"/>
          <w:pgMar w:top="1140" w:bottom="280" w:left="940" w:right="520"/>
          <w:cols w:num="4" w:equalWidth="0">
            <w:col w:w="4032" w:space="40"/>
            <w:col w:w="894" w:space="39"/>
            <w:col w:w="756" w:space="40"/>
            <w:col w:w="4649"/>
          </w:cols>
        </w:sectPr>
      </w:pPr>
    </w:p>
    <w:p>
      <w:pPr>
        <w:pStyle w:val="BodyText"/>
        <w:spacing w:before="46"/>
        <w:ind w:right="607" w:firstLine="710"/>
      </w:pPr>
      <w:r>
        <w:rPr/>
        <w:t>Характеристики шарів стінової конструкції: – </w:t>
      </w:r>
      <w:r>
        <w:rPr>
          <w:i/>
        </w:rPr>
        <w:t>δ</w:t>
      </w:r>
      <w:r>
        <w:rPr>
          <w:i/>
          <w:vertAlign w:val="subscript"/>
        </w:rPr>
        <w:t>1</w:t>
      </w:r>
      <w:r>
        <w:rPr>
          <w:i/>
          <w:vertAlign w:val="baseline"/>
        </w:rPr>
        <w:t> </w:t>
      </w:r>
      <w:r>
        <w:rPr>
          <w:vertAlign w:val="baseline"/>
        </w:rPr>
        <w:t>= 0,015 м, </w:t>
      </w:r>
      <w:r>
        <w:rPr>
          <w:i/>
          <w:vertAlign w:val="baseline"/>
        </w:rPr>
        <w:t>λ</w:t>
      </w:r>
      <w:r>
        <w:rPr>
          <w:i/>
          <w:vertAlign w:val="subscript"/>
        </w:rPr>
        <w:t>1</w:t>
      </w:r>
      <w:r>
        <w:rPr>
          <w:i/>
          <w:vertAlign w:val="baseline"/>
        </w:rPr>
        <w:t> </w:t>
      </w:r>
      <w:r>
        <w:rPr>
          <w:vertAlign w:val="baseline"/>
        </w:rPr>
        <w:t>= 0,93 Вт/(м·К) – внутрішня штукатурка; – </w:t>
      </w:r>
      <w:r>
        <w:rPr>
          <w:i/>
          <w:vertAlign w:val="baseline"/>
        </w:rPr>
        <w:t>δ</w:t>
      </w:r>
      <w:r>
        <w:rPr>
          <w:i/>
          <w:vertAlign w:val="subscript"/>
        </w:rPr>
        <w:t>2</w:t>
      </w:r>
      <w:r>
        <w:rPr>
          <w:i/>
          <w:vertAlign w:val="baseline"/>
        </w:rPr>
        <w:t> </w:t>
      </w:r>
      <w:r>
        <w:rPr>
          <w:vertAlign w:val="baseline"/>
        </w:rPr>
        <w:t>= 0,25 м, </w:t>
      </w:r>
      <w:r>
        <w:rPr>
          <w:i/>
          <w:vertAlign w:val="baseline"/>
        </w:rPr>
        <w:t>λ</w:t>
      </w:r>
      <w:r>
        <w:rPr>
          <w:i/>
          <w:vertAlign w:val="subscript"/>
        </w:rPr>
        <w:t>2</w:t>
      </w:r>
      <w:r>
        <w:rPr>
          <w:i/>
          <w:vertAlign w:val="baseline"/>
        </w:rPr>
        <w:t> </w:t>
      </w:r>
      <w:r>
        <w:rPr>
          <w:vertAlign w:val="baseline"/>
        </w:rPr>
        <w:t>= 0,56 Вт/(м·К) – стіна адміністративно-аудиторного корпусу.</w:t>
      </w:r>
    </w:p>
    <w:p>
      <w:pPr>
        <w:pStyle w:val="BodyText"/>
        <w:spacing w:line="237" w:lineRule="auto" w:before="1"/>
        <w:ind w:right="612" w:firstLine="710"/>
      </w:pPr>
      <w:r>
        <w:rPr/>
        <w:t>Термічний опір у два рази менше за нормований. Для досягнення нормативного термічного опору згідно з ДБН В.2.6-31:2016 Теплова ізоляція будівель (</w:t>
      </w:r>
      <w:r>
        <w:rPr>
          <w:i/>
        </w:rPr>
        <w:t>R</w:t>
      </w:r>
      <w:r>
        <w:rPr>
          <w:i/>
          <w:vertAlign w:val="subscript"/>
        </w:rPr>
        <w:t>о</w:t>
      </w:r>
      <w:r>
        <w:rPr>
          <w:i/>
          <w:vertAlign w:val="baseline"/>
        </w:rPr>
        <w:t> </w:t>
      </w:r>
      <w:r>
        <w:rPr>
          <w:vertAlign w:val="baseline"/>
        </w:rPr>
        <w:t>= 2,8 м</w:t>
      </w:r>
      <w:r>
        <w:rPr>
          <w:position w:val="10"/>
          <w:sz w:val="18"/>
          <w:vertAlign w:val="baseline"/>
        </w:rPr>
        <w:t>2 </w:t>
      </w:r>
      <w:r>
        <w:rPr>
          <w:vertAlign w:val="baseline"/>
        </w:rPr>
        <w:t>К/Вт) необхідно провести утеплення стін - збільшити термічний</w:t>
      </w:r>
      <w:r>
        <w:rPr>
          <w:spacing w:val="-9"/>
          <w:vertAlign w:val="baseline"/>
        </w:rPr>
        <w:t> </w:t>
      </w:r>
      <w:r>
        <w:rPr>
          <w:vertAlign w:val="baseline"/>
        </w:rPr>
        <w:t>опір</w:t>
      </w:r>
      <w:r>
        <w:rPr>
          <w:spacing w:val="-9"/>
          <w:vertAlign w:val="baseline"/>
        </w:rPr>
        <w:t> </w:t>
      </w:r>
      <w:r>
        <w:rPr>
          <w:vertAlign w:val="baseline"/>
        </w:rPr>
        <w:t>на</w:t>
      </w:r>
      <w:r>
        <w:rPr>
          <w:spacing w:val="-8"/>
          <w:vertAlign w:val="baseline"/>
        </w:rPr>
        <w:t> </w:t>
      </w:r>
      <w:r>
        <w:rPr>
          <w:vertAlign w:val="baseline"/>
        </w:rPr>
        <w:t>величину</w:t>
      </w:r>
      <w:r>
        <w:rPr>
          <w:spacing w:val="-10"/>
          <w:vertAlign w:val="baseline"/>
        </w:rPr>
        <w:t> </w:t>
      </w:r>
      <w:r>
        <w:rPr>
          <w:i/>
          <w:vertAlign w:val="baseline"/>
        </w:rPr>
        <w:t>ΔR</w:t>
      </w:r>
      <w:r>
        <w:rPr>
          <w:vertAlign w:val="baseline"/>
        </w:rPr>
        <w:t>.</w:t>
      </w:r>
      <w:r>
        <w:rPr>
          <w:spacing w:val="-2"/>
          <w:vertAlign w:val="baseline"/>
        </w:rPr>
        <w:t> </w:t>
      </w:r>
      <w:r>
        <w:rPr>
          <w:vertAlign w:val="baseline"/>
        </w:rPr>
        <w:t>Приймаємо</w:t>
      </w:r>
      <w:r>
        <w:rPr>
          <w:spacing w:val="-7"/>
          <w:vertAlign w:val="baseline"/>
        </w:rPr>
        <w:t> </w:t>
      </w:r>
      <w:r>
        <w:rPr>
          <w:vertAlign w:val="baseline"/>
        </w:rPr>
        <w:t>мінераловатні</w:t>
      </w:r>
      <w:r>
        <w:rPr>
          <w:spacing w:val="-14"/>
          <w:vertAlign w:val="baseline"/>
        </w:rPr>
        <w:t> </w:t>
      </w:r>
      <w:r>
        <w:rPr>
          <w:vertAlign w:val="baseline"/>
        </w:rPr>
        <w:t>плити</w:t>
      </w:r>
      <w:r>
        <w:rPr>
          <w:spacing w:val="-5"/>
          <w:vertAlign w:val="baseline"/>
        </w:rPr>
        <w:t> </w:t>
      </w:r>
      <w:r>
        <w:rPr>
          <w:vertAlign w:val="baseline"/>
        </w:rPr>
        <w:t>«Техно»</w:t>
      </w:r>
      <w:r>
        <w:rPr>
          <w:spacing w:val="-13"/>
          <w:vertAlign w:val="baseline"/>
        </w:rPr>
        <w:t> </w:t>
      </w:r>
      <w:r>
        <w:rPr>
          <w:vertAlign w:val="baseline"/>
        </w:rPr>
        <w:t>марки</w:t>
      </w:r>
    </w:p>
    <w:p>
      <w:pPr>
        <w:pStyle w:val="BodyText"/>
        <w:spacing w:line="321" w:lineRule="exact"/>
      </w:pPr>
      <w:r>
        <w:rPr/>
        <w:t>«Стандарт» густиною 80 кг/м</w:t>
      </w:r>
      <w:r>
        <w:rPr>
          <w:position w:val="10"/>
          <w:sz w:val="18"/>
        </w:rPr>
        <w:t>3 </w:t>
      </w:r>
      <w:r>
        <w:rPr/>
        <w:t>(</w:t>
      </w:r>
      <w:r>
        <w:rPr>
          <w:i/>
        </w:rPr>
        <w:t>λ</w:t>
      </w:r>
      <w:r>
        <w:rPr>
          <w:i/>
          <w:vertAlign w:val="subscript"/>
        </w:rPr>
        <w:t>із</w:t>
      </w:r>
      <w:r>
        <w:rPr>
          <w:i/>
          <w:vertAlign w:val="baseline"/>
        </w:rPr>
        <w:t> </w:t>
      </w:r>
      <w:r>
        <w:rPr>
          <w:vertAlign w:val="baseline"/>
        </w:rPr>
        <w:t>= 0,040 Вт/(м·К)).</w:t>
      </w:r>
    </w:p>
    <w:p>
      <w:pPr>
        <w:spacing w:line="325" w:lineRule="exact" w:before="0"/>
        <w:ind w:left="894" w:right="603" w:firstLine="0"/>
        <w:jc w:val="center"/>
        <w:rPr>
          <w:sz w:val="28"/>
        </w:rPr>
      </w:pPr>
      <w:r>
        <w:rPr>
          <w:i/>
          <w:sz w:val="28"/>
        </w:rPr>
        <w:t>ΔR = R</w:t>
      </w:r>
      <w:r>
        <w:rPr>
          <w:i/>
          <w:sz w:val="28"/>
          <w:vertAlign w:val="subscript"/>
        </w:rPr>
        <w:t>qmin</w:t>
      </w:r>
      <w:r>
        <w:rPr>
          <w:i/>
          <w:sz w:val="28"/>
          <w:vertAlign w:val="baseline"/>
        </w:rPr>
        <w:t> - R</w:t>
      </w:r>
      <w:r>
        <w:rPr>
          <w:i/>
          <w:sz w:val="28"/>
          <w:vertAlign w:val="subscript"/>
        </w:rPr>
        <w:t>Σ</w:t>
      </w:r>
      <w:r>
        <w:rPr>
          <w:i/>
          <w:sz w:val="28"/>
          <w:vertAlign w:val="baseline"/>
        </w:rPr>
        <w:t> </w:t>
      </w:r>
      <w:r>
        <w:rPr>
          <w:sz w:val="28"/>
          <w:vertAlign w:val="baseline"/>
        </w:rPr>
        <w:t>= 2,8 – 1,41 = 1,39 м</w:t>
      </w:r>
      <w:r>
        <w:rPr>
          <w:position w:val="10"/>
          <w:sz w:val="18"/>
          <w:vertAlign w:val="baseline"/>
        </w:rPr>
        <w:t>2 </w:t>
      </w:r>
      <w:r>
        <w:rPr>
          <w:sz w:val="28"/>
          <w:vertAlign w:val="baseline"/>
        </w:rPr>
        <w:t>К/Вт</w:t>
      </w:r>
    </w:p>
    <w:p>
      <w:pPr>
        <w:pStyle w:val="BodyText"/>
        <w:spacing w:before="5"/>
        <w:ind w:left="285" w:right="9"/>
        <w:jc w:val="center"/>
      </w:pPr>
      <w:r>
        <w:rPr/>
        <w:t>Товщина теплової ізоляції для досягнення нормованого термічного опору,</w:t>
      </w:r>
    </w:p>
    <w:p>
      <w:pPr>
        <w:pStyle w:val="BodyText"/>
        <w:jc w:val="left"/>
      </w:pPr>
      <w:r>
        <w:rPr/>
        <w:t>м:</w:t>
      </w:r>
    </w:p>
    <w:p>
      <w:pPr>
        <w:spacing w:after="0"/>
        <w:jc w:val="left"/>
        <w:sectPr>
          <w:type w:val="continuous"/>
          <w:pgSz w:w="11910" w:h="16840"/>
          <w:pgMar w:top="1140" w:bottom="280" w:left="940" w:right="520"/>
        </w:sectPr>
      </w:pPr>
    </w:p>
    <w:p>
      <w:pPr>
        <w:spacing w:line="322" w:lineRule="exact" w:before="92"/>
        <w:ind w:left="3622" w:right="0" w:firstLine="0"/>
        <w:jc w:val="both"/>
        <w:rPr>
          <w:sz w:val="28"/>
        </w:rPr>
      </w:pPr>
      <w:r>
        <w:rPr>
          <w:i/>
          <w:sz w:val="28"/>
        </w:rPr>
        <w:t>δ </w:t>
      </w:r>
      <w:r>
        <w:rPr>
          <w:sz w:val="28"/>
        </w:rPr>
        <w:t>= </w:t>
      </w:r>
      <w:r>
        <w:rPr>
          <w:i/>
          <w:sz w:val="28"/>
        </w:rPr>
        <w:t>ΔR∙ λ</w:t>
      </w:r>
      <w:r>
        <w:rPr>
          <w:i/>
          <w:sz w:val="28"/>
          <w:vertAlign w:val="subscript"/>
        </w:rPr>
        <w:t>із</w:t>
      </w:r>
      <w:r>
        <w:rPr>
          <w:i/>
          <w:sz w:val="28"/>
          <w:vertAlign w:val="baseline"/>
        </w:rPr>
        <w:t> </w:t>
      </w:r>
      <w:r>
        <w:rPr>
          <w:sz w:val="28"/>
          <w:vertAlign w:val="baseline"/>
        </w:rPr>
        <w:t>= 1,39 ∙ 0,040 =0,06</w:t>
      </w:r>
    </w:p>
    <w:p>
      <w:pPr>
        <w:pStyle w:val="BodyText"/>
        <w:ind w:right="606" w:firstLine="710"/>
      </w:pPr>
      <w:r>
        <w:rPr>
          <w:b/>
        </w:rPr>
        <w:t>Висновки. </w:t>
      </w:r>
      <w:r>
        <w:rPr/>
        <w:t>В результаті проведених досліджень встановлено, що основні заходи забезпечення норм мікроклімату, які зараз розробляються і досліджуються для умов навчальних закладів [11-13]: використання електричного</w:t>
      </w:r>
      <w:r>
        <w:rPr>
          <w:spacing w:val="-20"/>
        </w:rPr>
        <w:t> </w:t>
      </w:r>
      <w:r>
        <w:rPr/>
        <w:t>опалення</w:t>
      </w:r>
      <w:r>
        <w:rPr>
          <w:spacing w:val="-18"/>
        </w:rPr>
        <w:t> </w:t>
      </w:r>
      <w:r>
        <w:rPr/>
        <w:t>при</w:t>
      </w:r>
      <w:r>
        <w:rPr>
          <w:spacing w:val="-19"/>
        </w:rPr>
        <w:t> </w:t>
      </w:r>
      <w:r>
        <w:rPr/>
        <w:t>акумулюванні</w:t>
      </w:r>
      <w:r>
        <w:rPr>
          <w:spacing w:val="-20"/>
        </w:rPr>
        <w:t> </w:t>
      </w:r>
      <w:r>
        <w:rPr/>
        <w:t>теплоти</w:t>
      </w:r>
      <w:r>
        <w:rPr>
          <w:spacing w:val="-19"/>
        </w:rPr>
        <w:t> </w:t>
      </w:r>
      <w:r>
        <w:rPr/>
        <w:t>в</w:t>
      </w:r>
      <w:r>
        <w:rPr>
          <w:spacing w:val="-20"/>
        </w:rPr>
        <w:t> </w:t>
      </w:r>
      <w:r>
        <w:rPr/>
        <w:t>нічний</w:t>
      </w:r>
      <w:r>
        <w:rPr>
          <w:spacing w:val="-19"/>
        </w:rPr>
        <w:t> </w:t>
      </w:r>
      <w:r>
        <w:rPr/>
        <w:t>період;</w:t>
      </w:r>
      <w:r>
        <w:rPr>
          <w:spacing w:val="-19"/>
        </w:rPr>
        <w:t> </w:t>
      </w:r>
      <w:r>
        <w:rPr/>
        <w:t>застосування теплових насосів для теплопостачання будівель; установка модульних котелень на твердому паливі; застосування енергоустановок на альтернативному паливі; комбіноване використання геліосистем з тепловими насосами; переведення у стан «пасивного будинку». Зазначені напрями дозволяють певною мірою вирішити проблему забезпечення норм мікроклімату, однак мають певні недоліки. Якщо звернутися до досвіду розвинених країн, то можна зробити висновок, що всі зусилля в першу чергу направляються на зменшення витрати енергії на опалення. Поки не буде проведена теплова модернізація корпусів, створення відповідні умови мікроклімату будуть недосяжні. Проаналізувавши дані споживання теплової енергії можливо виділити адміністративно- аудиторний корпус, як проблемний. Цьому слугують такі параметри </w:t>
      </w:r>
      <w:r>
        <w:rPr>
          <w:spacing w:val="3"/>
        </w:rPr>
        <w:t>як: </w:t>
      </w:r>
      <w:r>
        <w:rPr/>
        <w:t>найбільша площа опалювальних приміщень, найменший термічний опір стін та вікон. Тому цей корпус потребує термомодернізації у першу чергу (заміна вікон на енергетично ефективні, а також утеплення стін до показника 2,8 м</w:t>
      </w:r>
      <w:r>
        <w:rPr>
          <w:position w:val="10"/>
          <w:sz w:val="18"/>
        </w:rPr>
        <w:t>2</w:t>
      </w:r>
      <w:r>
        <w:rPr/>
        <w:t>К/Вт). Підвищення порівняно «скромної» температуру в адміністративних приміщеннях призведе до зменшення витрат електроенергії, так як зникне необхідність вмикати електричні</w:t>
      </w:r>
      <w:r>
        <w:rPr>
          <w:spacing w:val="-6"/>
        </w:rPr>
        <w:t> </w:t>
      </w:r>
      <w:r>
        <w:rPr/>
        <w:t>нагрівачі.</w:t>
      </w:r>
    </w:p>
    <w:p>
      <w:pPr>
        <w:pStyle w:val="BodyText"/>
        <w:spacing w:before="1"/>
        <w:ind w:left="0"/>
        <w:jc w:val="left"/>
      </w:pPr>
    </w:p>
    <w:p>
      <w:pPr>
        <w:pStyle w:val="Heading1"/>
        <w:spacing w:line="319" w:lineRule="exact"/>
        <w:ind w:left="750"/>
      </w:pPr>
      <w:r>
        <w:rPr/>
        <w:t>ЛІТЕРАТУРА</w:t>
      </w:r>
    </w:p>
    <w:p>
      <w:pPr>
        <w:pStyle w:val="ListParagraph"/>
        <w:numPr>
          <w:ilvl w:val="0"/>
          <w:numId w:val="37"/>
        </w:numPr>
        <w:tabs>
          <w:tab w:pos="1192" w:val="left" w:leader="none"/>
        </w:tabs>
        <w:spacing w:line="240" w:lineRule="auto" w:before="0" w:after="0"/>
        <w:ind w:left="193" w:right="616" w:firstLine="710"/>
        <w:jc w:val="both"/>
        <w:rPr>
          <w:sz w:val="28"/>
        </w:rPr>
      </w:pPr>
      <w:r>
        <w:rPr>
          <w:sz w:val="28"/>
        </w:rPr>
        <w:t>Седов </w:t>
      </w:r>
      <w:r>
        <w:rPr>
          <w:spacing w:val="-3"/>
          <w:sz w:val="28"/>
        </w:rPr>
        <w:t>А. </w:t>
      </w:r>
      <w:r>
        <w:rPr>
          <w:sz w:val="28"/>
        </w:rPr>
        <w:t>В. Обеспечение комфорта человека в помещении посредством инженерных</w:t>
      </w:r>
      <w:r>
        <w:rPr>
          <w:spacing w:val="-52"/>
          <w:sz w:val="28"/>
        </w:rPr>
        <w:t> </w:t>
      </w:r>
      <w:r>
        <w:rPr>
          <w:sz w:val="28"/>
        </w:rPr>
        <w:t>систем / </w:t>
      </w:r>
      <w:r>
        <w:rPr>
          <w:spacing w:val="-3"/>
          <w:sz w:val="28"/>
        </w:rPr>
        <w:t>А. </w:t>
      </w:r>
      <w:r>
        <w:rPr>
          <w:sz w:val="28"/>
        </w:rPr>
        <w:t>В. Седов, </w:t>
      </w:r>
      <w:r>
        <w:rPr>
          <w:spacing w:val="-3"/>
          <w:sz w:val="28"/>
        </w:rPr>
        <w:t>П. </w:t>
      </w:r>
      <w:r>
        <w:rPr>
          <w:sz w:val="28"/>
        </w:rPr>
        <w:t>Д. Челишков, </w:t>
      </w:r>
      <w:r>
        <w:rPr>
          <w:spacing w:val="-3"/>
          <w:sz w:val="28"/>
        </w:rPr>
        <w:t>И. </w:t>
      </w:r>
      <w:r>
        <w:rPr>
          <w:sz w:val="28"/>
        </w:rPr>
        <w:t>В. Редин // </w:t>
      </w:r>
      <w:r>
        <w:rPr>
          <w:i/>
          <w:sz w:val="28"/>
        </w:rPr>
        <w:t>Вісник ДНАБА. </w:t>
      </w:r>
      <w:r>
        <w:rPr>
          <w:sz w:val="28"/>
        </w:rPr>
        <w:t>2009. Вип. 5/2009 (79). С.</w:t>
      </w:r>
      <w:r>
        <w:rPr>
          <w:spacing w:val="17"/>
          <w:sz w:val="28"/>
        </w:rPr>
        <w:t> </w:t>
      </w:r>
      <w:r>
        <w:rPr>
          <w:sz w:val="28"/>
        </w:rPr>
        <w:t>94–97.</w:t>
      </w:r>
    </w:p>
    <w:p>
      <w:pPr>
        <w:pStyle w:val="ListParagraph"/>
        <w:numPr>
          <w:ilvl w:val="0"/>
          <w:numId w:val="37"/>
        </w:numPr>
        <w:tabs>
          <w:tab w:pos="1192" w:val="left" w:leader="none"/>
        </w:tabs>
        <w:spacing w:line="240" w:lineRule="auto" w:before="0" w:after="0"/>
        <w:ind w:left="193" w:right="607" w:firstLine="710"/>
        <w:jc w:val="both"/>
        <w:rPr>
          <w:sz w:val="28"/>
        </w:rPr>
      </w:pPr>
      <w:r>
        <w:rPr>
          <w:sz w:val="28"/>
        </w:rPr>
        <w:t>Сукач С. В. Метод і засоби контролю та управління якістю повітряного середовища у приміщеннях : монографія / С. В. Сукач, Ю. І. Шульга. – Кременчук : Видавець ПП Щербатих О. В., 2013. 192</w:t>
      </w:r>
      <w:r>
        <w:rPr>
          <w:spacing w:val="6"/>
          <w:sz w:val="28"/>
        </w:rPr>
        <w:t> </w:t>
      </w:r>
      <w:r>
        <w:rPr>
          <w:sz w:val="28"/>
        </w:rPr>
        <w:t>с.</w:t>
      </w:r>
    </w:p>
    <w:p>
      <w:pPr>
        <w:pStyle w:val="ListParagraph"/>
        <w:numPr>
          <w:ilvl w:val="0"/>
          <w:numId w:val="37"/>
        </w:numPr>
        <w:tabs>
          <w:tab w:pos="1273" w:val="left" w:leader="none"/>
        </w:tabs>
        <w:spacing w:line="240" w:lineRule="auto" w:before="0" w:after="0"/>
        <w:ind w:left="193" w:right="607" w:firstLine="710"/>
        <w:jc w:val="both"/>
        <w:rPr>
          <w:sz w:val="28"/>
        </w:rPr>
      </w:pPr>
      <w:r>
        <w:rPr>
          <w:sz w:val="28"/>
        </w:rPr>
        <w:t>Сукач С. В. Сучасний аспект розв’язання проблеми вентилювання навчальних приміщень різного призначення / С. В. Сукач // </w:t>
      </w:r>
      <w:r>
        <w:rPr>
          <w:i/>
          <w:sz w:val="28"/>
        </w:rPr>
        <w:t>Містобудування та </w:t>
      </w:r>
      <w:r>
        <w:rPr>
          <w:i/>
          <w:sz w:val="28"/>
        </w:rPr>
        <w:t>територіальне планування : наук.-техн. збірник. КНУБА</w:t>
      </w:r>
      <w:r>
        <w:rPr>
          <w:sz w:val="28"/>
        </w:rPr>
        <w:t>, 2014. Вип. 52. С. 387– 393.</w:t>
      </w:r>
    </w:p>
    <w:p>
      <w:pPr>
        <w:pStyle w:val="ListParagraph"/>
        <w:numPr>
          <w:ilvl w:val="0"/>
          <w:numId w:val="37"/>
        </w:numPr>
        <w:tabs>
          <w:tab w:pos="1316" w:val="left" w:leader="none"/>
        </w:tabs>
        <w:spacing w:line="240" w:lineRule="auto" w:before="0" w:after="0"/>
        <w:ind w:left="193" w:right="619" w:firstLine="710"/>
        <w:jc w:val="both"/>
        <w:rPr>
          <w:sz w:val="28"/>
        </w:rPr>
      </w:pPr>
      <w:r>
        <w:rPr>
          <w:sz w:val="28"/>
        </w:rPr>
        <w:t>Шульга Ю. </w:t>
      </w:r>
      <w:r>
        <w:rPr>
          <w:spacing w:val="-3"/>
          <w:sz w:val="28"/>
        </w:rPr>
        <w:t>И. </w:t>
      </w:r>
      <w:r>
        <w:rPr>
          <w:sz w:val="28"/>
        </w:rPr>
        <w:t>К решению задач управления микроклиматом в помещениях учебных заведений / Ю. И. Шульга, </w:t>
      </w:r>
      <w:r>
        <w:rPr>
          <w:spacing w:val="-3"/>
          <w:sz w:val="28"/>
        </w:rPr>
        <w:t>А. П. </w:t>
      </w:r>
      <w:r>
        <w:rPr>
          <w:sz w:val="28"/>
        </w:rPr>
        <w:t>Черный, С. В. Сукач // </w:t>
      </w:r>
      <w:r>
        <w:rPr>
          <w:i/>
          <w:sz w:val="28"/>
        </w:rPr>
        <w:t>Проблеми охорони праці в Україні. </w:t>
      </w:r>
      <w:r>
        <w:rPr>
          <w:sz w:val="28"/>
        </w:rPr>
        <w:t>2010. Вип. 19. С.</w:t>
      </w:r>
      <w:r>
        <w:rPr>
          <w:spacing w:val="17"/>
          <w:sz w:val="28"/>
        </w:rPr>
        <w:t> </w:t>
      </w:r>
      <w:r>
        <w:rPr>
          <w:sz w:val="28"/>
        </w:rPr>
        <w:t>37–44.</w:t>
      </w:r>
    </w:p>
    <w:p>
      <w:pPr>
        <w:pStyle w:val="ListParagraph"/>
        <w:numPr>
          <w:ilvl w:val="0"/>
          <w:numId w:val="37"/>
        </w:numPr>
        <w:tabs>
          <w:tab w:pos="1225" w:val="left" w:leader="none"/>
        </w:tabs>
        <w:spacing w:line="240" w:lineRule="auto" w:before="0" w:after="0"/>
        <w:ind w:left="193" w:right="614" w:firstLine="710"/>
        <w:jc w:val="both"/>
        <w:rPr>
          <w:sz w:val="28"/>
        </w:rPr>
      </w:pPr>
      <w:r>
        <w:rPr>
          <w:sz w:val="28"/>
        </w:rPr>
        <w:t>Авраменко М. М. Підтримка параметрів мікроклімату в нормативних межах</w:t>
      </w:r>
      <w:r>
        <w:rPr>
          <w:spacing w:val="-23"/>
          <w:sz w:val="28"/>
        </w:rPr>
        <w:t> </w:t>
      </w:r>
      <w:r>
        <w:rPr>
          <w:sz w:val="28"/>
        </w:rPr>
        <w:t>як</w:t>
      </w:r>
      <w:r>
        <w:rPr>
          <w:spacing w:val="-20"/>
          <w:sz w:val="28"/>
        </w:rPr>
        <w:t> </w:t>
      </w:r>
      <w:r>
        <w:rPr>
          <w:sz w:val="28"/>
        </w:rPr>
        <w:t>засіб</w:t>
      </w:r>
      <w:r>
        <w:rPr>
          <w:spacing w:val="-17"/>
          <w:sz w:val="28"/>
        </w:rPr>
        <w:t> </w:t>
      </w:r>
      <w:r>
        <w:rPr>
          <w:sz w:val="28"/>
        </w:rPr>
        <w:t>створення</w:t>
      </w:r>
      <w:r>
        <w:rPr>
          <w:spacing w:val="-18"/>
          <w:sz w:val="28"/>
        </w:rPr>
        <w:t> </w:t>
      </w:r>
      <w:r>
        <w:rPr>
          <w:sz w:val="28"/>
        </w:rPr>
        <w:t>комфортних</w:t>
      </w:r>
      <w:r>
        <w:rPr>
          <w:spacing w:val="-19"/>
          <w:sz w:val="28"/>
        </w:rPr>
        <w:t> </w:t>
      </w:r>
      <w:r>
        <w:rPr>
          <w:sz w:val="28"/>
        </w:rPr>
        <w:t>умов</w:t>
      </w:r>
      <w:r>
        <w:rPr>
          <w:spacing w:val="-21"/>
          <w:sz w:val="28"/>
        </w:rPr>
        <w:t> </w:t>
      </w:r>
      <w:r>
        <w:rPr>
          <w:sz w:val="28"/>
        </w:rPr>
        <w:t>праці</w:t>
      </w:r>
      <w:r>
        <w:rPr>
          <w:spacing w:val="-23"/>
          <w:sz w:val="28"/>
        </w:rPr>
        <w:t> </w:t>
      </w:r>
      <w:r>
        <w:rPr>
          <w:sz w:val="28"/>
        </w:rPr>
        <w:t>/</w:t>
      </w:r>
      <w:r>
        <w:rPr>
          <w:spacing w:val="-19"/>
          <w:sz w:val="28"/>
        </w:rPr>
        <w:t> </w:t>
      </w:r>
      <w:r>
        <w:rPr>
          <w:sz w:val="28"/>
        </w:rPr>
        <w:t>М.</w:t>
      </w:r>
      <w:r>
        <w:rPr>
          <w:spacing w:val="-21"/>
          <w:sz w:val="28"/>
        </w:rPr>
        <w:t> </w:t>
      </w:r>
      <w:r>
        <w:rPr>
          <w:sz w:val="28"/>
        </w:rPr>
        <w:t>М.</w:t>
      </w:r>
      <w:r>
        <w:rPr>
          <w:spacing w:val="-21"/>
          <w:sz w:val="28"/>
        </w:rPr>
        <w:t> </w:t>
      </w:r>
      <w:r>
        <w:rPr>
          <w:sz w:val="28"/>
        </w:rPr>
        <w:t>Авраменко,</w:t>
      </w:r>
      <w:r>
        <w:rPr>
          <w:spacing w:val="-17"/>
          <w:sz w:val="28"/>
        </w:rPr>
        <w:t> </w:t>
      </w:r>
      <w:r>
        <w:rPr>
          <w:sz w:val="28"/>
        </w:rPr>
        <w:t>С.</w:t>
      </w:r>
      <w:r>
        <w:rPr>
          <w:spacing w:val="-20"/>
          <w:sz w:val="28"/>
        </w:rPr>
        <w:t> </w:t>
      </w:r>
      <w:r>
        <w:rPr>
          <w:sz w:val="28"/>
        </w:rPr>
        <w:t>В.</w:t>
      </w:r>
      <w:r>
        <w:rPr>
          <w:spacing w:val="-18"/>
          <w:sz w:val="28"/>
        </w:rPr>
        <w:t> </w:t>
      </w:r>
      <w:r>
        <w:rPr>
          <w:sz w:val="28"/>
        </w:rPr>
        <w:t>Сукач, М. </w:t>
      </w:r>
      <w:r>
        <w:rPr>
          <w:spacing w:val="-3"/>
          <w:sz w:val="28"/>
        </w:rPr>
        <w:t>А. </w:t>
      </w:r>
      <w:r>
        <w:rPr>
          <w:sz w:val="28"/>
        </w:rPr>
        <w:t>Кобилянський // </w:t>
      </w:r>
      <w:r>
        <w:rPr>
          <w:i/>
          <w:sz w:val="28"/>
        </w:rPr>
        <w:t>Електромеханічні і енергозберігаючі системи: </w:t>
      </w:r>
      <w:r>
        <w:rPr>
          <w:i/>
          <w:sz w:val="28"/>
        </w:rPr>
        <w:t>щоквартальний</w:t>
      </w:r>
      <w:r>
        <w:rPr>
          <w:i/>
          <w:spacing w:val="-15"/>
          <w:sz w:val="28"/>
        </w:rPr>
        <w:t> </w:t>
      </w:r>
      <w:r>
        <w:rPr>
          <w:i/>
          <w:sz w:val="28"/>
        </w:rPr>
        <w:t>науково-виробничий</w:t>
      </w:r>
      <w:r>
        <w:rPr>
          <w:i/>
          <w:spacing w:val="-14"/>
          <w:sz w:val="28"/>
        </w:rPr>
        <w:t> </w:t>
      </w:r>
      <w:r>
        <w:rPr>
          <w:i/>
          <w:sz w:val="28"/>
        </w:rPr>
        <w:t>журнал.</w:t>
      </w:r>
      <w:r>
        <w:rPr>
          <w:i/>
          <w:spacing w:val="-11"/>
          <w:sz w:val="28"/>
        </w:rPr>
        <w:t> </w:t>
      </w:r>
      <w:r>
        <w:rPr>
          <w:sz w:val="28"/>
        </w:rPr>
        <w:t>Вип.</w:t>
      </w:r>
      <w:r>
        <w:rPr>
          <w:spacing w:val="-12"/>
          <w:sz w:val="28"/>
        </w:rPr>
        <w:t> </w:t>
      </w:r>
      <w:r>
        <w:rPr>
          <w:sz w:val="28"/>
        </w:rPr>
        <w:t>4/2010</w:t>
      </w:r>
      <w:r>
        <w:rPr>
          <w:spacing w:val="-16"/>
          <w:sz w:val="28"/>
        </w:rPr>
        <w:t> </w:t>
      </w:r>
      <w:r>
        <w:rPr>
          <w:sz w:val="28"/>
        </w:rPr>
        <w:t>(12).</w:t>
      </w:r>
      <w:r>
        <w:rPr>
          <w:spacing w:val="-11"/>
          <w:sz w:val="28"/>
        </w:rPr>
        <w:t> </w:t>
      </w:r>
      <w:r>
        <w:rPr>
          <w:sz w:val="28"/>
        </w:rPr>
        <w:t>Кременчук:</w:t>
      </w:r>
      <w:r>
        <w:rPr>
          <w:spacing w:val="-19"/>
          <w:sz w:val="28"/>
        </w:rPr>
        <w:t> </w:t>
      </w:r>
      <w:r>
        <w:rPr>
          <w:sz w:val="28"/>
        </w:rPr>
        <w:t>КНУ, 2010. – С.</w:t>
      </w:r>
      <w:r>
        <w:rPr>
          <w:spacing w:val="9"/>
          <w:sz w:val="28"/>
        </w:rPr>
        <w:t> </w:t>
      </w:r>
      <w:r>
        <w:rPr>
          <w:sz w:val="28"/>
        </w:rPr>
        <w:t>94–99.</w:t>
      </w:r>
    </w:p>
    <w:p>
      <w:pPr>
        <w:pStyle w:val="ListParagraph"/>
        <w:numPr>
          <w:ilvl w:val="0"/>
          <w:numId w:val="37"/>
        </w:numPr>
        <w:tabs>
          <w:tab w:pos="1173" w:val="left" w:leader="none"/>
        </w:tabs>
        <w:spacing w:line="240" w:lineRule="auto" w:before="0" w:after="0"/>
        <w:ind w:left="193" w:right="610" w:firstLine="710"/>
        <w:jc w:val="both"/>
        <w:rPr>
          <w:sz w:val="28"/>
        </w:rPr>
      </w:pPr>
      <w:r>
        <w:rPr>
          <w:sz w:val="28"/>
        </w:rPr>
        <w:t>Climatic</w:t>
      </w:r>
      <w:r>
        <w:rPr>
          <w:spacing w:val="-21"/>
          <w:sz w:val="28"/>
        </w:rPr>
        <w:t> </w:t>
      </w:r>
      <w:r>
        <w:rPr>
          <w:sz w:val="28"/>
        </w:rPr>
        <w:t>Sensitive</w:t>
      </w:r>
      <w:r>
        <w:rPr>
          <w:spacing w:val="-16"/>
          <w:sz w:val="28"/>
        </w:rPr>
        <w:t> </w:t>
      </w:r>
      <w:r>
        <w:rPr>
          <w:sz w:val="28"/>
        </w:rPr>
        <w:t>Landscape</w:t>
      </w:r>
      <w:r>
        <w:rPr>
          <w:spacing w:val="-20"/>
          <w:sz w:val="28"/>
        </w:rPr>
        <w:t> </w:t>
      </w:r>
      <w:r>
        <w:rPr>
          <w:sz w:val="28"/>
        </w:rPr>
        <w:t>Design:</w:t>
      </w:r>
      <w:r>
        <w:rPr>
          <w:spacing w:val="-22"/>
          <w:sz w:val="28"/>
        </w:rPr>
        <w:t> </w:t>
      </w:r>
      <w:r>
        <w:rPr>
          <w:sz w:val="28"/>
        </w:rPr>
        <w:t>Towards</w:t>
      </w:r>
      <w:r>
        <w:rPr>
          <w:spacing w:val="-20"/>
          <w:sz w:val="28"/>
        </w:rPr>
        <w:t> </w:t>
      </w:r>
      <w:r>
        <w:rPr>
          <w:sz w:val="28"/>
        </w:rPr>
        <w:t>a</w:t>
      </w:r>
      <w:r>
        <w:rPr>
          <w:spacing w:val="-20"/>
          <w:sz w:val="28"/>
        </w:rPr>
        <w:t> </w:t>
      </w:r>
      <w:r>
        <w:rPr>
          <w:sz w:val="28"/>
        </w:rPr>
        <w:t>Better</w:t>
      </w:r>
      <w:r>
        <w:rPr>
          <w:spacing w:val="-22"/>
          <w:sz w:val="28"/>
        </w:rPr>
        <w:t> </w:t>
      </w:r>
      <w:r>
        <w:rPr>
          <w:sz w:val="28"/>
        </w:rPr>
        <w:t>Microclimate</w:t>
      </w:r>
      <w:r>
        <w:rPr>
          <w:spacing w:val="-21"/>
          <w:sz w:val="28"/>
        </w:rPr>
        <w:t> </w:t>
      </w:r>
      <w:r>
        <w:rPr>
          <w:sz w:val="28"/>
        </w:rPr>
        <w:t>through Plantation in Public Schools, Cairo, Egypt. Wesam M. El-Bardisy et al. / Procedia</w:t>
      </w:r>
      <w:r>
        <w:rPr>
          <w:spacing w:val="31"/>
          <w:sz w:val="28"/>
        </w:rPr>
        <w:t> </w:t>
      </w:r>
      <w:r>
        <w:rPr>
          <w:sz w:val="28"/>
        </w:rPr>
        <w:t>-</w:t>
      </w:r>
    </w:p>
    <w:p>
      <w:pPr>
        <w:spacing w:after="0" w:line="240" w:lineRule="auto"/>
        <w:jc w:val="both"/>
        <w:rPr>
          <w:sz w:val="28"/>
        </w:rPr>
        <w:sectPr>
          <w:pgSz w:w="11910" w:h="16840"/>
          <w:pgMar w:header="713" w:footer="778" w:top="1140" w:bottom="960" w:left="940" w:right="520"/>
        </w:sectPr>
      </w:pPr>
    </w:p>
    <w:p>
      <w:pPr>
        <w:pStyle w:val="BodyText"/>
        <w:spacing w:line="322" w:lineRule="exact" w:before="92"/>
      </w:pPr>
      <w:r>
        <w:rPr/>
        <w:t>Social and Behavioral Sciences 216 ( 2016 ) 206 – 216</w:t>
      </w:r>
    </w:p>
    <w:p>
      <w:pPr>
        <w:pStyle w:val="ListParagraph"/>
        <w:numPr>
          <w:ilvl w:val="0"/>
          <w:numId w:val="37"/>
        </w:numPr>
        <w:tabs>
          <w:tab w:pos="1188" w:val="left" w:leader="none"/>
        </w:tabs>
        <w:spacing w:line="240" w:lineRule="auto" w:before="0" w:after="0"/>
        <w:ind w:left="193" w:right="616" w:firstLine="710"/>
        <w:jc w:val="both"/>
        <w:rPr>
          <w:sz w:val="28"/>
        </w:rPr>
      </w:pPr>
      <w:r>
        <w:rPr>
          <w:sz w:val="28"/>
        </w:rPr>
        <w:t>А.Hassam Nasarullah Chaudhry, Achieving sustainable buildings: the role</w:t>
      </w:r>
      <w:r>
        <w:rPr>
          <w:spacing w:val="-46"/>
          <w:sz w:val="28"/>
        </w:rPr>
        <w:t> </w:t>
      </w:r>
      <w:r>
        <w:rPr>
          <w:spacing w:val="4"/>
          <w:sz w:val="28"/>
        </w:rPr>
        <w:t>of </w:t>
      </w:r>
      <w:r>
        <w:rPr>
          <w:sz w:val="28"/>
        </w:rPr>
        <w:t>heating, ventilation and air-conditioning, </w:t>
      </w:r>
      <w:r>
        <w:rPr>
          <w:i/>
          <w:sz w:val="28"/>
        </w:rPr>
        <w:t>Sust. Build</w:t>
      </w:r>
      <w:r>
        <w:rPr>
          <w:sz w:val="28"/>
        </w:rPr>
        <w:t>. </w:t>
      </w:r>
      <w:r>
        <w:rPr>
          <w:b/>
          <w:color w:val="333333"/>
          <w:sz w:val="28"/>
        </w:rPr>
        <w:t>1</w:t>
      </w:r>
      <w:r>
        <w:rPr>
          <w:sz w:val="28"/>
        </w:rPr>
        <w:t>, 1</w:t>
      </w:r>
      <w:r>
        <w:rPr>
          <w:spacing w:val="13"/>
          <w:sz w:val="28"/>
        </w:rPr>
        <w:t> </w:t>
      </w:r>
      <w:r>
        <w:rPr>
          <w:sz w:val="28"/>
        </w:rPr>
        <w:t>(2016).</w:t>
      </w:r>
    </w:p>
    <w:p>
      <w:pPr>
        <w:pStyle w:val="ListParagraph"/>
        <w:numPr>
          <w:ilvl w:val="0"/>
          <w:numId w:val="37"/>
        </w:numPr>
        <w:tabs>
          <w:tab w:pos="1225" w:val="left" w:leader="none"/>
        </w:tabs>
        <w:spacing w:line="240" w:lineRule="auto" w:before="0" w:after="0"/>
        <w:ind w:left="193" w:right="607" w:firstLine="710"/>
        <w:jc w:val="both"/>
        <w:rPr>
          <w:sz w:val="28"/>
        </w:rPr>
      </w:pPr>
      <w:r>
        <w:rPr>
          <w:sz w:val="28"/>
        </w:rPr>
        <w:t>Santamouris, M.; Kolokotsa, D. Passive cooling dissipation techniques for buildings and other structures: The state of the art. </w:t>
      </w:r>
      <w:r>
        <w:rPr>
          <w:i/>
          <w:sz w:val="28"/>
        </w:rPr>
        <w:t>Energy Build. </w:t>
      </w:r>
      <w:r>
        <w:rPr>
          <w:b/>
          <w:sz w:val="28"/>
        </w:rPr>
        <w:t>2013 </w:t>
      </w:r>
      <w:r>
        <w:rPr>
          <w:sz w:val="28"/>
        </w:rPr>
        <w:t>, </w:t>
      </w:r>
      <w:r>
        <w:rPr>
          <w:i/>
          <w:sz w:val="28"/>
        </w:rPr>
        <w:t>57 </w:t>
      </w:r>
      <w:r>
        <w:rPr>
          <w:sz w:val="28"/>
        </w:rPr>
        <w:t>,</w:t>
      </w:r>
      <w:r>
        <w:rPr>
          <w:spacing w:val="-26"/>
          <w:sz w:val="28"/>
        </w:rPr>
        <w:t> </w:t>
      </w:r>
      <w:r>
        <w:rPr>
          <w:sz w:val="28"/>
        </w:rPr>
        <w:t>74–</w:t>
      </w:r>
    </w:p>
    <w:p>
      <w:pPr>
        <w:pStyle w:val="ListParagraph"/>
        <w:numPr>
          <w:ilvl w:val="0"/>
          <w:numId w:val="38"/>
        </w:numPr>
        <w:tabs>
          <w:tab w:pos="616" w:val="left" w:leader="none"/>
        </w:tabs>
        <w:spacing w:line="322" w:lineRule="exact" w:before="3" w:after="0"/>
        <w:ind w:left="615" w:right="0" w:hanging="423"/>
        <w:jc w:val="both"/>
        <w:rPr>
          <w:sz w:val="28"/>
        </w:rPr>
      </w:pPr>
      <w:r>
        <w:rPr>
          <w:sz w:val="28"/>
        </w:rPr>
        <w:t>[</w:t>
      </w:r>
      <w:r>
        <w:rPr>
          <w:color w:val="0000FF"/>
          <w:sz w:val="28"/>
        </w:rPr>
        <w:t> </w:t>
      </w:r>
      <w:r>
        <w:rPr>
          <w:color w:val="0000FF"/>
          <w:sz w:val="28"/>
          <w:u w:val="single" w:color="0000FF"/>
        </w:rPr>
        <w:t>Google Scholar</w:t>
      </w:r>
      <w:r>
        <w:rPr>
          <w:color w:val="0000FF"/>
          <w:sz w:val="28"/>
        </w:rPr>
        <w:t> </w:t>
      </w:r>
      <w:r>
        <w:rPr>
          <w:sz w:val="28"/>
        </w:rPr>
        <w:t>] [</w:t>
      </w:r>
      <w:r>
        <w:rPr>
          <w:color w:val="0000FF"/>
          <w:sz w:val="28"/>
        </w:rPr>
        <w:t> </w:t>
      </w:r>
      <w:hyperlink r:id="rId128">
        <w:r>
          <w:rPr>
            <w:color w:val="0000FF"/>
            <w:sz w:val="28"/>
            <w:u w:val="single" w:color="0000FF"/>
          </w:rPr>
          <w:t>CrossRef</w:t>
        </w:r>
        <w:r>
          <w:rPr>
            <w:color w:val="0000FF"/>
            <w:sz w:val="28"/>
          </w:rPr>
          <w:t> </w:t>
        </w:r>
      </w:hyperlink>
      <w:r>
        <w:rPr>
          <w:sz w:val="28"/>
        </w:rPr>
        <w:t>]</w:t>
      </w:r>
    </w:p>
    <w:p>
      <w:pPr>
        <w:pStyle w:val="ListParagraph"/>
        <w:numPr>
          <w:ilvl w:val="1"/>
          <w:numId w:val="38"/>
        </w:numPr>
        <w:tabs>
          <w:tab w:pos="1206" w:val="left" w:leader="none"/>
        </w:tabs>
        <w:spacing w:line="240" w:lineRule="auto" w:before="0" w:after="0"/>
        <w:ind w:left="193" w:right="610" w:firstLine="710"/>
        <w:jc w:val="both"/>
        <w:rPr>
          <w:sz w:val="28"/>
        </w:rPr>
      </w:pPr>
      <w:r>
        <w:rPr>
          <w:sz w:val="28"/>
        </w:rPr>
        <w:t>Berkovic, S.; Yezioro, A.; Bitan, </w:t>
      </w:r>
      <w:r>
        <w:rPr>
          <w:spacing w:val="-3"/>
          <w:sz w:val="28"/>
        </w:rPr>
        <w:t>A. </w:t>
      </w:r>
      <w:r>
        <w:rPr>
          <w:sz w:val="28"/>
        </w:rPr>
        <w:t>Study of thermal comfort in courtyards in   a   hot    arid    climate. </w:t>
      </w:r>
      <w:r>
        <w:rPr>
          <w:i/>
          <w:sz w:val="28"/>
        </w:rPr>
        <w:t>Sol. Energy </w:t>
      </w:r>
      <w:r>
        <w:rPr>
          <w:b/>
          <w:sz w:val="28"/>
        </w:rPr>
        <w:t>2012 </w:t>
      </w:r>
      <w:r>
        <w:rPr>
          <w:sz w:val="28"/>
        </w:rPr>
        <w:t>, </w:t>
      </w:r>
      <w:r>
        <w:rPr>
          <w:i/>
          <w:sz w:val="28"/>
        </w:rPr>
        <w:t>86 </w:t>
      </w:r>
      <w:r>
        <w:rPr>
          <w:sz w:val="28"/>
        </w:rPr>
        <w:t>,   1173–1186. [</w:t>
      </w:r>
      <w:r>
        <w:rPr>
          <w:color w:val="0000FF"/>
          <w:sz w:val="28"/>
        </w:rPr>
        <w:t> </w:t>
      </w:r>
      <w:r>
        <w:rPr>
          <w:color w:val="0000FF"/>
          <w:sz w:val="28"/>
          <w:u w:val="single" w:color="0000FF"/>
        </w:rPr>
        <w:t>Google    Scholar</w:t>
      </w:r>
      <w:r>
        <w:rPr>
          <w:color w:val="0000FF"/>
          <w:sz w:val="28"/>
        </w:rPr>
        <w:t> </w:t>
      </w:r>
      <w:r>
        <w:rPr>
          <w:sz w:val="28"/>
        </w:rPr>
        <w:t>] [</w:t>
      </w:r>
      <w:r>
        <w:rPr>
          <w:color w:val="0000FF"/>
          <w:sz w:val="28"/>
        </w:rPr>
        <w:t> </w:t>
      </w:r>
      <w:hyperlink r:id="rId129">
        <w:r>
          <w:rPr>
            <w:color w:val="0000FF"/>
            <w:sz w:val="28"/>
            <w:u w:val="single" w:color="0000FF"/>
          </w:rPr>
          <w:t>CrossRef</w:t>
        </w:r>
        <w:r>
          <w:rPr>
            <w:color w:val="0000FF"/>
            <w:spacing w:val="-4"/>
            <w:sz w:val="28"/>
          </w:rPr>
          <w:t> </w:t>
        </w:r>
      </w:hyperlink>
      <w:r>
        <w:rPr>
          <w:sz w:val="28"/>
        </w:rPr>
        <w:t>]</w:t>
      </w:r>
    </w:p>
    <w:p>
      <w:pPr>
        <w:pStyle w:val="ListParagraph"/>
        <w:numPr>
          <w:ilvl w:val="1"/>
          <w:numId w:val="38"/>
        </w:numPr>
        <w:tabs>
          <w:tab w:pos="1331" w:val="left" w:leader="none"/>
        </w:tabs>
        <w:spacing w:line="240" w:lineRule="auto" w:before="0" w:after="0"/>
        <w:ind w:left="193" w:right="612" w:firstLine="710"/>
        <w:jc w:val="both"/>
        <w:rPr>
          <w:sz w:val="28"/>
        </w:rPr>
      </w:pPr>
      <w:r>
        <w:rPr>
          <w:sz w:val="28"/>
        </w:rPr>
        <w:t>E. Merisalu , D. Mugur , P. Kic Importance of microclimate conditions and CO 2 control in educational buildings: a case study. </w:t>
      </w:r>
      <w:r>
        <w:rPr>
          <w:i/>
          <w:sz w:val="28"/>
        </w:rPr>
        <w:t>Agronomy Research </w:t>
      </w:r>
      <w:r>
        <w:rPr>
          <w:sz w:val="28"/>
        </w:rPr>
        <w:t>16(4), 1771 1780, 2018 [Електронний ресурс]. – Режим доступу: https://doi.org/10.15159/AR.18.157</w:t>
      </w:r>
    </w:p>
    <w:p>
      <w:pPr>
        <w:pStyle w:val="ListParagraph"/>
        <w:numPr>
          <w:ilvl w:val="1"/>
          <w:numId w:val="38"/>
        </w:numPr>
        <w:tabs>
          <w:tab w:pos="1432" w:val="left" w:leader="none"/>
        </w:tabs>
        <w:spacing w:line="240" w:lineRule="auto" w:before="0" w:after="0"/>
        <w:ind w:left="193" w:right="610" w:firstLine="710"/>
        <w:jc w:val="both"/>
        <w:rPr>
          <w:sz w:val="28"/>
        </w:rPr>
      </w:pPr>
      <w:r>
        <w:rPr>
          <w:sz w:val="28"/>
        </w:rPr>
        <w:t>Мазуренко О. </w:t>
      </w:r>
      <w:r>
        <w:rPr>
          <w:spacing w:val="-3"/>
          <w:sz w:val="28"/>
        </w:rPr>
        <w:t>А. </w:t>
      </w:r>
      <w:r>
        <w:rPr>
          <w:sz w:val="28"/>
        </w:rPr>
        <w:t>Порiвняльний аналiз систем децентралiзованого теплопостачання житлових будiвель </w:t>
      </w:r>
      <w:r>
        <w:rPr>
          <w:spacing w:val="-3"/>
          <w:sz w:val="28"/>
        </w:rPr>
        <w:t>iз </w:t>
      </w:r>
      <w:r>
        <w:rPr>
          <w:sz w:val="28"/>
        </w:rPr>
        <w:t>використанням електроенергiї / О. </w:t>
      </w:r>
      <w:r>
        <w:rPr>
          <w:spacing w:val="-3"/>
          <w:sz w:val="28"/>
        </w:rPr>
        <w:t>А. </w:t>
      </w:r>
      <w:r>
        <w:rPr>
          <w:sz w:val="28"/>
        </w:rPr>
        <w:t>Мазуренко, О. </w:t>
      </w:r>
      <w:r>
        <w:rPr>
          <w:spacing w:val="-3"/>
          <w:sz w:val="28"/>
        </w:rPr>
        <w:t>А. </w:t>
      </w:r>
      <w:r>
        <w:rPr>
          <w:sz w:val="28"/>
        </w:rPr>
        <w:t>Климчук, О. М. Шраменко, О. </w:t>
      </w:r>
      <w:r>
        <w:rPr>
          <w:spacing w:val="-3"/>
          <w:sz w:val="28"/>
        </w:rPr>
        <w:t>А. </w:t>
      </w:r>
      <w:r>
        <w:rPr>
          <w:sz w:val="28"/>
        </w:rPr>
        <w:t>Сичова // </w:t>
      </w:r>
      <w:r>
        <w:rPr>
          <w:i/>
          <w:sz w:val="28"/>
        </w:rPr>
        <w:t>Восточно- </w:t>
      </w:r>
      <w:r>
        <w:rPr>
          <w:i/>
          <w:sz w:val="28"/>
        </w:rPr>
        <w:t>Европейский журнал передовых технологий. </w:t>
      </w:r>
      <w:r>
        <w:rPr>
          <w:sz w:val="28"/>
        </w:rPr>
        <w:t>2014. № 5(8). С.</w:t>
      </w:r>
      <w:r>
        <w:rPr>
          <w:spacing w:val="13"/>
          <w:sz w:val="28"/>
        </w:rPr>
        <w:t> </w:t>
      </w:r>
      <w:r>
        <w:rPr>
          <w:sz w:val="28"/>
        </w:rPr>
        <w:t>21-25.</w:t>
      </w:r>
    </w:p>
    <w:p>
      <w:pPr>
        <w:pStyle w:val="ListParagraph"/>
        <w:numPr>
          <w:ilvl w:val="1"/>
          <w:numId w:val="38"/>
        </w:numPr>
        <w:tabs>
          <w:tab w:pos="1408" w:val="left" w:leader="none"/>
        </w:tabs>
        <w:spacing w:line="242" w:lineRule="auto" w:before="0" w:after="0"/>
        <w:ind w:left="193" w:right="609" w:firstLine="710"/>
        <w:jc w:val="both"/>
        <w:rPr>
          <w:sz w:val="28"/>
        </w:rPr>
      </w:pPr>
      <w:r>
        <w:rPr>
          <w:sz w:val="28"/>
        </w:rPr>
        <w:t>Перетяка С.М. Використання біопалива для опалення виробничих приміщень / Перетяка С.М. // </w:t>
      </w:r>
      <w:r>
        <w:rPr>
          <w:i/>
          <w:sz w:val="28"/>
        </w:rPr>
        <w:t>Аграрний вісник Причорномор’я</w:t>
      </w:r>
      <w:r>
        <w:rPr>
          <w:sz w:val="28"/>
        </w:rPr>
        <w:t>. </w:t>
      </w:r>
      <w:r>
        <w:rPr>
          <w:i/>
          <w:sz w:val="28"/>
        </w:rPr>
        <w:t>Технічні науки</w:t>
      </w:r>
      <w:r>
        <w:rPr>
          <w:sz w:val="28"/>
        </w:rPr>
        <w:t>. Одеса, 2017. Вип. 85. С. 197 –</w:t>
      </w:r>
      <w:r>
        <w:rPr>
          <w:spacing w:val="15"/>
          <w:sz w:val="28"/>
        </w:rPr>
        <w:t> </w:t>
      </w:r>
      <w:r>
        <w:rPr>
          <w:sz w:val="28"/>
        </w:rPr>
        <w:t>201.</w:t>
      </w:r>
    </w:p>
    <w:p>
      <w:pPr>
        <w:pStyle w:val="ListParagraph"/>
        <w:numPr>
          <w:ilvl w:val="1"/>
          <w:numId w:val="38"/>
        </w:numPr>
        <w:tabs>
          <w:tab w:pos="1355" w:val="left" w:leader="none"/>
        </w:tabs>
        <w:spacing w:line="240" w:lineRule="auto" w:before="0" w:after="0"/>
        <w:ind w:left="193" w:right="612" w:firstLine="710"/>
        <w:jc w:val="both"/>
        <w:rPr>
          <w:sz w:val="28"/>
        </w:rPr>
      </w:pPr>
      <w:r>
        <w:rPr>
          <w:sz w:val="28"/>
        </w:rPr>
        <w:t>Осадчук І. П., Сакун М. М., Осадчук </w:t>
      </w:r>
      <w:r>
        <w:rPr>
          <w:spacing w:val="-3"/>
          <w:sz w:val="28"/>
        </w:rPr>
        <w:t>П. </w:t>
      </w:r>
      <w:r>
        <w:rPr>
          <w:sz w:val="28"/>
        </w:rPr>
        <w:t>І., Столярова Т. В. Охорона праці в галузях сільського господарства. // Навчальний посібник. Дозволено Міністерством аграрної політики України від 05. 10. 2006 № 18-1-1-13/1161 Одеса: «Видавництво Барбашин», 2007. 480 с. ISBN</w:t>
      </w:r>
      <w:r>
        <w:rPr>
          <w:spacing w:val="13"/>
          <w:sz w:val="28"/>
        </w:rPr>
        <w:t> </w:t>
      </w:r>
      <w:r>
        <w:rPr>
          <w:sz w:val="28"/>
        </w:rPr>
        <w:t>966-8871-10-3</w:t>
      </w:r>
    </w:p>
    <w:p>
      <w:pPr>
        <w:pStyle w:val="BodyText"/>
        <w:spacing w:before="8"/>
        <w:ind w:left="0"/>
        <w:jc w:val="left"/>
        <w:rPr>
          <w:sz w:val="26"/>
        </w:rPr>
      </w:pPr>
    </w:p>
    <w:p>
      <w:pPr>
        <w:pStyle w:val="Heading1"/>
        <w:ind w:left="742"/>
      </w:pPr>
      <w:r>
        <w:rPr/>
        <w:t>ОБЕСПЕЧЕНИЕ НОРМ МИКРОКЛИМАТА В УЧЕБНЫХ</w:t>
      </w:r>
    </w:p>
    <w:p>
      <w:pPr>
        <w:spacing w:line="319" w:lineRule="exact" w:before="0"/>
        <w:ind w:left="177" w:right="603" w:firstLine="0"/>
        <w:jc w:val="center"/>
        <w:rPr>
          <w:b/>
          <w:sz w:val="28"/>
        </w:rPr>
      </w:pPr>
      <w:r>
        <w:rPr>
          <w:b/>
          <w:sz w:val="28"/>
        </w:rPr>
        <w:t>ЗАВЕДЕНИЯХ</w:t>
      </w:r>
    </w:p>
    <w:p>
      <w:pPr>
        <w:pStyle w:val="BodyText"/>
        <w:spacing w:line="319" w:lineRule="exact"/>
        <w:ind w:left="4577"/>
      </w:pPr>
      <w:r>
        <w:rPr/>
        <w:t>Перетяка</w:t>
      </w:r>
      <w:r>
        <w:rPr>
          <w:spacing w:val="-7"/>
        </w:rPr>
        <w:t> </w:t>
      </w:r>
      <w:r>
        <w:rPr/>
        <w:t>С.</w:t>
      </w:r>
    </w:p>
    <w:p>
      <w:pPr>
        <w:spacing w:line="240" w:lineRule="auto" w:before="0"/>
        <w:ind w:left="193" w:right="611" w:firstLine="710"/>
        <w:jc w:val="both"/>
        <w:rPr>
          <w:i/>
          <w:sz w:val="28"/>
        </w:rPr>
      </w:pPr>
      <w:r>
        <w:rPr>
          <w:i/>
          <w:sz w:val="28"/>
        </w:rPr>
        <w:t>Человек 80% времени проводит в помещениях различного назначения, из </w:t>
      </w:r>
      <w:r>
        <w:rPr>
          <w:i/>
          <w:sz w:val="28"/>
        </w:rPr>
        <w:t>которых 40% - это его рабочее место. В высших учебных заведениях это аудитории. Преподавание и восприятия учебной информации требует повышения уровня работоспособности и психоэмоциональной активности. Во время усвоения материала студентам приходится «включать» восприятия, мышления, память, воображение, внимание, заинтересованность, сосредоточенность, что вызывает внутреннее напряжение организма и, как следствие, - утомление. В связи с этим необходимо уметь регулировать микроклимат в учебных помещениях, знать состояние особенности теплообмена организма при умственном напряжении, а также - состояние систем вентиляции и отопления. Несоблюдение гигиенических требований к воздушному режиму ухудшает восприятие и усвоение учебного материала, а также приводит к ухудшению состояния здоровья и студентов, и преподавателей. Поэтому создание комфортного и безопасного воздушной среды в аудиториях является приоритетной задачей руководства учебных заведений. В настоящее время Украина отстает от развитых стран Европы в</w:t>
      </w:r>
    </w:p>
    <w:p>
      <w:pPr>
        <w:spacing w:after="0" w:line="240" w:lineRule="auto"/>
        <w:jc w:val="both"/>
        <w:rPr>
          <w:sz w:val="28"/>
        </w:rPr>
        <w:sectPr>
          <w:pgSz w:w="11910" w:h="16840"/>
          <w:pgMar w:header="713" w:footer="778" w:top="1140" w:bottom="960" w:left="940" w:right="520"/>
        </w:sectPr>
      </w:pPr>
    </w:p>
    <w:p>
      <w:pPr>
        <w:spacing w:line="240" w:lineRule="auto" w:before="92"/>
        <w:ind w:left="193" w:right="607" w:firstLine="0"/>
        <w:jc w:val="both"/>
        <w:rPr>
          <w:i/>
          <w:sz w:val="28"/>
        </w:rPr>
      </w:pPr>
      <w:r>
        <w:rPr>
          <w:i/>
          <w:sz w:val="28"/>
        </w:rPr>
        <w:t>решении вопроса обеспечения норм микроклимата в аудиториях. Для </w:t>
      </w:r>
      <w:r>
        <w:rPr>
          <w:i/>
          <w:sz w:val="28"/>
        </w:rPr>
        <w:t>обеспечения нормативных метеорологических условий необходима энергия, которая будет использоваться для работы систем отопления, вентиляции и кондиционирования. Необходимо отметить, что Украина принадлежит к странам с дефицитом энергии, поскольку за счет собственных источников первичных энергетических ресурсов потребности покрываются менее на 50 </w:t>
      </w:r>
      <w:r>
        <w:rPr>
          <w:i/>
          <w:spacing w:val="-6"/>
          <w:sz w:val="28"/>
        </w:rPr>
        <w:t>%. </w:t>
      </w:r>
      <w:r>
        <w:rPr>
          <w:i/>
          <w:sz w:val="28"/>
        </w:rPr>
        <w:t>За счет собственной добычи покрывается 15 % потребностей в нефти и</w:t>
      </w:r>
      <w:r>
        <w:rPr>
          <w:i/>
          <w:spacing w:val="-28"/>
          <w:sz w:val="28"/>
        </w:rPr>
        <w:t> </w:t>
      </w:r>
      <w:r>
        <w:rPr>
          <w:i/>
          <w:spacing w:val="2"/>
          <w:sz w:val="28"/>
        </w:rPr>
        <w:t>20-25</w:t>
      </w:r>
    </w:p>
    <w:p>
      <w:pPr>
        <w:spacing w:before="2"/>
        <w:ind w:left="193" w:right="615" w:firstLine="0"/>
        <w:jc w:val="both"/>
        <w:rPr>
          <w:i/>
          <w:sz w:val="28"/>
        </w:rPr>
      </w:pPr>
      <w:r>
        <w:rPr>
          <w:i/>
          <w:sz w:val="28"/>
        </w:rPr>
        <w:t>%</w:t>
      </w:r>
      <w:r>
        <w:rPr>
          <w:i/>
          <w:spacing w:val="-18"/>
          <w:sz w:val="28"/>
        </w:rPr>
        <w:t> </w:t>
      </w:r>
      <w:r>
        <w:rPr>
          <w:i/>
          <w:sz w:val="28"/>
        </w:rPr>
        <w:t>-</w:t>
      </w:r>
      <w:r>
        <w:rPr>
          <w:i/>
          <w:spacing w:val="-14"/>
          <w:sz w:val="28"/>
        </w:rPr>
        <w:t> </w:t>
      </w:r>
      <w:r>
        <w:rPr>
          <w:i/>
          <w:sz w:val="28"/>
        </w:rPr>
        <w:t>в</w:t>
      </w:r>
      <w:r>
        <w:rPr>
          <w:i/>
          <w:spacing w:val="-14"/>
          <w:sz w:val="28"/>
        </w:rPr>
        <w:t> </w:t>
      </w:r>
      <w:r>
        <w:rPr>
          <w:i/>
          <w:sz w:val="28"/>
        </w:rPr>
        <w:t>природном</w:t>
      </w:r>
      <w:r>
        <w:rPr>
          <w:i/>
          <w:spacing w:val="-12"/>
          <w:sz w:val="28"/>
        </w:rPr>
        <w:t> </w:t>
      </w:r>
      <w:r>
        <w:rPr>
          <w:i/>
          <w:sz w:val="28"/>
        </w:rPr>
        <w:t>газе.</w:t>
      </w:r>
      <w:r>
        <w:rPr>
          <w:i/>
          <w:spacing w:val="-10"/>
          <w:sz w:val="28"/>
        </w:rPr>
        <w:t> </w:t>
      </w:r>
      <w:r>
        <w:rPr>
          <w:i/>
          <w:sz w:val="28"/>
        </w:rPr>
        <w:t>Самой</w:t>
      </w:r>
      <w:r>
        <w:rPr>
          <w:i/>
          <w:spacing w:val="-12"/>
          <w:sz w:val="28"/>
        </w:rPr>
        <w:t> </w:t>
      </w:r>
      <w:r>
        <w:rPr>
          <w:i/>
          <w:sz w:val="28"/>
        </w:rPr>
        <w:t>сложной</w:t>
      </w:r>
      <w:r>
        <w:rPr>
          <w:i/>
          <w:spacing w:val="-13"/>
          <w:sz w:val="28"/>
        </w:rPr>
        <w:t> </w:t>
      </w:r>
      <w:r>
        <w:rPr>
          <w:i/>
          <w:sz w:val="28"/>
        </w:rPr>
        <w:t>по</w:t>
      </w:r>
      <w:r>
        <w:rPr>
          <w:i/>
          <w:spacing w:val="-17"/>
          <w:sz w:val="28"/>
        </w:rPr>
        <w:t> </w:t>
      </w:r>
      <w:r>
        <w:rPr>
          <w:i/>
          <w:sz w:val="28"/>
        </w:rPr>
        <w:t>эффективности</w:t>
      </w:r>
      <w:r>
        <w:rPr>
          <w:i/>
          <w:spacing w:val="-12"/>
          <w:sz w:val="28"/>
        </w:rPr>
        <w:t> </w:t>
      </w:r>
      <w:r>
        <w:rPr>
          <w:i/>
          <w:sz w:val="28"/>
        </w:rPr>
        <w:t>использования</w:t>
      </w:r>
      <w:r>
        <w:rPr>
          <w:i/>
          <w:spacing w:val="-12"/>
          <w:sz w:val="28"/>
        </w:rPr>
        <w:t> </w:t>
      </w:r>
      <w:r>
        <w:rPr>
          <w:i/>
          <w:sz w:val="28"/>
        </w:rPr>
        <w:t>энергии </w:t>
      </w:r>
      <w:r>
        <w:rPr>
          <w:i/>
          <w:sz w:val="28"/>
        </w:rPr>
        <w:t>остается</w:t>
      </w:r>
      <w:r>
        <w:rPr>
          <w:i/>
          <w:spacing w:val="-11"/>
          <w:sz w:val="28"/>
        </w:rPr>
        <w:t> </w:t>
      </w:r>
      <w:r>
        <w:rPr>
          <w:i/>
          <w:sz w:val="28"/>
        </w:rPr>
        <w:t>ситуация</w:t>
      </w:r>
      <w:r>
        <w:rPr>
          <w:i/>
          <w:spacing w:val="-10"/>
          <w:sz w:val="28"/>
        </w:rPr>
        <w:t> </w:t>
      </w:r>
      <w:r>
        <w:rPr>
          <w:i/>
          <w:sz w:val="28"/>
        </w:rPr>
        <w:t>в</w:t>
      </w:r>
      <w:r>
        <w:rPr>
          <w:i/>
          <w:spacing w:val="-11"/>
          <w:sz w:val="28"/>
        </w:rPr>
        <w:t> </w:t>
      </w:r>
      <w:r>
        <w:rPr>
          <w:i/>
          <w:sz w:val="28"/>
        </w:rPr>
        <w:t>жилищно-коммунальном</w:t>
      </w:r>
      <w:r>
        <w:rPr>
          <w:i/>
          <w:spacing w:val="-10"/>
          <w:sz w:val="28"/>
        </w:rPr>
        <w:t> </w:t>
      </w:r>
      <w:r>
        <w:rPr>
          <w:i/>
          <w:sz w:val="28"/>
        </w:rPr>
        <w:t>комплексе,</w:t>
      </w:r>
      <w:r>
        <w:rPr>
          <w:i/>
          <w:spacing w:val="-8"/>
          <w:sz w:val="28"/>
        </w:rPr>
        <w:t> </w:t>
      </w:r>
      <w:r>
        <w:rPr>
          <w:i/>
          <w:sz w:val="28"/>
        </w:rPr>
        <w:t>где</w:t>
      </w:r>
      <w:r>
        <w:rPr>
          <w:i/>
          <w:spacing w:val="-10"/>
          <w:sz w:val="28"/>
        </w:rPr>
        <w:t> </w:t>
      </w:r>
      <w:r>
        <w:rPr>
          <w:i/>
          <w:sz w:val="28"/>
        </w:rPr>
        <w:t>старые</w:t>
      </w:r>
      <w:r>
        <w:rPr>
          <w:i/>
          <w:spacing w:val="-10"/>
          <w:sz w:val="28"/>
        </w:rPr>
        <w:t> </w:t>
      </w:r>
      <w:r>
        <w:rPr>
          <w:i/>
          <w:sz w:val="28"/>
        </w:rPr>
        <w:t>тепловые и водопроводные станции работают с низким КПД и осуществляют поставки через</w:t>
      </w:r>
      <w:r>
        <w:rPr>
          <w:i/>
          <w:spacing w:val="-13"/>
          <w:sz w:val="28"/>
        </w:rPr>
        <w:t> </w:t>
      </w:r>
      <w:r>
        <w:rPr>
          <w:i/>
          <w:sz w:val="28"/>
        </w:rPr>
        <w:t>такие</w:t>
      </w:r>
      <w:r>
        <w:rPr>
          <w:i/>
          <w:spacing w:val="-13"/>
          <w:sz w:val="28"/>
        </w:rPr>
        <w:t> </w:t>
      </w:r>
      <w:r>
        <w:rPr>
          <w:i/>
          <w:sz w:val="28"/>
        </w:rPr>
        <w:t>же</w:t>
      </w:r>
      <w:r>
        <w:rPr>
          <w:i/>
          <w:spacing w:val="-14"/>
          <w:sz w:val="28"/>
        </w:rPr>
        <w:t> </w:t>
      </w:r>
      <w:r>
        <w:rPr>
          <w:i/>
          <w:sz w:val="28"/>
        </w:rPr>
        <w:t>изношенные</w:t>
      </w:r>
      <w:r>
        <w:rPr>
          <w:i/>
          <w:spacing w:val="-13"/>
          <w:sz w:val="28"/>
        </w:rPr>
        <w:t> </w:t>
      </w:r>
      <w:r>
        <w:rPr>
          <w:i/>
          <w:sz w:val="28"/>
        </w:rPr>
        <w:t>сети.</w:t>
      </w:r>
      <w:r>
        <w:rPr>
          <w:i/>
          <w:spacing w:val="-16"/>
          <w:sz w:val="28"/>
        </w:rPr>
        <w:t> </w:t>
      </w:r>
      <w:r>
        <w:rPr>
          <w:i/>
          <w:sz w:val="28"/>
        </w:rPr>
        <w:t>В</w:t>
      </w:r>
      <w:r>
        <w:rPr>
          <w:i/>
          <w:spacing w:val="-16"/>
          <w:sz w:val="28"/>
        </w:rPr>
        <w:t> </w:t>
      </w:r>
      <w:r>
        <w:rPr>
          <w:i/>
          <w:sz w:val="28"/>
        </w:rPr>
        <w:t>результате</w:t>
      </w:r>
      <w:r>
        <w:rPr>
          <w:i/>
          <w:spacing w:val="-13"/>
          <w:sz w:val="28"/>
        </w:rPr>
        <w:t> </w:t>
      </w:r>
      <w:r>
        <w:rPr>
          <w:i/>
          <w:sz w:val="28"/>
        </w:rPr>
        <w:t>потери</w:t>
      </w:r>
      <w:r>
        <w:rPr>
          <w:i/>
          <w:spacing w:val="-14"/>
          <w:sz w:val="28"/>
        </w:rPr>
        <w:t> </w:t>
      </w:r>
      <w:r>
        <w:rPr>
          <w:i/>
          <w:sz w:val="28"/>
        </w:rPr>
        <w:t>энергии</w:t>
      </w:r>
      <w:r>
        <w:rPr>
          <w:i/>
          <w:spacing w:val="-15"/>
          <w:sz w:val="28"/>
        </w:rPr>
        <w:t> </w:t>
      </w:r>
      <w:r>
        <w:rPr>
          <w:i/>
          <w:sz w:val="28"/>
        </w:rPr>
        <w:t>достигают</w:t>
      </w:r>
      <w:r>
        <w:rPr>
          <w:i/>
          <w:spacing w:val="-13"/>
          <w:sz w:val="28"/>
        </w:rPr>
        <w:t> </w:t>
      </w:r>
      <w:r>
        <w:rPr>
          <w:i/>
          <w:spacing w:val="4"/>
          <w:sz w:val="28"/>
        </w:rPr>
        <w:t>45-</w:t>
      </w:r>
    </w:p>
    <w:p>
      <w:pPr>
        <w:spacing w:before="0"/>
        <w:ind w:left="193" w:right="614" w:firstLine="0"/>
        <w:jc w:val="both"/>
        <w:rPr>
          <w:i/>
          <w:sz w:val="28"/>
        </w:rPr>
      </w:pPr>
      <w:r>
        <w:rPr>
          <w:i/>
          <w:sz w:val="28"/>
        </w:rPr>
        <w:t>50 %. Кроме того, здания, в которых расположено большинство учебных </w:t>
      </w:r>
      <w:r>
        <w:rPr>
          <w:i/>
          <w:sz w:val="28"/>
        </w:rPr>
        <w:t>заведений Украины, были построены во времена бывшего СССР. Термическое сопротивление ограждений зданий не соответствует действующим нормам, системы вентиляции архаичные, а системы охлаждения и увлажнения воздуха не предусмотрены. Ситуация с метеорологическими условиями в учебных заведениях и варианты ее исправления рассматривается на примере Одесского национального морского университета.</w:t>
      </w:r>
    </w:p>
    <w:p>
      <w:pPr>
        <w:spacing w:before="2"/>
        <w:ind w:left="193" w:right="614" w:firstLine="710"/>
        <w:jc w:val="both"/>
        <w:rPr>
          <w:i/>
          <w:sz w:val="28"/>
        </w:rPr>
      </w:pPr>
      <w:r>
        <w:rPr>
          <w:b/>
          <w:i/>
          <w:sz w:val="28"/>
        </w:rPr>
        <w:t>Ключевые слова: </w:t>
      </w:r>
      <w:r>
        <w:rPr>
          <w:i/>
          <w:sz w:val="28"/>
        </w:rPr>
        <w:t>микроклимат, комфорт, санитарно-гигиенические </w:t>
      </w:r>
      <w:r>
        <w:rPr>
          <w:i/>
          <w:sz w:val="28"/>
        </w:rPr>
        <w:t>нормы, теплоснабжение, допустимые условия, оптимальные условия, термическое сопротивление, тепловая</w:t>
      </w:r>
      <w:r>
        <w:rPr>
          <w:i/>
          <w:spacing w:val="5"/>
          <w:sz w:val="28"/>
        </w:rPr>
        <w:t> </w:t>
      </w:r>
      <w:r>
        <w:rPr>
          <w:i/>
          <w:sz w:val="28"/>
        </w:rPr>
        <w:t>изоляция.</w:t>
      </w:r>
    </w:p>
    <w:p>
      <w:pPr>
        <w:pStyle w:val="BodyText"/>
        <w:spacing w:before="4"/>
        <w:ind w:left="0"/>
        <w:jc w:val="left"/>
        <w:rPr>
          <w:i/>
        </w:rPr>
      </w:pPr>
    </w:p>
    <w:p>
      <w:pPr>
        <w:pStyle w:val="Heading1"/>
        <w:ind w:left="4001" w:right="1644" w:hanging="2761"/>
        <w:jc w:val="left"/>
      </w:pPr>
      <w:r>
        <w:rPr/>
        <w:t>ENSURING MICROCLIMATE NORMS IN EDUCATIONAL INSTITUTIONS</w:t>
      </w:r>
    </w:p>
    <w:p>
      <w:pPr>
        <w:pStyle w:val="BodyText"/>
        <w:spacing w:line="316" w:lineRule="exact"/>
        <w:ind w:left="4625"/>
      </w:pPr>
      <w:r>
        <w:rPr/>
        <w:t>Peretiaka S.</w:t>
      </w:r>
    </w:p>
    <w:p>
      <w:pPr>
        <w:spacing w:line="240" w:lineRule="auto" w:before="0"/>
        <w:ind w:left="193" w:right="610" w:firstLine="710"/>
        <w:jc w:val="both"/>
        <w:rPr>
          <w:i/>
          <w:sz w:val="28"/>
        </w:rPr>
      </w:pPr>
      <w:r>
        <w:rPr>
          <w:i/>
          <w:sz w:val="28"/>
        </w:rPr>
        <w:t>A</w:t>
      </w:r>
      <w:r>
        <w:rPr>
          <w:i/>
          <w:spacing w:val="-10"/>
          <w:sz w:val="28"/>
        </w:rPr>
        <w:t> </w:t>
      </w:r>
      <w:r>
        <w:rPr>
          <w:i/>
          <w:sz w:val="28"/>
        </w:rPr>
        <w:t>person</w:t>
      </w:r>
      <w:r>
        <w:rPr>
          <w:i/>
          <w:spacing w:val="-6"/>
          <w:sz w:val="28"/>
        </w:rPr>
        <w:t> </w:t>
      </w:r>
      <w:r>
        <w:rPr>
          <w:i/>
          <w:sz w:val="28"/>
        </w:rPr>
        <w:t>spends</w:t>
      </w:r>
      <w:r>
        <w:rPr>
          <w:i/>
          <w:spacing w:val="-4"/>
          <w:sz w:val="28"/>
        </w:rPr>
        <w:t> </w:t>
      </w:r>
      <w:r>
        <w:rPr>
          <w:i/>
          <w:spacing w:val="3"/>
          <w:sz w:val="28"/>
        </w:rPr>
        <w:t>80%</w:t>
      </w:r>
      <w:r>
        <w:rPr>
          <w:i/>
          <w:spacing w:val="-18"/>
          <w:sz w:val="28"/>
        </w:rPr>
        <w:t> </w:t>
      </w:r>
      <w:r>
        <w:rPr>
          <w:i/>
          <w:sz w:val="28"/>
        </w:rPr>
        <w:t>of</w:t>
      </w:r>
      <w:r>
        <w:rPr>
          <w:i/>
          <w:spacing w:val="-2"/>
          <w:sz w:val="28"/>
        </w:rPr>
        <w:t> </w:t>
      </w:r>
      <w:r>
        <w:rPr>
          <w:i/>
          <w:sz w:val="28"/>
        </w:rPr>
        <w:t>his</w:t>
      </w:r>
      <w:r>
        <w:rPr>
          <w:i/>
          <w:spacing w:val="-5"/>
          <w:sz w:val="28"/>
        </w:rPr>
        <w:t> </w:t>
      </w:r>
      <w:r>
        <w:rPr>
          <w:i/>
          <w:sz w:val="28"/>
        </w:rPr>
        <w:t>time</w:t>
      </w:r>
      <w:r>
        <w:rPr>
          <w:i/>
          <w:spacing w:val="-5"/>
          <w:sz w:val="28"/>
        </w:rPr>
        <w:t> </w:t>
      </w:r>
      <w:r>
        <w:rPr>
          <w:i/>
          <w:sz w:val="28"/>
        </w:rPr>
        <w:t>in</w:t>
      </w:r>
      <w:r>
        <w:rPr>
          <w:i/>
          <w:spacing w:val="-3"/>
          <w:sz w:val="28"/>
        </w:rPr>
        <w:t> </w:t>
      </w:r>
      <w:r>
        <w:rPr>
          <w:i/>
          <w:sz w:val="28"/>
        </w:rPr>
        <w:t>premises</w:t>
      </w:r>
      <w:r>
        <w:rPr>
          <w:i/>
          <w:spacing w:val="-4"/>
          <w:sz w:val="28"/>
        </w:rPr>
        <w:t> </w:t>
      </w:r>
      <w:r>
        <w:rPr>
          <w:i/>
          <w:sz w:val="28"/>
        </w:rPr>
        <w:t>of</w:t>
      </w:r>
      <w:r>
        <w:rPr>
          <w:i/>
          <w:spacing w:val="-7"/>
          <w:sz w:val="28"/>
        </w:rPr>
        <w:t> </w:t>
      </w:r>
      <w:r>
        <w:rPr>
          <w:i/>
          <w:sz w:val="28"/>
        </w:rPr>
        <w:t>various</w:t>
      </w:r>
      <w:r>
        <w:rPr>
          <w:i/>
          <w:spacing w:val="-5"/>
          <w:sz w:val="28"/>
        </w:rPr>
        <w:t> </w:t>
      </w:r>
      <w:r>
        <w:rPr>
          <w:i/>
          <w:sz w:val="28"/>
        </w:rPr>
        <w:t>purposes,</w:t>
      </w:r>
      <w:r>
        <w:rPr>
          <w:i/>
          <w:spacing w:val="-5"/>
          <w:sz w:val="28"/>
        </w:rPr>
        <w:t> </w:t>
      </w:r>
      <w:r>
        <w:rPr>
          <w:i/>
          <w:sz w:val="28"/>
        </w:rPr>
        <w:t>of</w:t>
      </w:r>
      <w:r>
        <w:rPr>
          <w:i/>
          <w:spacing w:val="-2"/>
          <w:sz w:val="28"/>
        </w:rPr>
        <w:t> </w:t>
      </w:r>
      <w:r>
        <w:rPr>
          <w:i/>
          <w:sz w:val="28"/>
        </w:rPr>
        <w:t>which</w:t>
      </w:r>
      <w:r>
        <w:rPr>
          <w:i/>
          <w:spacing w:val="-6"/>
          <w:sz w:val="28"/>
        </w:rPr>
        <w:t> </w:t>
      </w:r>
      <w:r>
        <w:rPr>
          <w:i/>
          <w:spacing w:val="4"/>
          <w:sz w:val="28"/>
        </w:rPr>
        <w:t>40% </w:t>
      </w:r>
      <w:r>
        <w:rPr>
          <w:i/>
          <w:sz w:val="28"/>
        </w:rPr>
        <w:t>is his workplace. In higher education it is the audience. Teaching and perception of educational information requires an increase in the level of efficiency and psycho- emotional</w:t>
      </w:r>
      <w:r>
        <w:rPr>
          <w:i/>
          <w:spacing w:val="-9"/>
          <w:sz w:val="28"/>
        </w:rPr>
        <w:t> </w:t>
      </w:r>
      <w:r>
        <w:rPr>
          <w:i/>
          <w:sz w:val="28"/>
        </w:rPr>
        <w:t>activity.</w:t>
      </w:r>
      <w:r>
        <w:rPr>
          <w:i/>
          <w:spacing w:val="-6"/>
          <w:sz w:val="28"/>
        </w:rPr>
        <w:t> </w:t>
      </w:r>
      <w:r>
        <w:rPr>
          <w:i/>
          <w:sz w:val="28"/>
        </w:rPr>
        <w:t>During</w:t>
      </w:r>
      <w:r>
        <w:rPr>
          <w:i/>
          <w:spacing w:val="-8"/>
          <w:sz w:val="28"/>
        </w:rPr>
        <w:t> </w:t>
      </w:r>
      <w:r>
        <w:rPr>
          <w:i/>
          <w:sz w:val="28"/>
        </w:rPr>
        <w:t>the</w:t>
      </w:r>
      <w:r>
        <w:rPr>
          <w:i/>
          <w:spacing w:val="-6"/>
          <w:sz w:val="28"/>
        </w:rPr>
        <w:t> </w:t>
      </w:r>
      <w:r>
        <w:rPr>
          <w:i/>
          <w:sz w:val="28"/>
        </w:rPr>
        <w:t>assimilation</w:t>
      </w:r>
      <w:r>
        <w:rPr>
          <w:i/>
          <w:spacing w:val="-3"/>
          <w:sz w:val="28"/>
        </w:rPr>
        <w:t> </w:t>
      </w:r>
      <w:r>
        <w:rPr>
          <w:i/>
          <w:sz w:val="28"/>
        </w:rPr>
        <w:t>of</w:t>
      </w:r>
      <w:r>
        <w:rPr>
          <w:i/>
          <w:spacing w:val="-8"/>
          <w:sz w:val="28"/>
        </w:rPr>
        <w:t> </w:t>
      </w:r>
      <w:r>
        <w:rPr>
          <w:i/>
          <w:sz w:val="28"/>
        </w:rPr>
        <w:t>the</w:t>
      </w:r>
      <w:r>
        <w:rPr>
          <w:i/>
          <w:spacing w:val="-6"/>
          <w:sz w:val="28"/>
        </w:rPr>
        <w:t> </w:t>
      </w:r>
      <w:r>
        <w:rPr>
          <w:i/>
          <w:sz w:val="28"/>
        </w:rPr>
        <w:t>material,</w:t>
      </w:r>
      <w:r>
        <w:rPr>
          <w:i/>
          <w:spacing w:val="-5"/>
          <w:sz w:val="28"/>
        </w:rPr>
        <w:t> </w:t>
      </w:r>
      <w:r>
        <w:rPr>
          <w:i/>
          <w:sz w:val="28"/>
        </w:rPr>
        <w:t>students</w:t>
      </w:r>
      <w:r>
        <w:rPr>
          <w:i/>
          <w:spacing w:val="-6"/>
          <w:sz w:val="28"/>
        </w:rPr>
        <w:t> </w:t>
      </w:r>
      <w:r>
        <w:rPr>
          <w:i/>
          <w:sz w:val="28"/>
        </w:rPr>
        <w:t>have</w:t>
      </w:r>
      <w:r>
        <w:rPr>
          <w:i/>
          <w:spacing w:val="-7"/>
          <w:sz w:val="28"/>
        </w:rPr>
        <w:t> </w:t>
      </w:r>
      <w:r>
        <w:rPr>
          <w:i/>
          <w:sz w:val="28"/>
        </w:rPr>
        <w:t>to</w:t>
      </w:r>
      <w:r>
        <w:rPr>
          <w:i/>
          <w:spacing w:val="-3"/>
          <w:sz w:val="28"/>
        </w:rPr>
        <w:t> </w:t>
      </w:r>
      <w:r>
        <w:rPr>
          <w:i/>
          <w:sz w:val="28"/>
        </w:rPr>
        <w:t>“turn</w:t>
      </w:r>
      <w:r>
        <w:rPr>
          <w:i/>
          <w:spacing w:val="-7"/>
          <w:sz w:val="28"/>
        </w:rPr>
        <w:t> </w:t>
      </w:r>
      <w:r>
        <w:rPr>
          <w:i/>
          <w:sz w:val="28"/>
        </w:rPr>
        <w:t>on” perceptions, thinking, memory, imagination, attention, interest, concentration, which causes the internal stress of the body and, as a result, fatigue. In connection with the foregoing,</w:t>
      </w:r>
      <w:r>
        <w:rPr>
          <w:i/>
          <w:spacing w:val="-10"/>
          <w:sz w:val="28"/>
        </w:rPr>
        <w:t> </w:t>
      </w:r>
      <w:r>
        <w:rPr>
          <w:i/>
          <w:sz w:val="28"/>
        </w:rPr>
        <w:t>it</w:t>
      </w:r>
      <w:r>
        <w:rPr>
          <w:i/>
          <w:spacing w:val="-12"/>
          <w:sz w:val="28"/>
        </w:rPr>
        <w:t> </w:t>
      </w:r>
      <w:r>
        <w:rPr>
          <w:i/>
          <w:sz w:val="28"/>
        </w:rPr>
        <w:t>is</w:t>
      </w:r>
      <w:r>
        <w:rPr>
          <w:i/>
          <w:spacing w:val="-10"/>
          <w:sz w:val="28"/>
        </w:rPr>
        <w:t> </w:t>
      </w:r>
      <w:r>
        <w:rPr>
          <w:i/>
          <w:sz w:val="28"/>
        </w:rPr>
        <w:t>necessary</w:t>
      </w:r>
      <w:r>
        <w:rPr>
          <w:i/>
          <w:spacing w:val="-10"/>
          <w:sz w:val="28"/>
        </w:rPr>
        <w:t> </w:t>
      </w:r>
      <w:r>
        <w:rPr>
          <w:i/>
          <w:sz w:val="28"/>
        </w:rPr>
        <w:t>to</w:t>
      </w:r>
      <w:r>
        <w:rPr>
          <w:i/>
          <w:spacing w:val="-12"/>
          <w:sz w:val="28"/>
        </w:rPr>
        <w:t> </w:t>
      </w:r>
      <w:r>
        <w:rPr>
          <w:i/>
          <w:sz w:val="28"/>
        </w:rPr>
        <w:t>be</w:t>
      </w:r>
      <w:r>
        <w:rPr>
          <w:i/>
          <w:spacing w:val="-10"/>
          <w:sz w:val="28"/>
        </w:rPr>
        <w:t> </w:t>
      </w:r>
      <w:r>
        <w:rPr>
          <w:i/>
          <w:sz w:val="28"/>
        </w:rPr>
        <w:t>able</w:t>
      </w:r>
      <w:r>
        <w:rPr>
          <w:i/>
          <w:spacing w:val="-11"/>
          <w:sz w:val="28"/>
        </w:rPr>
        <w:t> </w:t>
      </w:r>
      <w:r>
        <w:rPr>
          <w:i/>
          <w:sz w:val="28"/>
        </w:rPr>
        <w:t>to</w:t>
      </w:r>
      <w:r>
        <w:rPr>
          <w:i/>
          <w:spacing w:val="-12"/>
          <w:sz w:val="28"/>
        </w:rPr>
        <w:t> </w:t>
      </w:r>
      <w:r>
        <w:rPr>
          <w:i/>
          <w:sz w:val="28"/>
        </w:rPr>
        <w:t>regulate</w:t>
      </w:r>
      <w:r>
        <w:rPr>
          <w:i/>
          <w:spacing w:val="-10"/>
          <w:sz w:val="28"/>
        </w:rPr>
        <w:t> </w:t>
      </w:r>
      <w:r>
        <w:rPr>
          <w:i/>
          <w:sz w:val="28"/>
        </w:rPr>
        <w:t>the</w:t>
      </w:r>
      <w:r>
        <w:rPr>
          <w:i/>
          <w:spacing w:val="-11"/>
          <w:sz w:val="28"/>
        </w:rPr>
        <w:t> </w:t>
      </w:r>
      <w:r>
        <w:rPr>
          <w:i/>
          <w:sz w:val="28"/>
        </w:rPr>
        <w:t>microclimate</w:t>
      </w:r>
      <w:r>
        <w:rPr>
          <w:i/>
          <w:spacing w:val="-10"/>
          <w:sz w:val="28"/>
        </w:rPr>
        <w:t> </w:t>
      </w:r>
      <w:r>
        <w:rPr>
          <w:i/>
          <w:sz w:val="28"/>
        </w:rPr>
        <w:t>in</w:t>
      </w:r>
      <w:r>
        <w:rPr>
          <w:i/>
          <w:spacing w:val="-12"/>
          <w:sz w:val="28"/>
        </w:rPr>
        <w:t> </w:t>
      </w:r>
      <w:r>
        <w:rPr>
          <w:i/>
          <w:sz w:val="28"/>
        </w:rPr>
        <w:t>the</w:t>
      </w:r>
      <w:r>
        <w:rPr>
          <w:i/>
          <w:spacing w:val="-10"/>
          <w:sz w:val="28"/>
        </w:rPr>
        <w:t> </w:t>
      </w:r>
      <w:r>
        <w:rPr>
          <w:i/>
          <w:sz w:val="28"/>
        </w:rPr>
        <w:t>training</w:t>
      </w:r>
      <w:r>
        <w:rPr>
          <w:i/>
          <w:spacing w:val="-11"/>
          <w:sz w:val="28"/>
        </w:rPr>
        <w:t> </w:t>
      </w:r>
      <w:r>
        <w:rPr>
          <w:i/>
          <w:sz w:val="28"/>
        </w:rPr>
        <w:t>rooms, to</w:t>
      </w:r>
      <w:r>
        <w:rPr>
          <w:i/>
          <w:spacing w:val="-8"/>
          <w:sz w:val="28"/>
        </w:rPr>
        <w:t> </w:t>
      </w:r>
      <w:r>
        <w:rPr>
          <w:i/>
          <w:sz w:val="28"/>
        </w:rPr>
        <w:t>know</w:t>
      </w:r>
      <w:r>
        <w:rPr>
          <w:i/>
          <w:spacing w:val="-14"/>
          <w:sz w:val="28"/>
        </w:rPr>
        <w:t> </w:t>
      </w:r>
      <w:r>
        <w:rPr>
          <w:i/>
          <w:sz w:val="28"/>
        </w:rPr>
        <w:t>the</w:t>
      </w:r>
      <w:r>
        <w:rPr>
          <w:i/>
          <w:spacing w:val="-6"/>
          <w:sz w:val="28"/>
        </w:rPr>
        <w:t> </w:t>
      </w:r>
      <w:r>
        <w:rPr>
          <w:i/>
          <w:sz w:val="28"/>
        </w:rPr>
        <w:t>state</w:t>
      </w:r>
      <w:r>
        <w:rPr>
          <w:i/>
          <w:spacing w:val="-6"/>
          <w:sz w:val="28"/>
        </w:rPr>
        <w:t> </w:t>
      </w:r>
      <w:r>
        <w:rPr>
          <w:i/>
          <w:sz w:val="28"/>
        </w:rPr>
        <w:t>of</w:t>
      </w:r>
      <w:r>
        <w:rPr>
          <w:i/>
          <w:spacing w:val="-7"/>
          <w:sz w:val="28"/>
        </w:rPr>
        <w:t> </w:t>
      </w:r>
      <w:r>
        <w:rPr>
          <w:i/>
          <w:sz w:val="28"/>
        </w:rPr>
        <w:t>the</w:t>
      </w:r>
      <w:r>
        <w:rPr>
          <w:i/>
          <w:spacing w:val="-7"/>
          <w:sz w:val="28"/>
        </w:rPr>
        <w:t> </w:t>
      </w:r>
      <w:r>
        <w:rPr>
          <w:i/>
          <w:sz w:val="28"/>
        </w:rPr>
        <w:t>body's</w:t>
      </w:r>
      <w:r>
        <w:rPr>
          <w:i/>
          <w:spacing w:val="-4"/>
          <w:sz w:val="28"/>
        </w:rPr>
        <w:t> </w:t>
      </w:r>
      <w:r>
        <w:rPr>
          <w:i/>
          <w:sz w:val="28"/>
        </w:rPr>
        <w:t>particular</w:t>
      </w:r>
      <w:r>
        <w:rPr>
          <w:i/>
          <w:spacing w:val="-5"/>
          <w:sz w:val="28"/>
        </w:rPr>
        <w:t> </w:t>
      </w:r>
      <w:r>
        <w:rPr>
          <w:i/>
          <w:sz w:val="28"/>
        </w:rPr>
        <w:t>heat</w:t>
      </w:r>
      <w:r>
        <w:rPr>
          <w:i/>
          <w:spacing w:val="-8"/>
          <w:sz w:val="28"/>
        </w:rPr>
        <w:t> </w:t>
      </w:r>
      <w:r>
        <w:rPr>
          <w:i/>
          <w:sz w:val="28"/>
        </w:rPr>
        <w:t>exchange</w:t>
      </w:r>
      <w:r>
        <w:rPr>
          <w:i/>
          <w:spacing w:val="-6"/>
          <w:sz w:val="28"/>
        </w:rPr>
        <w:t> </w:t>
      </w:r>
      <w:r>
        <w:rPr>
          <w:i/>
          <w:sz w:val="28"/>
        </w:rPr>
        <w:t>during</w:t>
      </w:r>
      <w:r>
        <w:rPr>
          <w:i/>
          <w:spacing w:val="-7"/>
          <w:sz w:val="28"/>
        </w:rPr>
        <w:t> </w:t>
      </w:r>
      <w:r>
        <w:rPr>
          <w:i/>
          <w:sz w:val="28"/>
        </w:rPr>
        <w:t>mental</w:t>
      </w:r>
      <w:r>
        <w:rPr>
          <w:i/>
          <w:spacing w:val="-8"/>
          <w:sz w:val="28"/>
        </w:rPr>
        <w:t> </w:t>
      </w:r>
      <w:r>
        <w:rPr>
          <w:i/>
          <w:sz w:val="28"/>
        </w:rPr>
        <w:t>stress,</w:t>
      </w:r>
      <w:r>
        <w:rPr>
          <w:i/>
          <w:spacing w:val="-5"/>
          <w:sz w:val="28"/>
        </w:rPr>
        <w:t> </w:t>
      </w:r>
      <w:r>
        <w:rPr>
          <w:i/>
          <w:sz w:val="28"/>
        </w:rPr>
        <w:t>and</w:t>
      </w:r>
      <w:r>
        <w:rPr>
          <w:i/>
          <w:spacing w:val="-6"/>
          <w:sz w:val="28"/>
        </w:rPr>
        <w:t> </w:t>
      </w:r>
      <w:r>
        <w:rPr>
          <w:i/>
          <w:sz w:val="28"/>
        </w:rPr>
        <w:t>also the state of the ventilation and heating systems. Failure to comply </w:t>
      </w:r>
      <w:r>
        <w:rPr>
          <w:i/>
          <w:spacing w:val="-3"/>
          <w:sz w:val="28"/>
        </w:rPr>
        <w:t>with </w:t>
      </w:r>
      <w:r>
        <w:rPr>
          <w:i/>
          <w:sz w:val="28"/>
        </w:rPr>
        <w:t>hygienic requirements for the air regime affects the perception and assimilation of educational material, and also leads to deterioration in the health status of both students and teachers. Therefore, the creation of a comfortable and safe air environment in the classrooms is a priority for the management of educational institutions. Currently, Ukraine is lagging behind the developed countries of Europe in addressing the issue of ensuring the standards of the microclimate in the classroom. To ensure the regulatory meteorological conditions, energy is needed that will be used for the operation of heating, ventilation and air conditioning systems. It should be noted that Ukraine belongs to countries with a shortage of energy, </w:t>
      </w:r>
      <w:r>
        <w:rPr>
          <w:i/>
          <w:spacing w:val="2"/>
          <w:sz w:val="28"/>
        </w:rPr>
        <w:t>since </w:t>
      </w:r>
      <w:r>
        <w:rPr>
          <w:i/>
          <w:sz w:val="28"/>
        </w:rPr>
        <w:t>its own sources of primary energy resources cover less than 50 </w:t>
      </w:r>
      <w:r>
        <w:rPr>
          <w:i/>
          <w:spacing w:val="-6"/>
          <w:sz w:val="28"/>
        </w:rPr>
        <w:t>%. </w:t>
      </w:r>
      <w:r>
        <w:rPr>
          <w:i/>
          <w:sz w:val="28"/>
        </w:rPr>
        <w:t>Own production covers 15 % of</w:t>
      </w:r>
      <w:r>
        <w:rPr>
          <w:i/>
          <w:spacing w:val="38"/>
          <w:sz w:val="28"/>
        </w:rPr>
        <w:t> </w:t>
      </w:r>
      <w:r>
        <w:rPr>
          <w:i/>
          <w:sz w:val="28"/>
        </w:rPr>
        <w:t>oil</w:t>
      </w:r>
    </w:p>
    <w:p>
      <w:pPr>
        <w:spacing w:after="0" w:line="240" w:lineRule="auto"/>
        <w:jc w:val="both"/>
        <w:rPr>
          <w:sz w:val="28"/>
        </w:rPr>
        <w:sectPr>
          <w:pgSz w:w="11910" w:h="16840"/>
          <w:pgMar w:header="713" w:footer="778" w:top="1140" w:bottom="960" w:left="940" w:right="520"/>
        </w:sectPr>
      </w:pPr>
    </w:p>
    <w:p>
      <w:pPr>
        <w:spacing w:line="240" w:lineRule="auto" w:before="92"/>
        <w:ind w:left="193" w:right="608" w:firstLine="0"/>
        <w:jc w:val="both"/>
        <w:rPr>
          <w:i/>
          <w:sz w:val="28"/>
        </w:rPr>
      </w:pPr>
      <w:r>
        <w:rPr>
          <w:i/>
          <w:sz w:val="28"/>
        </w:rPr>
        <w:t>demand and 20-25 % of natural gas. The most difficult in terms of energy efficiency </w:t>
      </w:r>
      <w:r>
        <w:rPr>
          <w:i/>
          <w:sz w:val="28"/>
        </w:rPr>
        <w:t>remains the situation in the housing and communal complex, where the </w:t>
      </w:r>
      <w:r>
        <w:rPr>
          <w:i/>
          <w:spacing w:val="3"/>
          <w:sz w:val="28"/>
        </w:rPr>
        <w:t>old </w:t>
      </w:r>
      <w:r>
        <w:rPr>
          <w:i/>
          <w:sz w:val="28"/>
        </w:rPr>
        <w:t>thermal and water stations operate with low efficiency and supply through the same worn-out networks. As a result, energy loss reaches 45-50%. In addition, the buildings in</w:t>
      </w:r>
      <w:r>
        <w:rPr>
          <w:i/>
          <w:spacing w:val="-44"/>
          <w:sz w:val="28"/>
        </w:rPr>
        <w:t> </w:t>
      </w:r>
      <w:r>
        <w:rPr>
          <w:i/>
          <w:sz w:val="28"/>
        </w:rPr>
        <w:t>which most educational institutions of Ukraine are located were built during the time of the former USSR. Thermal resistance of fences of buildings does not comply with current standards, ventilation systems are archaic and cooling and air humidification</w:t>
      </w:r>
      <w:r>
        <w:rPr>
          <w:i/>
          <w:spacing w:val="-43"/>
          <w:sz w:val="28"/>
        </w:rPr>
        <w:t> </w:t>
      </w:r>
      <w:r>
        <w:rPr>
          <w:i/>
          <w:sz w:val="28"/>
        </w:rPr>
        <w:t>systems are not provided. The situation with the meteorological conditions in educational institutions and the options for its correction is considered on the example of the Odessa National Maritime</w:t>
      </w:r>
      <w:r>
        <w:rPr>
          <w:i/>
          <w:spacing w:val="3"/>
          <w:sz w:val="28"/>
        </w:rPr>
        <w:t> </w:t>
      </w:r>
      <w:r>
        <w:rPr>
          <w:i/>
          <w:sz w:val="28"/>
        </w:rPr>
        <w:t>University.</w:t>
      </w:r>
    </w:p>
    <w:p>
      <w:pPr>
        <w:spacing w:before="2"/>
        <w:ind w:left="193" w:right="612" w:firstLine="710"/>
        <w:jc w:val="both"/>
        <w:rPr>
          <w:i/>
          <w:sz w:val="28"/>
        </w:rPr>
      </w:pPr>
      <w:r>
        <w:rPr>
          <w:b/>
          <w:i/>
          <w:sz w:val="28"/>
        </w:rPr>
        <w:t>Key</w:t>
      </w:r>
      <w:r>
        <w:rPr>
          <w:b/>
          <w:i/>
          <w:spacing w:val="-17"/>
          <w:sz w:val="28"/>
        </w:rPr>
        <w:t> </w:t>
      </w:r>
      <w:r>
        <w:rPr>
          <w:b/>
          <w:i/>
          <w:sz w:val="28"/>
        </w:rPr>
        <w:t>words:</w:t>
      </w:r>
      <w:r>
        <w:rPr>
          <w:b/>
          <w:i/>
          <w:spacing w:val="-17"/>
          <w:sz w:val="28"/>
        </w:rPr>
        <w:t> </w:t>
      </w:r>
      <w:r>
        <w:rPr>
          <w:i/>
          <w:sz w:val="28"/>
        </w:rPr>
        <w:t>microclimate,</w:t>
      </w:r>
      <w:r>
        <w:rPr>
          <w:i/>
          <w:spacing w:val="-20"/>
          <w:sz w:val="28"/>
        </w:rPr>
        <w:t> </w:t>
      </w:r>
      <w:r>
        <w:rPr>
          <w:i/>
          <w:sz w:val="28"/>
        </w:rPr>
        <w:t>comfort,</w:t>
      </w:r>
      <w:r>
        <w:rPr>
          <w:i/>
          <w:spacing w:val="-16"/>
          <w:sz w:val="28"/>
        </w:rPr>
        <w:t> </w:t>
      </w:r>
      <w:r>
        <w:rPr>
          <w:i/>
          <w:sz w:val="28"/>
        </w:rPr>
        <w:t>sanitary</w:t>
      </w:r>
      <w:r>
        <w:rPr>
          <w:i/>
          <w:spacing w:val="-25"/>
          <w:sz w:val="28"/>
        </w:rPr>
        <w:t> </w:t>
      </w:r>
      <w:r>
        <w:rPr>
          <w:i/>
          <w:sz w:val="28"/>
        </w:rPr>
        <w:t>and</w:t>
      </w:r>
      <w:r>
        <w:rPr>
          <w:i/>
          <w:spacing w:val="-18"/>
          <w:sz w:val="28"/>
        </w:rPr>
        <w:t> </w:t>
      </w:r>
      <w:r>
        <w:rPr>
          <w:i/>
          <w:sz w:val="28"/>
        </w:rPr>
        <w:t>hygienic</w:t>
      </w:r>
      <w:r>
        <w:rPr>
          <w:i/>
          <w:spacing w:val="-17"/>
          <w:sz w:val="28"/>
        </w:rPr>
        <w:t> </w:t>
      </w:r>
      <w:r>
        <w:rPr>
          <w:i/>
          <w:sz w:val="28"/>
        </w:rPr>
        <w:t>standards,</w:t>
      </w:r>
      <w:r>
        <w:rPr>
          <w:i/>
          <w:spacing w:val="-20"/>
          <w:sz w:val="28"/>
        </w:rPr>
        <w:t> </w:t>
      </w:r>
      <w:r>
        <w:rPr>
          <w:i/>
          <w:sz w:val="28"/>
        </w:rPr>
        <w:t>heat</w:t>
      </w:r>
      <w:r>
        <w:rPr>
          <w:i/>
          <w:spacing w:val="-18"/>
          <w:sz w:val="28"/>
        </w:rPr>
        <w:t> </w:t>
      </w:r>
      <w:r>
        <w:rPr>
          <w:i/>
          <w:sz w:val="28"/>
        </w:rPr>
        <w:t>supply, </w:t>
      </w:r>
      <w:r>
        <w:rPr>
          <w:i/>
          <w:sz w:val="28"/>
        </w:rPr>
        <w:t>permissible conditions, optimal conditions, thermal resistance, thermal</w:t>
      </w:r>
      <w:r>
        <w:rPr>
          <w:i/>
          <w:spacing w:val="-5"/>
          <w:sz w:val="28"/>
        </w:rPr>
        <w:t> </w:t>
      </w:r>
      <w:r>
        <w:rPr>
          <w:i/>
          <w:sz w:val="28"/>
        </w:rPr>
        <w:t>insulation.</w:t>
      </w:r>
    </w:p>
    <w:p>
      <w:pPr>
        <w:spacing w:after="0"/>
        <w:jc w:val="both"/>
        <w:rPr>
          <w:sz w:val="28"/>
        </w:rPr>
        <w:sectPr>
          <w:pgSz w:w="11910" w:h="16840"/>
          <w:pgMar w:header="713" w:footer="778" w:top="1140" w:bottom="960" w:left="940" w:right="520"/>
        </w:sectPr>
      </w:pPr>
    </w:p>
    <w:p>
      <w:pPr>
        <w:pStyle w:val="Heading1"/>
        <w:tabs>
          <w:tab w:pos="5763" w:val="left" w:leader="none"/>
        </w:tabs>
        <w:spacing w:before="96"/>
        <w:ind w:right="0"/>
        <w:jc w:val="left"/>
      </w:pPr>
      <w:r>
        <w:rPr>
          <w:spacing w:val="-3"/>
        </w:rPr>
        <w:t>УДК 502.53</w:t>
      </w:r>
      <w:r>
        <w:rPr>
          <w:spacing w:val="-18"/>
        </w:rPr>
        <w:t> </w:t>
      </w:r>
      <w:r>
        <w:rPr/>
        <w:t>:</w:t>
      </w:r>
      <w:r>
        <w:rPr>
          <w:spacing w:val="-12"/>
        </w:rPr>
        <w:t> </w:t>
      </w:r>
      <w:r>
        <w:rPr>
          <w:spacing w:val="-3"/>
        </w:rPr>
        <w:t>504.4.054</w:t>
        <w:tab/>
      </w:r>
      <w:r>
        <w:rPr/>
        <w:t>DOI:</w:t>
      </w:r>
      <w:r>
        <w:rPr>
          <w:spacing w:val="-1"/>
        </w:rPr>
        <w:t> </w:t>
      </w:r>
      <w:r>
        <w:rPr/>
        <w:t>10.37000/abbsl.2020.96.23</w:t>
      </w:r>
    </w:p>
    <w:p>
      <w:pPr>
        <w:pStyle w:val="BodyText"/>
        <w:spacing w:before="11"/>
        <w:ind w:left="0"/>
        <w:jc w:val="left"/>
        <w:rPr>
          <w:b/>
          <w:sz w:val="27"/>
        </w:rPr>
      </w:pPr>
    </w:p>
    <w:p>
      <w:pPr>
        <w:spacing w:before="0"/>
        <w:ind w:left="3189" w:right="0" w:hanging="2132"/>
        <w:jc w:val="left"/>
        <w:rPr>
          <w:b/>
          <w:sz w:val="28"/>
        </w:rPr>
      </w:pPr>
      <w:r>
        <w:rPr>
          <w:b/>
          <w:spacing w:val="-4"/>
          <w:sz w:val="28"/>
        </w:rPr>
        <w:t>ОЦІНКА</w:t>
      </w:r>
      <w:r>
        <w:rPr>
          <w:b/>
          <w:spacing w:val="-13"/>
          <w:sz w:val="28"/>
        </w:rPr>
        <w:t> </w:t>
      </w:r>
      <w:r>
        <w:rPr>
          <w:b/>
          <w:spacing w:val="-3"/>
          <w:sz w:val="28"/>
        </w:rPr>
        <w:t>ЯКОСТІ</w:t>
      </w:r>
      <w:r>
        <w:rPr>
          <w:b/>
          <w:spacing w:val="-11"/>
          <w:sz w:val="28"/>
        </w:rPr>
        <w:t> </w:t>
      </w:r>
      <w:r>
        <w:rPr>
          <w:b/>
          <w:spacing w:val="-4"/>
          <w:sz w:val="28"/>
        </w:rPr>
        <w:t>ВОД</w:t>
      </w:r>
      <w:r>
        <w:rPr>
          <w:b/>
          <w:spacing w:val="-13"/>
          <w:sz w:val="28"/>
        </w:rPr>
        <w:t> </w:t>
      </w:r>
      <w:r>
        <w:rPr>
          <w:b/>
          <w:spacing w:val="-3"/>
          <w:sz w:val="28"/>
        </w:rPr>
        <w:t>ТУЗЛОВСЬКИХ</w:t>
      </w:r>
      <w:r>
        <w:rPr>
          <w:b/>
          <w:spacing w:val="-11"/>
          <w:sz w:val="28"/>
        </w:rPr>
        <w:t> </w:t>
      </w:r>
      <w:r>
        <w:rPr>
          <w:b/>
          <w:spacing w:val="-4"/>
          <w:sz w:val="28"/>
        </w:rPr>
        <w:t>ЛИМАНІВ</w:t>
      </w:r>
      <w:r>
        <w:rPr>
          <w:b/>
          <w:spacing w:val="-11"/>
          <w:sz w:val="28"/>
        </w:rPr>
        <w:t> </w:t>
      </w:r>
      <w:r>
        <w:rPr>
          <w:b/>
          <w:sz w:val="28"/>
        </w:rPr>
        <w:t>ЗА</w:t>
      </w:r>
      <w:r>
        <w:rPr>
          <w:b/>
          <w:spacing w:val="-14"/>
          <w:sz w:val="28"/>
        </w:rPr>
        <w:t> </w:t>
      </w:r>
      <w:r>
        <w:rPr>
          <w:b/>
          <w:spacing w:val="-4"/>
          <w:sz w:val="28"/>
        </w:rPr>
        <w:t>ІНДЕКСОМ ЗАБРУДНЕННЯ </w:t>
      </w:r>
      <w:r>
        <w:rPr>
          <w:b/>
          <w:spacing w:val="-3"/>
          <w:sz w:val="28"/>
        </w:rPr>
        <w:t>ВОДИ</w:t>
      </w:r>
      <w:r>
        <w:rPr>
          <w:b/>
          <w:spacing w:val="-11"/>
          <w:sz w:val="28"/>
        </w:rPr>
        <w:t> </w:t>
      </w:r>
      <w:r>
        <w:rPr>
          <w:b/>
          <w:spacing w:val="-3"/>
          <w:sz w:val="28"/>
        </w:rPr>
        <w:t>(ІЗВ)</w:t>
      </w:r>
    </w:p>
    <w:p>
      <w:pPr>
        <w:spacing w:line="322" w:lineRule="exact" w:before="0"/>
        <w:ind w:left="894" w:right="603" w:firstLine="0"/>
        <w:jc w:val="center"/>
        <w:rPr>
          <w:b/>
          <w:sz w:val="28"/>
        </w:rPr>
      </w:pPr>
      <w:r>
        <w:rPr>
          <w:b/>
          <w:sz w:val="28"/>
        </w:rPr>
        <w:t>І </w:t>
      </w:r>
      <w:r>
        <w:rPr>
          <w:b/>
          <w:spacing w:val="-4"/>
          <w:sz w:val="28"/>
        </w:rPr>
        <w:t>.Саченко </w:t>
      </w:r>
      <w:r>
        <w:rPr>
          <w:b/>
          <w:sz w:val="28"/>
        </w:rPr>
        <w:t>, </w:t>
      </w:r>
      <w:r>
        <w:rPr>
          <w:b/>
          <w:spacing w:val="-3"/>
          <w:sz w:val="28"/>
        </w:rPr>
        <w:t>Г.</w:t>
      </w:r>
      <w:r>
        <w:rPr>
          <w:b/>
          <w:spacing w:val="-27"/>
          <w:sz w:val="28"/>
        </w:rPr>
        <w:t> </w:t>
      </w:r>
      <w:r>
        <w:rPr>
          <w:b/>
          <w:spacing w:val="-4"/>
          <w:sz w:val="28"/>
        </w:rPr>
        <w:t>Вовкодав</w:t>
      </w:r>
    </w:p>
    <w:p>
      <w:pPr>
        <w:spacing w:before="0"/>
        <w:ind w:left="741" w:right="603" w:firstLine="0"/>
        <w:jc w:val="center"/>
        <w:rPr>
          <w:i/>
          <w:sz w:val="28"/>
        </w:rPr>
      </w:pPr>
      <w:r>
        <w:rPr>
          <w:i/>
          <w:sz w:val="28"/>
        </w:rPr>
        <w:t>Одеський державний екологічний університет</w:t>
      </w:r>
    </w:p>
    <w:p>
      <w:pPr>
        <w:pStyle w:val="BodyText"/>
        <w:spacing w:before="11"/>
        <w:ind w:left="0"/>
        <w:jc w:val="left"/>
        <w:rPr>
          <w:i/>
          <w:sz w:val="27"/>
        </w:rPr>
      </w:pPr>
    </w:p>
    <w:p>
      <w:pPr>
        <w:spacing w:line="240" w:lineRule="auto" w:before="0"/>
        <w:ind w:left="193" w:right="605" w:firstLine="705"/>
        <w:jc w:val="both"/>
        <w:rPr>
          <w:i/>
          <w:sz w:val="28"/>
        </w:rPr>
      </w:pPr>
      <w:r>
        <w:rPr>
          <w:i/>
          <w:spacing w:val="-4"/>
          <w:sz w:val="28"/>
        </w:rPr>
        <w:t>Стан </w:t>
      </w:r>
      <w:r>
        <w:rPr>
          <w:i/>
          <w:spacing w:val="-3"/>
          <w:sz w:val="28"/>
        </w:rPr>
        <w:t>водної </w:t>
      </w:r>
      <w:r>
        <w:rPr>
          <w:i/>
          <w:spacing w:val="-4"/>
          <w:sz w:val="28"/>
        </w:rPr>
        <w:t>екосистеми лиманів Тузловської групи відображає зростання</w:t>
      </w:r>
      <w:r>
        <w:rPr>
          <w:i/>
          <w:spacing w:val="62"/>
          <w:sz w:val="28"/>
        </w:rPr>
        <w:t> </w:t>
      </w:r>
      <w:r>
        <w:rPr>
          <w:i/>
          <w:spacing w:val="-4"/>
          <w:sz w:val="28"/>
        </w:rPr>
        <w:t>техногенного навантаження, </w:t>
      </w:r>
      <w:r>
        <w:rPr>
          <w:i/>
          <w:sz w:val="28"/>
        </w:rPr>
        <w:t>що </w:t>
      </w:r>
      <w:r>
        <w:rPr>
          <w:i/>
          <w:spacing w:val="-4"/>
          <w:sz w:val="28"/>
        </w:rPr>
        <w:t>зумовлює процес </w:t>
      </w:r>
      <w:r>
        <w:rPr>
          <w:i/>
          <w:spacing w:val="-3"/>
          <w:sz w:val="28"/>
        </w:rPr>
        <w:t>її </w:t>
      </w:r>
      <w:r>
        <w:rPr>
          <w:i/>
          <w:spacing w:val="-4"/>
          <w:sz w:val="28"/>
        </w:rPr>
        <w:t>деградації. Таким </w:t>
      </w:r>
      <w:r>
        <w:rPr>
          <w:i/>
          <w:spacing w:val="-3"/>
          <w:sz w:val="28"/>
        </w:rPr>
        <w:t>чином, </w:t>
      </w:r>
      <w:r>
        <w:rPr>
          <w:i/>
          <w:sz w:val="28"/>
        </w:rPr>
        <w:t>на </w:t>
      </w:r>
      <w:r>
        <w:rPr>
          <w:i/>
          <w:spacing w:val="-4"/>
          <w:sz w:val="28"/>
        </w:rPr>
        <w:t>сучасному</w:t>
      </w:r>
      <w:r>
        <w:rPr>
          <w:i/>
          <w:spacing w:val="62"/>
          <w:sz w:val="28"/>
        </w:rPr>
        <w:t> </w:t>
      </w:r>
      <w:r>
        <w:rPr>
          <w:i/>
          <w:spacing w:val="-3"/>
          <w:sz w:val="28"/>
        </w:rPr>
        <w:t>етапі природні умови </w:t>
      </w:r>
      <w:r>
        <w:rPr>
          <w:i/>
          <w:spacing w:val="-4"/>
          <w:sz w:val="28"/>
        </w:rPr>
        <w:t>лиманів північно-західного Причорномор’я, характеризуються повсюдним антропогенним перетворенням. Найбільш</w:t>
      </w:r>
      <w:r>
        <w:rPr>
          <w:i/>
          <w:spacing w:val="-48"/>
          <w:sz w:val="28"/>
        </w:rPr>
        <w:t> </w:t>
      </w:r>
      <w:r>
        <w:rPr>
          <w:i/>
          <w:spacing w:val="-3"/>
          <w:sz w:val="28"/>
        </w:rPr>
        <w:t>масовим </w:t>
      </w:r>
      <w:r>
        <w:rPr>
          <w:i/>
          <w:spacing w:val="-4"/>
          <w:sz w:val="28"/>
        </w:rPr>
        <w:t>видом антропогенного впливу </w:t>
      </w:r>
      <w:r>
        <w:rPr>
          <w:i/>
          <w:sz w:val="28"/>
        </w:rPr>
        <w:t>на </w:t>
      </w:r>
      <w:r>
        <w:rPr>
          <w:i/>
          <w:spacing w:val="-3"/>
          <w:sz w:val="28"/>
        </w:rPr>
        <w:t>лимани </w:t>
      </w:r>
      <w:r>
        <w:rPr>
          <w:i/>
          <w:sz w:val="28"/>
        </w:rPr>
        <w:t>є </w:t>
      </w:r>
      <w:r>
        <w:rPr>
          <w:i/>
          <w:spacing w:val="-4"/>
          <w:sz w:val="28"/>
        </w:rPr>
        <w:t>сільське господарство. </w:t>
      </w:r>
      <w:r>
        <w:rPr>
          <w:i/>
          <w:sz w:val="28"/>
        </w:rPr>
        <w:t>У </w:t>
      </w:r>
      <w:r>
        <w:rPr>
          <w:i/>
          <w:spacing w:val="-4"/>
          <w:sz w:val="28"/>
        </w:rPr>
        <w:t>зв'язку </w:t>
      </w:r>
      <w:r>
        <w:rPr>
          <w:i/>
          <w:sz w:val="28"/>
        </w:rPr>
        <w:t>з </w:t>
      </w:r>
      <w:r>
        <w:rPr>
          <w:i/>
          <w:spacing w:val="-4"/>
          <w:sz w:val="28"/>
        </w:rPr>
        <w:t>інтенсифікацією сільськогосподарського виробництва </w:t>
      </w:r>
      <w:r>
        <w:rPr>
          <w:i/>
          <w:sz w:val="28"/>
        </w:rPr>
        <w:t>різко </w:t>
      </w:r>
      <w:r>
        <w:rPr>
          <w:i/>
          <w:spacing w:val="-4"/>
          <w:sz w:val="28"/>
        </w:rPr>
        <w:t>збільшилася </w:t>
      </w:r>
      <w:r>
        <w:rPr>
          <w:i/>
          <w:spacing w:val="-3"/>
          <w:sz w:val="28"/>
        </w:rPr>
        <w:t>площа </w:t>
      </w:r>
      <w:r>
        <w:rPr>
          <w:i/>
          <w:spacing w:val="-4"/>
          <w:sz w:val="28"/>
        </w:rPr>
        <w:t>еродованих земель </w:t>
      </w:r>
      <w:r>
        <w:rPr>
          <w:i/>
          <w:spacing w:val="-3"/>
          <w:sz w:val="28"/>
        </w:rPr>
        <w:t>та винос </w:t>
      </w:r>
      <w:r>
        <w:rPr>
          <w:i/>
          <w:sz w:val="28"/>
        </w:rPr>
        <w:t>в </w:t>
      </w:r>
      <w:r>
        <w:rPr>
          <w:i/>
          <w:spacing w:val="-4"/>
          <w:sz w:val="28"/>
        </w:rPr>
        <w:t>річкову </w:t>
      </w:r>
      <w:r>
        <w:rPr>
          <w:i/>
          <w:spacing w:val="-3"/>
          <w:sz w:val="28"/>
        </w:rPr>
        <w:t>мережу продуктів </w:t>
      </w:r>
      <w:r>
        <w:rPr>
          <w:i/>
          <w:spacing w:val="-4"/>
          <w:sz w:val="28"/>
        </w:rPr>
        <w:t>ерозійного змиву, </w:t>
      </w:r>
      <w:r>
        <w:rPr>
          <w:i/>
          <w:sz w:val="28"/>
        </w:rPr>
        <w:t>в тому </w:t>
      </w:r>
      <w:r>
        <w:rPr>
          <w:i/>
          <w:spacing w:val="-4"/>
          <w:sz w:val="28"/>
        </w:rPr>
        <w:t>числі отрутохімікатів </w:t>
      </w:r>
      <w:r>
        <w:rPr>
          <w:i/>
          <w:sz w:val="28"/>
        </w:rPr>
        <w:t>і </w:t>
      </w:r>
      <w:r>
        <w:rPr>
          <w:i/>
          <w:spacing w:val="-4"/>
          <w:sz w:val="28"/>
        </w:rPr>
        <w:t>добрив. Крім </w:t>
      </w:r>
      <w:r>
        <w:rPr>
          <w:i/>
          <w:sz w:val="28"/>
        </w:rPr>
        <w:t>того в </w:t>
      </w:r>
      <w:r>
        <w:rPr>
          <w:i/>
          <w:spacing w:val="-4"/>
          <w:sz w:val="28"/>
        </w:rPr>
        <w:t>водні об'єкти регіону, які </w:t>
      </w:r>
      <w:r>
        <w:rPr>
          <w:i/>
          <w:spacing w:val="-3"/>
          <w:sz w:val="28"/>
        </w:rPr>
        <w:t>живлять </w:t>
      </w:r>
      <w:r>
        <w:rPr>
          <w:i/>
          <w:spacing w:val="-4"/>
          <w:sz w:val="28"/>
        </w:rPr>
        <w:t>лимани здійснюється регулярний </w:t>
      </w:r>
      <w:r>
        <w:rPr>
          <w:i/>
          <w:spacing w:val="-3"/>
          <w:sz w:val="28"/>
        </w:rPr>
        <w:t>скид </w:t>
      </w:r>
      <w:r>
        <w:rPr>
          <w:i/>
          <w:spacing w:val="-4"/>
          <w:sz w:val="28"/>
        </w:rPr>
        <w:t>стічних вод. </w:t>
      </w:r>
      <w:r>
        <w:rPr>
          <w:i/>
          <w:sz w:val="28"/>
        </w:rPr>
        <w:t>У </w:t>
      </w:r>
      <w:r>
        <w:rPr>
          <w:i/>
          <w:spacing w:val="-4"/>
          <w:sz w:val="28"/>
        </w:rPr>
        <w:t>роботі здійснено </w:t>
      </w:r>
      <w:r>
        <w:rPr>
          <w:i/>
          <w:spacing w:val="-3"/>
          <w:sz w:val="28"/>
        </w:rPr>
        <w:t>оцінку </w:t>
      </w:r>
      <w:r>
        <w:rPr>
          <w:i/>
          <w:spacing w:val="-4"/>
          <w:sz w:val="28"/>
        </w:rPr>
        <w:t>якості </w:t>
      </w:r>
      <w:r>
        <w:rPr>
          <w:i/>
          <w:sz w:val="28"/>
        </w:rPr>
        <w:t>вод </w:t>
      </w:r>
      <w:r>
        <w:rPr>
          <w:i/>
          <w:spacing w:val="-4"/>
          <w:sz w:val="28"/>
        </w:rPr>
        <w:t>лиманів Тузловської </w:t>
      </w:r>
      <w:r>
        <w:rPr>
          <w:i/>
          <w:spacing w:val="-3"/>
          <w:sz w:val="28"/>
        </w:rPr>
        <w:t>групи </w:t>
      </w:r>
      <w:r>
        <w:rPr>
          <w:i/>
          <w:sz w:val="28"/>
        </w:rPr>
        <w:t>за </w:t>
      </w:r>
      <w:r>
        <w:rPr>
          <w:i/>
          <w:spacing w:val="-4"/>
          <w:sz w:val="28"/>
        </w:rPr>
        <w:t>індексом забруднення води (ІЗВ). </w:t>
      </w:r>
      <w:r>
        <w:rPr>
          <w:i/>
          <w:spacing w:val="-3"/>
          <w:sz w:val="28"/>
        </w:rPr>
        <w:t>Оцінка </w:t>
      </w:r>
      <w:r>
        <w:rPr>
          <w:i/>
          <w:spacing w:val="-4"/>
          <w:sz w:val="28"/>
        </w:rPr>
        <w:t>якості </w:t>
      </w:r>
      <w:r>
        <w:rPr>
          <w:i/>
          <w:spacing w:val="-3"/>
          <w:sz w:val="28"/>
        </w:rPr>
        <w:t>води </w:t>
      </w:r>
      <w:r>
        <w:rPr>
          <w:i/>
          <w:spacing w:val="-4"/>
          <w:sz w:val="28"/>
        </w:rPr>
        <w:t>проводилась </w:t>
      </w:r>
      <w:r>
        <w:rPr>
          <w:i/>
          <w:sz w:val="28"/>
        </w:rPr>
        <w:t>за ІЗВ </w:t>
      </w:r>
      <w:r>
        <w:rPr>
          <w:i/>
          <w:spacing w:val="-3"/>
          <w:sz w:val="28"/>
        </w:rPr>
        <w:t>для </w:t>
      </w:r>
      <w:r>
        <w:rPr>
          <w:i/>
          <w:spacing w:val="-4"/>
          <w:sz w:val="28"/>
        </w:rPr>
        <w:t>рибогосподарських ГДК. Найпоширенішими</w:t>
      </w:r>
      <w:r>
        <w:rPr>
          <w:i/>
          <w:spacing w:val="62"/>
          <w:sz w:val="28"/>
        </w:rPr>
        <w:t> </w:t>
      </w:r>
      <w:r>
        <w:rPr>
          <w:i/>
          <w:spacing w:val="-4"/>
          <w:sz w:val="28"/>
        </w:rPr>
        <w:t>забруднюючими</w:t>
      </w:r>
      <w:r>
        <w:rPr>
          <w:i/>
          <w:spacing w:val="62"/>
          <w:sz w:val="28"/>
        </w:rPr>
        <w:t> </w:t>
      </w:r>
      <w:r>
        <w:rPr>
          <w:i/>
          <w:spacing w:val="-4"/>
          <w:sz w:val="28"/>
        </w:rPr>
        <w:t>речовинами</w:t>
      </w:r>
      <w:r>
        <w:rPr>
          <w:i/>
          <w:spacing w:val="62"/>
          <w:sz w:val="28"/>
        </w:rPr>
        <w:t> </w:t>
      </w:r>
      <w:r>
        <w:rPr>
          <w:i/>
          <w:sz w:val="28"/>
        </w:rPr>
        <w:t>є </w:t>
      </w:r>
      <w:r>
        <w:rPr>
          <w:i/>
          <w:spacing w:val="-4"/>
          <w:sz w:val="28"/>
        </w:rPr>
        <w:t>феноли</w:t>
      </w:r>
      <w:r>
        <w:rPr>
          <w:i/>
          <w:spacing w:val="62"/>
          <w:sz w:val="28"/>
        </w:rPr>
        <w:t> </w:t>
      </w:r>
      <w:r>
        <w:rPr>
          <w:i/>
          <w:spacing w:val="-3"/>
          <w:sz w:val="28"/>
        </w:rPr>
        <w:t>та </w:t>
      </w:r>
      <w:r>
        <w:rPr>
          <w:i/>
          <w:spacing w:val="-5"/>
          <w:sz w:val="28"/>
        </w:rPr>
        <w:t>загальний </w:t>
      </w:r>
      <w:r>
        <w:rPr>
          <w:i/>
          <w:spacing w:val="-4"/>
          <w:sz w:val="28"/>
        </w:rPr>
        <w:t>фосфор;</w:t>
      </w:r>
      <w:r>
        <w:rPr>
          <w:i/>
          <w:spacing w:val="62"/>
          <w:sz w:val="28"/>
        </w:rPr>
        <w:t> </w:t>
      </w:r>
      <w:r>
        <w:rPr>
          <w:i/>
          <w:spacing w:val="-4"/>
          <w:sz w:val="28"/>
        </w:rPr>
        <w:t>перевищення органічних </w:t>
      </w:r>
      <w:r>
        <w:rPr>
          <w:i/>
          <w:spacing w:val="-3"/>
          <w:sz w:val="28"/>
        </w:rPr>
        <w:t>речовин </w:t>
      </w:r>
      <w:r>
        <w:rPr>
          <w:i/>
          <w:sz w:val="28"/>
        </w:rPr>
        <w:t>з </w:t>
      </w:r>
      <w:r>
        <w:rPr>
          <w:i/>
          <w:spacing w:val="-3"/>
          <w:sz w:val="28"/>
        </w:rPr>
        <w:t>БСК</w:t>
      </w:r>
      <w:r>
        <w:rPr>
          <w:i/>
          <w:spacing w:val="-3"/>
          <w:sz w:val="28"/>
          <w:vertAlign w:val="subscript"/>
        </w:rPr>
        <w:t>5</w:t>
      </w:r>
      <w:r>
        <w:rPr>
          <w:i/>
          <w:spacing w:val="-3"/>
          <w:sz w:val="28"/>
          <w:vertAlign w:val="baseline"/>
        </w:rPr>
        <w:t> </w:t>
      </w:r>
      <w:r>
        <w:rPr>
          <w:i/>
          <w:sz w:val="28"/>
          <w:vertAlign w:val="baseline"/>
        </w:rPr>
        <w:t>у </w:t>
      </w:r>
      <w:r>
        <w:rPr>
          <w:i/>
          <w:spacing w:val="-4"/>
          <w:sz w:val="28"/>
          <w:vertAlign w:val="baseline"/>
        </w:rPr>
        <w:t>водах</w:t>
      </w:r>
      <w:r>
        <w:rPr>
          <w:i/>
          <w:spacing w:val="62"/>
          <w:sz w:val="28"/>
          <w:vertAlign w:val="baseline"/>
        </w:rPr>
        <w:t> </w:t>
      </w:r>
      <w:r>
        <w:rPr>
          <w:i/>
          <w:spacing w:val="-3"/>
          <w:sz w:val="28"/>
          <w:vertAlign w:val="baseline"/>
        </w:rPr>
        <w:t>лиманів </w:t>
      </w:r>
      <w:r>
        <w:rPr>
          <w:i/>
          <w:sz w:val="28"/>
          <w:vertAlign w:val="baseline"/>
        </w:rPr>
        <w:t>є не </w:t>
      </w:r>
      <w:r>
        <w:rPr>
          <w:i/>
          <w:spacing w:val="-3"/>
          <w:sz w:val="28"/>
          <w:vertAlign w:val="baseline"/>
        </w:rPr>
        <w:t>значними, причиною цього </w:t>
      </w:r>
      <w:r>
        <w:rPr>
          <w:i/>
          <w:spacing w:val="-4"/>
          <w:sz w:val="28"/>
          <w:vertAlign w:val="baseline"/>
        </w:rPr>
        <w:t>перевищення </w:t>
      </w:r>
      <w:r>
        <w:rPr>
          <w:i/>
          <w:sz w:val="28"/>
          <w:vertAlign w:val="baseline"/>
        </w:rPr>
        <w:t>є </w:t>
      </w:r>
      <w:r>
        <w:rPr>
          <w:i/>
          <w:spacing w:val="-3"/>
          <w:sz w:val="28"/>
          <w:vertAlign w:val="baseline"/>
        </w:rPr>
        <w:t>скид </w:t>
      </w:r>
      <w:r>
        <w:rPr>
          <w:i/>
          <w:spacing w:val="-4"/>
          <w:sz w:val="28"/>
          <w:vertAlign w:val="baseline"/>
        </w:rPr>
        <w:t>недостатньо </w:t>
      </w:r>
      <w:r>
        <w:rPr>
          <w:i/>
          <w:spacing w:val="-3"/>
          <w:sz w:val="28"/>
          <w:vertAlign w:val="baseline"/>
        </w:rPr>
        <w:t>очищених </w:t>
      </w:r>
      <w:r>
        <w:rPr>
          <w:i/>
          <w:spacing w:val="-4"/>
          <w:sz w:val="28"/>
          <w:vertAlign w:val="baseline"/>
        </w:rPr>
        <w:t>побутових вод. Метою дослідження </w:t>
      </w:r>
      <w:r>
        <w:rPr>
          <w:i/>
          <w:sz w:val="28"/>
          <w:vertAlign w:val="baseline"/>
        </w:rPr>
        <w:t>є </w:t>
      </w:r>
      <w:r>
        <w:rPr>
          <w:i/>
          <w:spacing w:val="-4"/>
          <w:sz w:val="28"/>
          <w:vertAlign w:val="baseline"/>
        </w:rPr>
        <w:t>дослідження сучасного стану</w:t>
      </w:r>
      <w:r>
        <w:rPr>
          <w:i/>
          <w:spacing w:val="62"/>
          <w:sz w:val="28"/>
          <w:vertAlign w:val="baseline"/>
        </w:rPr>
        <w:t> </w:t>
      </w:r>
      <w:r>
        <w:rPr>
          <w:i/>
          <w:spacing w:val="-3"/>
          <w:sz w:val="28"/>
          <w:vertAlign w:val="baseline"/>
        </w:rPr>
        <w:t>якості вод </w:t>
      </w:r>
      <w:r>
        <w:rPr>
          <w:i/>
          <w:spacing w:val="-4"/>
          <w:sz w:val="28"/>
          <w:vertAlign w:val="baseline"/>
        </w:rPr>
        <w:t>лиманів</w:t>
      </w:r>
      <w:r>
        <w:rPr>
          <w:i/>
          <w:spacing w:val="62"/>
          <w:sz w:val="28"/>
          <w:vertAlign w:val="baseline"/>
        </w:rPr>
        <w:t> </w:t>
      </w:r>
      <w:r>
        <w:rPr>
          <w:i/>
          <w:spacing w:val="-4"/>
          <w:sz w:val="28"/>
          <w:vertAlign w:val="baseline"/>
        </w:rPr>
        <w:t>Тузловської </w:t>
      </w:r>
      <w:r>
        <w:rPr>
          <w:i/>
          <w:spacing w:val="-3"/>
          <w:sz w:val="28"/>
          <w:vertAlign w:val="baseline"/>
        </w:rPr>
        <w:t>групи. </w:t>
      </w:r>
      <w:r>
        <w:rPr>
          <w:i/>
          <w:spacing w:val="-4"/>
          <w:sz w:val="28"/>
          <w:vertAlign w:val="baseline"/>
        </w:rPr>
        <w:t>Об’єкт дослідження </w:t>
      </w:r>
      <w:r>
        <w:rPr>
          <w:i/>
          <w:sz w:val="28"/>
          <w:vertAlign w:val="baseline"/>
        </w:rPr>
        <w:t>— </w:t>
      </w:r>
      <w:r>
        <w:rPr>
          <w:i/>
          <w:spacing w:val="-4"/>
          <w:sz w:val="28"/>
          <w:vertAlign w:val="baseline"/>
        </w:rPr>
        <w:t>якість </w:t>
      </w:r>
      <w:r>
        <w:rPr>
          <w:i/>
          <w:sz w:val="28"/>
          <w:vertAlign w:val="baseline"/>
        </w:rPr>
        <w:t>вод </w:t>
      </w:r>
      <w:r>
        <w:rPr>
          <w:i/>
          <w:spacing w:val="-3"/>
          <w:sz w:val="28"/>
          <w:vertAlign w:val="baseline"/>
        </w:rPr>
        <w:t>лиманів Шагани, </w:t>
      </w:r>
      <w:r>
        <w:rPr>
          <w:i/>
          <w:spacing w:val="-4"/>
          <w:sz w:val="28"/>
          <w:vertAlign w:val="baseline"/>
        </w:rPr>
        <w:t>Алібей </w:t>
      </w:r>
      <w:r>
        <w:rPr>
          <w:i/>
          <w:spacing w:val="-3"/>
          <w:sz w:val="28"/>
          <w:vertAlign w:val="baseline"/>
        </w:rPr>
        <w:t>та</w:t>
      </w:r>
      <w:r>
        <w:rPr>
          <w:i/>
          <w:spacing w:val="-47"/>
          <w:sz w:val="28"/>
          <w:vertAlign w:val="baseline"/>
        </w:rPr>
        <w:t> </w:t>
      </w:r>
      <w:r>
        <w:rPr>
          <w:i/>
          <w:spacing w:val="-4"/>
          <w:sz w:val="28"/>
          <w:vertAlign w:val="baseline"/>
        </w:rPr>
        <w:t>Карачаус.</w:t>
      </w:r>
    </w:p>
    <w:p>
      <w:pPr>
        <w:spacing w:before="0"/>
        <w:ind w:left="193" w:right="606" w:firstLine="705"/>
        <w:jc w:val="both"/>
        <w:rPr>
          <w:i/>
          <w:sz w:val="28"/>
        </w:rPr>
      </w:pPr>
      <w:r>
        <w:rPr>
          <w:b/>
          <w:i/>
          <w:sz w:val="28"/>
        </w:rPr>
        <w:t>Ключові слова: </w:t>
      </w:r>
      <w:r>
        <w:rPr>
          <w:i/>
          <w:sz w:val="28"/>
        </w:rPr>
        <w:t>оцінка якості, забруднюючі речовини, поверхневі води, </w:t>
      </w:r>
      <w:r>
        <w:rPr>
          <w:i/>
          <w:sz w:val="28"/>
        </w:rPr>
        <w:t>гранично-допустими концентрації, якість води, азот, нафтопродукти, феноли, індекс забруднення.</w:t>
      </w:r>
    </w:p>
    <w:p>
      <w:pPr>
        <w:pStyle w:val="BodyText"/>
        <w:spacing w:before="10"/>
        <w:ind w:left="0"/>
        <w:jc w:val="left"/>
        <w:rPr>
          <w:i/>
          <w:sz w:val="27"/>
        </w:rPr>
      </w:pPr>
    </w:p>
    <w:p>
      <w:pPr>
        <w:pStyle w:val="BodyText"/>
        <w:ind w:right="606" w:firstLine="705"/>
      </w:pPr>
      <w:r>
        <w:rPr>
          <w:b/>
          <w:spacing w:val="-3"/>
        </w:rPr>
        <w:t>Вступ: </w:t>
      </w:r>
      <w:r>
        <w:rPr>
          <w:spacing w:val="-5"/>
        </w:rPr>
        <w:t>На </w:t>
      </w:r>
      <w:r>
        <w:rPr>
          <w:spacing w:val="-3"/>
        </w:rPr>
        <w:t>сучасному етапі природні </w:t>
      </w:r>
      <w:r>
        <w:rPr>
          <w:spacing w:val="-4"/>
        </w:rPr>
        <w:t>умови </w:t>
      </w:r>
      <w:r>
        <w:rPr>
          <w:spacing w:val="-3"/>
        </w:rPr>
        <w:t>лиманів </w:t>
      </w:r>
      <w:r>
        <w:rPr>
          <w:spacing w:val="-4"/>
        </w:rPr>
        <w:t>північно-західного Причорномор’я</w:t>
      </w:r>
      <w:r>
        <w:rPr>
          <w:spacing w:val="62"/>
        </w:rPr>
        <w:t> </w:t>
      </w:r>
      <w:r>
        <w:rPr>
          <w:spacing w:val="-4"/>
        </w:rPr>
        <w:t>характеризуються повсюдним</w:t>
      </w:r>
      <w:r>
        <w:rPr>
          <w:spacing w:val="62"/>
        </w:rPr>
        <w:t> </w:t>
      </w:r>
      <w:r>
        <w:rPr>
          <w:spacing w:val="-4"/>
        </w:rPr>
        <w:t>антропогенним</w:t>
      </w:r>
      <w:r>
        <w:rPr>
          <w:spacing w:val="62"/>
        </w:rPr>
        <w:t> </w:t>
      </w:r>
      <w:r>
        <w:rPr>
          <w:spacing w:val="-4"/>
        </w:rPr>
        <w:t>перетворенням. Стан</w:t>
      </w:r>
      <w:r>
        <w:rPr>
          <w:spacing w:val="62"/>
        </w:rPr>
        <w:t> </w:t>
      </w:r>
      <w:r>
        <w:rPr>
          <w:spacing w:val="-4"/>
        </w:rPr>
        <w:t>водної</w:t>
      </w:r>
      <w:r>
        <w:rPr>
          <w:spacing w:val="62"/>
        </w:rPr>
        <w:t> </w:t>
      </w:r>
      <w:r>
        <w:rPr>
          <w:spacing w:val="-4"/>
        </w:rPr>
        <w:t>екосистеми</w:t>
      </w:r>
      <w:r>
        <w:rPr>
          <w:spacing w:val="62"/>
        </w:rPr>
        <w:t> </w:t>
      </w:r>
      <w:r>
        <w:rPr>
          <w:spacing w:val="-3"/>
        </w:rPr>
        <w:t>лиманів </w:t>
      </w:r>
      <w:r>
        <w:rPr>
          <w:spacing w:val="-4"/>
        </w:rPr>
        <w:t>Тузловської</w:t>
      </w:r>
      <w:r>
        <w:rPr>
          <w:spacing w:val="62"/>
        </w:rPr>
        <w:t> </w:t>
      </w:r>
      <w:r>
        <w:rPr/>
        <w:t>групи </w:t>
      </w:r>
      <w:r>
        <w:rPr>
          <w:spacing w:val="-4"/>
        </w:rPr>
        <w:t>відображає</w:t>
      </w:r>
      <w:r>
        <w:rPr>
          <w:spacing w:val="62"/>
        </w:rPr>
        <w:t> </w:t>
      </w:r>
      <w:r>
        <w:rPr>
          <w:spacing w:val="-4"/>
        </w:rPr>
        <w:t>зростання техногенного навантаження, </w:t>
      </w:r>
      <w:r>
        <w:rPr/>
        <w:t>що </w:t>
      </w:r>
      <w:r>
        <w:rPr>
          <w:spacing w:val="-4"/>
        </w:rPr>
        <w:t>зумовлює </w:t>
      </w:r>
      <w:r>
        <w:rPr>
          <w:spacing w:val="-5"/>
        </w:rPr>
        <w:t>процес </w:t>
      </w:r>
      <w:r>
        <w:rPr>
          <w:spacing w:val="-3"/>
        </w:rPr>
        <w:t>її </w:t>
      </w:r>
      <w:r>
        <w:rPr>
          <w:spacing w:val="-4"/>
        </w:rPr>
        <w:t>деградації. Найбільш </w:t>
      </w:r>
      <w:r>
        <w:rPr>
          <w:spacing w:val="-3"/>
        </w:rPr>
        <w:t>масовим </w:t>
      </w:r>
      <w:r>
        <w:rPr>
          <w:spacing w:val="-5"/>
        </w:rPr>
        <w:t>видом </w:t>
      </w:r>
      <w:r>
        <w:rPr>
          <w:spacing w:val="-4"/>
        </w:rPr>
        <w:t>антропогенного </w:t>
      </w:r>
      <w:r>
        <w:rPr>
          <w:spacing w:val="-3"/>
        </w:rPr>
        <w:t>впливу на </w:t>
      </w:r>
      <w:r>
        <w:rPr>
          <w:spacing w:val="-4"/>
        </w:rPr>
        <w:t>лимани </w:t>
      </w:r>
      <w:r>
        <w:rPr/>
        <w:t>є </w:t>
      </w:r>
      <w:r>
        <w:rPr>
          <w:spacing w:val="-5"/>
        </w:rPr>
        <w:t>сільське </w:t>
      </w:r>
      <w:r>
        <w:rPr>
          <w:spacing w:val="-4"/>
        </w:rPr>
        <w:t>господарство. </w:t>
      </w:r>
      <w:r>
        <w:rPr/>
        <w:t>У </w:t>
      </w:r>
      <w:r>
        <w:rPr>
          <w:spacing w:val="-4"/>
        </w:rPr>
        <w:t>зв'язку </w:t>
      </w:r>
      <w:r>
        <w:rPr/>
        <w:t>з </w:t>
      </w:r>
      <w:r>
        <w:rPr>
          <w:spacing w:val="-4"/>
        </w:rPr>
        <w:t>інтенсифікацією сільськогосподарського виробництва </w:t>
      </w:r>
      <w:r>
        <w:rPr>
          <w:spacing w:val="-3"/>
        </w:rPr>
        <w:t>різко </w:t>
      </w:r>
      <w:r>
        <w:rPr>
          <w:spacing w:val="-4"/>
        </w:rPr>
        <w:t>збільшилася </w:t>
      </w:r>
      <w:r>
        <w:rPr/>
        <w:t>площа </w:t>
      </w:r>
      <w:r>
        <w:rPr>
          <w:spacing w:val="-4"/>
        </w:rPr>
        <w:t>еродованих </w:t>
      </w:r>
      <w:r>
        <w:rPr>
          <w:spacing w:val="-3"/>
        </w:rPr>
        <w:t>земель </w:t>
      </w:r>
      <w:r>
        <w:rPr>
          <w:spacing w:val="-4"/>
        </w:rPr>
        <w:t>та </w:t>
      </w:r>
      <w:r>
        <w:rPr>
          <w:spacing w:val="-3"/>
        </w:rPr>
        <w:t>винос </w:t>
      </w:r>
      <w:r>
        <w:rPr/>
        <w:t>в </w:t>
      </w:r>
      <w:r>
        <w:rPr>
          <w:spacing w:val="-3"/>
        </w:rPr>
        <w:t>річкову мережу </w:t>
      </w:r>
      <w:r>
        <w:rPr>
          <w:spacing w:val="-4"/>
        </w:rPr>
        <w:t>продуктів ерозійного змиву, </w:t>
      </w:r>
      <w:r>
        <w:rPr/>
        <w:t>в тому </w:t>
      </w:r>
      <w:r>
        <w:rPr>
          <w:spacing w:val="-4"/>
        </w:rPr>
        <w:t>числі отрутохімікатів </w:t>
      </w:r>
      <w:r>
        <w:rPr/>
        <w:t>і </w:t>
      </w:r>
      <w:r>
        <w:rPr>
          <w:spacing w:val="-3"/>
        </w:rPr>
        <w:t>добрив. Крім </w:t>
      </w:r>
      <w:r>
        <w:rPr/>
        <w:t>того в </w:t>
      </w:r>
      <w:r>
        <w:rPr>
          <w:spacing w:val="-3"/>
        </w:rPr>
        <w:t>водні об'єкти </w:t>
      </w:r>
      <w:r>
        <w:rPr>
          <w:spacing w:val="-4"/>
        </w:rPr>
        <w:t>регіону, </w:t>
      </w:r>
      <w:r>
        <w:rPr/>
        <w:t>які </w:t>
      </w:r>
      <w:r>
        <w:rPr>
          <w:spacing w:val="-3"/>
        </w:rPr>
        <w:t>живлять </w:t>
      </w:r>
      <w:r>
        <w:rPr>
          <w:spacing w:val="-4"/>
        </w:rPr>
        <w:t>лимани здійснюється регулярний </w:t>
      </w:r>
      <w:r>
        <w:rPr>
          <w:spacing w:val="-3"/>
        </w:rPr>
        <w:t>скид стічних </w:t>
      </w:r>
      <w:r>
        <w:rPr>
          <w:spacing w:val="-4"/>
        </w:rPr>
        <w:t>вод.</w:t>
      </w:r>
    </w:p>
    <w:p>
      <w:pPr>
        <w:pStyle w:val="BodyText"/>
        <w:spacing w:before="2"/>
        <w:ind w:right="607" w:firstLine="705"/>
      </w:pPr>
      <w:r>
        <w:rPr>
          <w:b/>
          <w:color w:val="212121"/>
          <w:spacing w:val="-4"/>
        </w:rPr>
        <w:t>Аналіз останніх досліджень та </w:t>
      </w:r>
      <w:r>
        <w:rPr>
          <w:b/>
          <w:color w:val="212121"/>
          <w:spacing w:val="-3"/>
        </w:rPr>
        <w:t>публікацій</w:t>
      </w:r>
      <w:r>
        <w:rPr>
          <w:b/>
          <w:spacing w:val="-3"/>
        </w:rPr>
        <w:t>: </w:t>
      </w:r>
      <w:r>
        <w:rPr>
          <w:spacing w:val="-4"/>
        </w:rPr>
        <w:t>Аналіз сучасного екологічного стану вод Тузловських лиманів </w:t>
      </w:r>
      <w:r>
        <w:rPr>
          <w:spacing w:val="-3"/>
        </w:rPr>
        <w:t>свідчить, </w:t>
      </w:r>
      <w:r>
        <w:rPr/>
        <w:t>що </w:t>
      </w:r>
      <w:r>
        <w:rPr>
          <w:spacing w:val="-4"/>
        </w:rPr>
        <w:t>негативні процеси тривають. Вони</w:t>
      </w:r>
      <w:r>
        <w:rPr>
          <w:spacing w:val="62"/>
        </w:rPr>
        <w:t> </w:t>
      </w:r>
      <w:r>
        <w:rPr>
          <w:spacing w:val="-5"/>
        </w:rPr>
        <w:t>забруднене хімічними </w:t>
      </w:r>
      <w:r>
        <w:rPr>
          <w:spacing w:val="-4"/>
        </w:rPr>
        <w:t>речовинами, </w:t>
      </w:r>
      <w:r>
        <w:rPr/>
        <w:t>які </w:t>
      </w:r>
      <w:r>
        <w:rPr>
          <w:spacing w:val="-4"/>
        </w:rPr>
        <w:t>потрапили </w:t>
      </w:r>
      <w:r>
        <w:rPr/>
        <w:t>у </w:t>
      </w:r>
      <w:r>
        <w:rPr>
          <w:spacing w:val="-3"/>
        </w:rPr>
        <w:t>водний об'єкт </w:t>
      </w:r>
      <w:r>
        <w:rPr/>
        <w:t>в </w:t>
      </w:r>
      <w:r>
        <w:rPr>
          <w:spacing w:val="-3"/>
        </w:rPr>
        <w:t>результаті скиду стічних </w:t>
      </w:r>
      <w:r>
        <w:rPr>
          <w:spacing w:val="-4"/>
        </w:rPr>
        <w:t>вод комунальних підприємств </w:t>
      </w:r>
      <w:r>
        <w:rPr/>
        <w:t>і </w:t>
      </w:r>
      <w:r>
        <w:rPr>
          <w:spacing w:val="-4"/>
        </w:rPr>
        <w:t>втратили </w:t>
      </w:r>
      <w:r>
        <w:rPr>
          <w:spacing w:val="-3"/>
        </w:rPr>
        <w:t>своє </w:t>
      </w:r>
      <w:r>
        <w:rPr>
          <w:spacing w:val="-4"/>
        </w:rPr>
        <w:t>природне значення. Проблема</w:t>
      </w:r>
      <w:r>
        <w:rPr>
          <w:spacing w:val="-18"/>
        </w:rPr>
        <w:t> </w:t>
      </w:r>
      <w:r>
        <w:rPr>
          <w:spacing w:val="-4"/>
        </w:rPr>
        <w:t>якісного</w:t>
      </w:r>
      <w:r>
        <w:rPr>
          <w:spacing w:val="-19"/>
        </w:rPr>
        <w:t> </w:t>
      </w:r>
      <w:r>
        <w:rPr/>
        <w:t>й</w:t>
      </w:r>
      <w:r>
        <w:rPr>
          <w:spacing w:val="-20"/>
        </w:rPr>
        <w:t> </w:t>
      </w:r>
      <w:r>
        <w:rPr>
          <w:spacing w:val="-4"/>
        </w:rPr>
        <w:t>кількісного</w:t>
      </w:r>
      <w:r>
        <w:rPr>
          <w:spacing w:val="-13"/>
        </w:rPr>
        <w:t> </w:t>
      </w:r>
      <w:r>
        <w:rPr>
          <w:spacing w:val="-5"/>
        </w:rPr>
        <w:t>виснаження</w:t>
      </w:r>
      <w:r>
        <w:rPr>
          <w:spacing w:val="-18"/>
        </w:rPr>
        <w:t> </w:t>
      </w:r>
      <w:r>
        <w:rPr>
          <w:spacing w:val="-3"/>
        </w:rPr>
        <w:t>водних</w:t>
      </w:r>
      <w:r>
        <w:rPr>
          <w:spacing w:val="-24"/>
        </w:rPr>
        <w:t> </w:t>
      </w:r>
      <w:r>
        <w:rPr>
          <w:spacing w:val="-4"/>
        </w:rPr>
        <w:t>ресурсів</w:t>
      </w:r>
      <w:r>
        <w:rPr>
          <w:spacing w:val="-16"/>
        </w:rPr>
        <w:t> </w:t>
      </w:r>
      <w:r>
        <w:rPr>
          <w:spacing w:val="-6"/>
        </w:rPr>
        <w:t>із</w:t>
      </w:r>
      <w:r>
        <w:rPr>
          <w:spacing w:val="-19"/>
        </w:rPr>
        <w:t> </w:t>
      </w:r>
      <w:r>
        <w:rPr>
          <w:spacing w:val="-4"/>
        </w:rPr>
        <w:t>кожним</w:t>
      </w:r>
      <w:r>
        <w:rPr>
          <w:spacing w:val="-17"/>
        </w:rPr>
        <w:t> </w:t>
      </w:r>
      <w:r>
        <w:rPr>
          <w:spacing w:val="-4"/>
        </w:rPr>
        <w:t>роком</w:t>
      </w:r>
      <w:r>
        <w:rPr>
          <w:spacing w:val="-18"/>
        </w:rPr>
        <w:t> </w:t>
      </w:r>
      <w:r>
        <w:rPr>
          <w:spacing w:val="-3"/>
        </w:rPr>
        <w:t>стає </w:t>
      </w:r>
      <w:r>
        <w:rPr>
          <w:spacing w:val="-4"/>
        </w:rPr>
        <w:t>все</w:t>
      </w:r>
      <w:r>
        <w:rPr>
          <w:spacing w:val="-10"/>
        </w:rPr>
        <w:t> </w:t>
      </w:r>
      <w:r>
        <w:rPr>
          <w:spacing w:val="-4"/>
        </w:rPr>
        <w:t>актуальнішою.</w:t>
      </w:r>
      <w:r>
        <w:rPr>
          <w:spacing w:val="-8"/>
        </w:rPr>
        <w:t> </w:t>
      </w:r>
      <w:r>
        <w:rPr>
          <w:spacing w:val="-3"/>
        </w:rPr>
        <w:t>Для</w:t>
      </w:r>
      <w:r>
        <w:rPr>
          <w:spacing w:val="-9"/>
        </w:rPr>
        <w:t> </w:t>
      </w:r>
      <w:r>
        <w:rPr>
          <w:spacing w:val="-5"/>
        </w:rPr>
        <w:t>покращення</w:t>
      </w:r>
      <w:r>
        <w:rPr>
          <w:spacing w:val="-9"/>
        </w:rPr>
        <w:t> </w:t>
      </w:r>
      <w:r>
        <w:rPr>
          <w:spacing w:val="-3"/>
        </w:rPr>
        <w:t>стану</w:t>
      </w:r>
      <w:r>
        <w:rPr>
          <w:spacing w:val="-11"/>
        </w:rPr>
        <w:t> </w:t>
      </w:r>
      <w:r>
        <w:rPr>
          <w:spacing w:val="-4"/>
        </w:rPr>
        <w:t>водної</w:t>
      </w:r>
      <w:r>
        <w:rPr>
          <w:spacing w:val="-16"/>
        </w:rPr>
        <w:t> </w:t>
      </w:r>
      <w:r>
        <w:rPr>
          <w:spacing w:val="-4"/>
        </w:rPr>
        <w:t>екосистеми</w:t>
      </w:r>
      <w:r>
        <w:rPr>
          <w:spacing w:val="-10"/>
        </w:rPr>
        <w:t> </w:t>
      </w:r>
      <w:r>
        <w:rPr>
          <w:spacing w:val="-4"/>
        </w:rPr>
        <w:t>слід</w:t>
      </w:r>
      <w:r>
        <w:rPr>
          <w:spacing w:val="-8"/>
        </w:rPr>
        <w:t> </w:t>
      </w:r>
      <w:r>
        <w:rPr>
          <w:spacing w:val="-3"/>
        </w:rPr>
        <w:t>виділити</w:t>
      </w:r>
      <w:r>
        <w:rPr>
          <w:spacing w:val="-10"/>
        </w:rPr>
        <w:t> </w:t>
      </w:r>
      <w:r>
        <w:rPr>
          <w:spacing w:val="-3"/>
        </w:rPr>
        <w:t>головні </w:t>
      </w:r>
      <w:r>
        <w:rPr>
          <w:spacing w:val="-4"/>
        </w:rPr>
        <w:t>напрями екологічної діяльності. </w:t>
      </w:r>
      <w:r>
        <w:rPr>
          <w:spacing w:val="-5"/>
        </w:rPr>
        <w:t>На </w:t>
      </w:r>
      <w:r>
        <w:rPr>
          <w:spacing w:val="-4"/>
        </w:rPr>
        <w:t>сьогоднішній день актуальним залишається </w:t>
      </w:r>
      <w:r>
        <w:rPr>
          <w:spacing w:val="-5"/>
        </w:rPr>
        <w:t>питання </w:t>
      </w:r>
      <w:r>
        <w:rPr/>
        <w:t>щодо </w:t>
      </w:r>
      <w:r>
        <w:rPr>
          <w:spacing w:val="-3"/>
        </w:rPr>
        <w:t>аналізу стану лиманів Одеської</w:t>
      </w:r>
      <w:r>
        <w:rPr>
          <w:spacing w:val="-51"/>
        </w:rPr>
        <w:t> </w:t>
      </w:r>
      <w:r>
        <w:rPr>
          <w:spacing w:val="-4"/>
        </w:rPr>
        <w:t>області.</w:t>
      </w:r>
    </w:p>
    <w:p>
      <w:pPr>
        <w:spacing w:after="0"/>
        <w:sectPr>
          <w:pgSz w:w="11910" w:h="16840"/>
          <w:pgMar w:header="713" w:footer="778" w:top="1140" w:bottom="960" w:left="940" w:right="520"/>
        </w:sectPr>
      </w:pPr>
    </w:p>
    <w:p>
      <w:pPr>
        <w:pStyle w:val="BodyText"/>
        <w:spacing w:before="92"/>
        <w:ind w:right="603" w:firstLine="705"/>
      </w:pPr>
      <w:r>
        <w:rPr>
          <w:b/>
          <w:spacing w:val="-3"/>
        </w:rPr>
        <w:t>Мета </w:t>
      </w:r>
      <w:r>
        <w:rPr>
          <w:b/>
          <w:spacing w:val="-4"/>
        </w:rPr>
        <w:t>роботи: </w:t>
      </w:r>
      <w:r>
        <w:rPr>
          <w:spacing w:val="-4"/>
        </w:rPr>
        <w:t>оцінка </w:t>
      </w:r>
      <w:r>
        <w:rPr>
          <w:spacing w:val="-3"/>
        </w:rPr>
        <w:t>стану </w:t>
      </w:r>
      <w:r>
        <w:rPr>
          <w:spacing w:val="-4"/>
        </w:rPr>
        <w:t>вод лиманів Тузловської групи. </w:t>
      </w:r>
      <w:r>
        <w:rPr>
          <w:spacing w:val="-5"/>
        </w:rPr>
        <w:t>Аналіз </w:t>
      </w:r>
      <w:r>
        <w:rPr/>
        <w:t>стану </w:t>
      </w:r>
      <w:r>
        <w:rPr>
          <w:spacing w:val="-4"/>
        </w:rPr>
        <w:t>забруднення</w:t>
      </w:r>
      <w:r>
        <w:rPr>
          <w:spacing w:val="-20"/>
        </w:rPr>
        <w:t> </w:t>
      </w:r>
      <w:r>
        <w:rPr>
          <w:spacing w:val="-4"/>
        </w:rPr>
        <w:t>поверхневих</w:t>
      </w:r>
      <w:r>
        <w:rPr>
          <w:spacing w:val="-16"/>
        </w:rPr>
        <w:t> </w:t>
      </w:r>
      <w:r>
        <w:rPr>
          <w:spacing w:val="-4"/>
        </w:rPr>
        <w:t>вод</w:t>
      </w:r>
      <w:r>
        <w:rPr>
          <w:spacing w:val="-14"/>
        </w:rPr>
        <w:t> </w:t>
      </w:r>
      <w:r>
        <w:rPr/>
        <w:t>у</w:t>
      </w:r>
      <w:r>
        <w:rPr>
          <w:spacing w:val="-23"/>
        </w:rPr>
        <w:t> </w:t>
      </w:r>
      <w:r>
        <w:rPr>
          <w:spacing w:val="-3"/>
        </w:rPr>
        <w:t>лиманах</w:t>
      </w:r>
      <w:r>
        <w:rPr>
          <w:spacing w:val="-16"/>
        </w:rPr>
        <w:t> </w:t>
      </w:r>
      <w:r>
        <w:rPr>
          <w:spacing w:val="-4"/>
        </w:rPr>
        <w:t>виконано</w:t>
      </w:r>
      <w:r>
        <w:rPr>
          <w:spacing w:val="-16"/>
        </w:rPr>
        <w:t> </w:t>
      </w:r>
      <w:r>
        <w:rPr>
          <w:spacing w:val="-3"/>
        </w:rPr>
        <w:t>на</w:t>
      </w:r>
      <w:r>
        <w:rPr>
          <w:spacing w:val="-19"/>
        </w:rPr>
        <w:t> </w:t>
      </w:r>
      <w:r>
        <w:rPr>
          <w:spacing w:val="-3"/>
        </w:rPr>
        <w:t>основі</w:t>
      </w:r>
      <w:r>
        <w:rPr>
          <w:spacing w:val="-26"/>
        </w:rPr>
        <w:t> </w:t>
      </w:r>
      <w:r>
        <w:rPr/>
        <w:t>даних</w:t>
      </w:r>
      <w:r>
        <w:rPr>
          <w:spacing w:val="-26"/>
        </w:rPr>
        <w:t> </w:t>
      </w:r>
      <w:r>
        <w:rPr>
          <w:spacing w:val="-4"/>
        </w:rPr>
        <w:t>спостережень</w:t>
      </w:r>
      <w:r>
        <w:rPr>
          <w:spacing w:val="-23"/>
        </w:rPr>
        <w:t> </w:t>
      </w:r>
      <w:r>
        <w:rPr>
          <w:spacing w:val="-3"/>
        </w:rPr>
        <w:t>за </w:t>
      </w:r>
      <w:r>
        <w:rPr>
          <w:spacing w:val="-5"/>
        </w:rPr>
        <w:t>вмістом</w:t>
      </w:r>
      <w:r>
        <w:rPr>
          <w:spacing w:val="-25"/>
        </w:rPr>
        <w:t> </w:t>
      </w:r>
      <w:r>
        <w:rPr>
          <w:spacing w:val="-4"/>
        </w:rPr>
        <w:t>гідрохімічних</w:t>
      </w:r>
      <w:r>
        <w:rPr>
          <w:spacing w:val="-26"/>
        </w:rPr>
        <w:t> </w:t>
      </w:r>
      <w:r>
        <w:rPr>
          <w:spacing w:val="-4"/>
        </w:rPr>
        <w:t>показників.</w:t>
      </w:r>
      <w:r>
        <w:rPr>
          <w:spacing w:val="-23"/>
        </w:rPr>
        <w:t> </w:t>
      </w:r>
      <w:r>
        <w:rPr>
          <w:spacing w:val="-3"/>
        </w:rPr>
        <w:t>Об’єктом</w:t>
      </w:r>
      <w:r>
        <w:rPr>
          <w:spacing w:val="-24"/>
        </w:rPr>
        <w:t> </w:t>
      </w:r>
      <w:r>
        <w:rPr>
          <w:spacing w:val="-4"/>
        </w:rPr>
        <w:t>дослідження</w:t>
      </w:r>
      <w:r>
        <w:rPr>
          <w:spacing w:val="-24"/>
        </w:rPr>
        <w:t> </w:t>
      </w:r>
      <w:r>
        <w:rPr/>
        <w:t>є</w:t>
      </w:r>
      <w:r>
        <w:rPr>
          <w:spacing w:val="-24"/>
        </w:rPr>
        <w:t> </w:t>
      </w:r>
      <w:r>
        <w:rPr>
          <w:spacing w:val="-4"/>
        </w:rPr>
        <w:t>лимани</w:t>
      </w:r>
      <w:r>
        <w:rPr>
          <w:spacing w:val="-22"/>
        </w:rPr>
        <w:t> </w:t>
      </w:r>
      <w:r>
        <w:rPr>
          <w:spacing w:val="-4"/>
        </w:rPr>
        <w:t>Шагани,</w:t>
      </w:r>
      <w:r>
        <w:rPr>
          <w:spacing w:val="-18"/>
        </w:rPr>
        <w:t> </w:t>
      </w:r>
      <w:r>
        <w:rPr>
          <w:spacing w:val="-4"/>
        </w:rPr>
        <w:t>Алібей та Карачаус. Головним </w:t>
      </w:r>
      <w:r>
        <w:rPr>
          <w:spacing w:val="-3"/>
        </w:rPr>
        <w:t>мотивом </w:t>
      </w:r>
      <w:r>
        <w:rPr/>
        <w:t>у </w:t>
      </w:r>
      <w:r>
        <w:rPr>
          <w:spacing w:val="-3"/>
        </w:rPr>
        <w:t>виборі </w:t>
      </w:r>
      <w:r>
        <w:rPr>
          <w:spacing w:val="-4"/>
        </w:rPr>
        <w:t>об’єкта дослідження були </w:t>
      </w:r>
      <w:r>
        <w:rPr>
          <w:spacing w:val="-3"/>
        </w:rPr>
        <w:t>особливості </w:t>
      </w:r>
      <w:r>
        <w:rPr>
          <w:spacing w:val="-4"/>
        </w:rPr>
        <w:t>географічного</w:t>
      </w:r>
      <w:r>
        <w:rPr>
          <w:spacing w:val="-9"/>
        </w:rPr>
        <w:t> </w:t>
      </w:r>
      <w:r>
        <w:rPr>
          <w:spacing w:val="-4"/>
        </w:rPr>
        <w:t>положення.</w:t>
      </w:r>
    </w:p>
    <w:p>
      <w:pPr>
        <w:pStyle w:val="BodyText"/>
        <w:spacing w:before="3"/>
        <w:ind w:right="604" w:firstLine="710"/>
      </w:pPr>
      <w:r>
        <w:rPr>
          <w:b/>
          <w:spacing w:val="-4"/>
        </w:rPr>
        <w:t>Викладення основного матеріалу досліджень: </w:t>
      </w:r>
      <w:r>
        <w:rPr>
          <w:spacing w:val="-5"/>
        </w:rPr>
        <w:t>На </w:t>
      </w:r>
      <w:r>
        <w:rPr>
          <w:spacing w:val="-3"/>
        </w:rPr>
        <w:t>півдні </w:t>
      </w:r>
      <w:r>
        <w:rPr>
          <w:spacing w:val="-4"/>
        </w:rPr>
        <w:t>Одеської </w:t>
      </w:r>
      <w:r>
        <w:rPr>
          <w:spacing w:val="-3"/>
        </w:rPr>
        <w:t>області </w:t>
      </w:r>
      <w:r>
        <w:rPr/>
        <w:t>в</w:t>
      </w:r>
      <w:r>
        <w:rPr>
          <w:spacing w:val="-10"/>
        </w:rPr>
        <w:t> </w:t>
      </w:r>
      <w:r>
        <w:rPr>
          <w:spacing w:val="-3"/>
        </w:rPr>
        <w:t>межиріччі</w:t>
      </w:r>
      <w:r>
        <w:rPr>
          <w:spacing w:val="-8"/>
        </w:rPr>
        <w:t> </w:t>
      </w:r>
      <w:r>
        <w:rPr>
          <w:spacing w:val="-3"/>
        </w:rPr>
        <w:t>Дунаю</w:t>
      </w:r>
      <w:r>
        <w:rPr>
          <w:spacing w:val="-4"/>
        </w:rPr>
        <w:t> та</w:t>
      </w:r>
      <w:r>
        <w:rPr>
          <w:spacing w:val="-6"/>
        </w:rPr>
        <w:t> </w:t>
      </w:r>
      <w:r>
        <w:rPr>
          <w:spacing w:val="-3"/>
        </w:rPr>
        <w:t>Дністра</w:t>
      </w:r>
      <w:r>
        <w:rPr>
          <w:spacing w:val="-7"/>
        </w:rPr>
        <w:t> </w:t>
      </w:r>
      <w:r>
        <w:rPr/>
        <w:t>в</w:t>
      </w:r>
      <w:r>
        <w:rPr>
          <w:spacing w:val="-9"/>
        </w:rPr>
        <w:t> </w:t>
      </w:r>
      <w:r>
        <w:rPr/>
        <w:t>межах</w:t>
      </w:r>
      <w:r>
        <w:rPr>
          <w:spacing w:val="-7"/>
        </w:rPr>
        <w:t> </w:t>
      </w:r>
      <w:r>
        <w:rPr>
          <w:spacing w:val="-4"/>
        </w:rPr>
        <w:t>Татарбунарського</w:t>
      </w:r>
      <w:r>
        <w:rPr>
          <w:spacing w:val="-7"/>
        </w:rPr>
        <w:t> </w:t>
      </w:r>
      <w:r>
        <w:rPr>
          <w:spacing w:val="-3"/>
        </w:rPr>
        <w:t>району</w:t>
      </w:r>
      <w:r>
        <w:rPr>
          <w:spacing w:val="-8"/>
        </w:rPr>
        <w:t> </w:t>
      </w:r>
      <w:r>
        <w:rPr>
          <w:spacing w:val="-3"/>
        </w:rPr>
        <w:t>Одеської</w:t>
      </w:r>
      <w:r>
        <w:rPr>
          <w:spacing w:val="-13"/>
        </w:rPr>
        <w:t> </w:t>
      </w:r>
      <w:r>
        <w:rPr>
          <w:spacing w:val="-3"/>
        </w:rPr>
        <w:t>області </w:t>
      </w:r>
      <w:r>
        <w:rPr>
          <w:spacing w:val="-4"/>
        </w:rPr>
        <w:t>розташовані </w:t>
      </w:r>
      <w:r>
        <w:rPr>
          <w:spacing w:val="-3"/>
        </w:rPr>
        <w:t>так звані </w:t>
      </w:r>
      <w:r>
        <w:rPr>
          <w:spacing w:val="-4"/>
        </w:rPr>
        <w:t>лимани </w:t>
      </w:r>
      <w:r>
        <w:rPr>
          <w:spacing w:val="-3"/>
        </w:rPr>
        <w:t>Тузлівської </w:t>
      </w:r>
      <w:r>
        <w:rPr>
          <w:spacing w:val="-4"/>
        </w:rPr>
        <w:t>групи. </w:t>
      </w:r>
      <w:r>
        <w:rPr>
          <w:spacing w:val="-5"/>
        </w:rPr>
        <w:t>Ця </w:t>
      </w:r>
      <w:r>
        <w:rPr>
          <w:spacing w:val="-3"/>
        </w:rPr>
        <w:t>група </w:t>
      </w:r>
      <w:r>
        <w:rPr>
          <w:spacing w:val="-4"/>
        </w:rPr>
        <w:t>лиманів відноситься </w:t>
      </w:r>
      <w:r>
        <w:rPr/>
        <w:t>до </w:t>
      </w:r>
      <w:r>
        <w:rPr>
          <w:spacing w:val="-4"/>
        </w:rPr>
        <w:t>таких, </w:t>
      </w:r>
      <w:r>
        <w:rPr/>
        <w:t>що </w:t>
      </w:r>
      <w:r>
        <w:rPr>
          <w:spacing w:val="-4"/>
        </w:rPr>
        <w:t>епізодично сполучаються </w:t>
      </w:r>
      <w:r>
        <w:rPr/>
        <w:t>з </w:t>
      </w:r>
      <w:r>
        <w:rPr>
          <w:spacing w:val="-4"/>
        </w:rPr>
        <w:t>морем [1]. </w:t>
      </w:r>
      <w:r>
        <w:rPr>
          <w:spacing w:val="-3"/>
        </w:rPr>
        <w:t>Води цих лиманів </w:t>
      </w:r>
      <w:r>
        <w:rPr>
          <w:spacing w:val="-4"/>
        </w:rPr>
        <w:t>відносяться полігалинної групи. </w:t>
      </w:r>
      <w:r>
        <w:rPr>
          <w:spacing w:val="-5"/>
        </w:rPr>
        <w:t>На </w:t>
      </w:r>
      <w:r>
        <w:rPr>
          <w:spacing w:val="-3"/>
        </w:rPr>
        <w:t>акваторіях</w:t>
      </w:r>
      <w:r>
        <w:rPr>
          <w:spacing w:val="-54"/>
        </w:rPr>
        <w:t> </w:t>
      </w:r>
      <w:r>
        <w:rPr>
          <w:spacing w:val="-3"/>
        </w:rPr>
        <w:t>лиманів </w:t>
      </w:r>
      <w:r>
        <w:rPr>
          <w:spacing w:val="-4"/>
        </w:rPr>
        <w:t>функціонують рибницькі господарства, </w:t>
      </w:r>
      <w:r>
        <w:rPr>
          <w:spacing w:val="-3"/>
        </w:rPr>
        <w:t>для </w:t>
      </w:r>
      <w:r>
        <w:rPr>
          <w:spacing w:val="-5"/>
        </w:rPr>
        <w:t>забезпечення, </w:t>
      </w:r>
      <w:r>
        <w:rPr>
          <w:spacing w:val="-3"/>
        </w:rPr>
        <w:t>роботи </w:t>
      </w:r>
      <w:r>
        <w:rPr/>
        <w:t>яких </w:t>
      </w:r>
      <w:r>
        <w:rPr>
          <w:spacing w:val="-3"/>
        </w:rPr>
        <w:t>споруджені </w:t>
      </w:r>
      <w:r>
        <w:rPr/>
        <w:t>і </w:t>
      </w:r>
      <w:r>
        <w:rPr>
          <w:spacing w:val="-3"/>
        </w:rPr>
        <w:t>експлуатуються </w:t>
      </w:r>
      <w:r>
        <w:rPr>
          <w:spacing w:val="-4"/>
        </w:rPr>
        <w:t>спеціальні </w:t>
      </w:r>
      <w:r>
        <w:rPr>
          <w:spacing w:val="-3"/>
        </w:rPr>
        <w:t>обловно- </w:t>
      </w:r>
      <w:r>
        <w:rPr>
          <w:spacing w:val="-4"/>
        </w:rPr>
        <w:t>запускной канали. Високий рекреаційний </w:t>
      </w:r>
      <w:r>
        <w:rPr/>
        <w:t>і </w:t>
      </w:r>
      <w:r>
        <w:rPr>
          <w:spacing w:val="-4"/>
        </w:rPr>
        <w:t>бальнеологічний потенціал лиманів використовується </w:t>
      </w:r>
      <w:r>
        <w:rPr>
          <w:spacing w:val="-3"/>
        </w:rPr>
        <w:t>для </w:t>
      </w:r>
      <w:r>
        <w:rPr>
          <w:spacing w:val="-4"/>
        </w:rPr>
        <w:t>екологічного туризму, стихійного </w:t>
      </w:r>
      <w:r>
        <w:rPr/>
        <w:t>і </w:t>
      </w:r>
      <w:r>
        <w:rPr>
          <w:spacing w:val="-4"/>
        </w:rPr>
        <w:t>організованого </w:t>
      </w:r>
      <w:r>
        <w:rPr>
          <w:spacing w:val="-5"/>
        </w:rPr>
        <w:t>відпочинку, </w:t>
      </w:r>
      <w:r>
        <w:rPr/>
        <w:t>в </w:t>
      </w:r>
      <w:r>
        <w:rPr>
          <w:spacing w:val="-4"/>
        </w:rPr>
        <w:t>оздоровчих цілях.</w:t>
      </w:r>
      <w:r>
        <w:rPr>
          <w:spacing w:val="62"/>
        </w:rPr>
        <w:t> </w:t>
      </w:r>
      <w:r>
        <w:rPr>
          <w:spacing w:val="-5"/>
        </w:rPr>
        <w:t>На </w:t>
      </w:r>
      <w:r>
        <w:rPr>
          <w:spacing w:val="-3"/>
        </w:rPr>
        <w:t>берегах лиманів </w:t>
      </w:r>
      <w:r>
        <w:rPr>
          <w:spacing w:val="-4"/>
        </w:rPr>
        <w:t>розташовані спеціальні медично-оздоровчі</w:t>
      </w:r>
      <w:r>
        <w:rPr>
          <w:spacing w:val="62"/>
        </w:rPr>
        <w:t> </w:t>
      </w:r>
      <w:r>
        <w:rPr>
          <w:spacing w:val="-5"/>
        </w:rPr>
        <w:t>установи, </w:t>
      </w:r>
      <w:r>
        <w:rPr/>
        <w:t>в тому </w:t>
      </w:r>
      <w:r>
        <w:rPr>
          <w:spacing w:val="-4"/>
        </w:rPr>
        <w:t>числі</w:t>
      </w:r>
      <w:r>
        <w:rPr>
          <w:spacing w:val="62"/>
        </w:rPr>
        <w:t> </w:t>
      </w:r>
      <w:r>
        <w:rPr>
          <w:spacing w:val="-4"/>
        </w:rPr>
        <w:t>санаторії,</w:t>
      </w:r>
      <w:r>
        <w:rPr>
          <w:spacing w:val="62"/>
        </w:rPr>
        <w:t> </w:t>
      </w:r>
      <w:r>
        <w:rPr>
          <w:spacing w:val="-4"/>
        </w:rPr>
        <w:t>будинки</w:t>
      </w:r>
      <w:r>
        <w:rPr>
          <w:spacing w:val="62"/>
        </w:rPr>
        <w:t> </w:t>
      </w:r>
      <w:r>
        <w:rPr>
          <w:spacing w:val="-4"/>
        </w:rPr>
        <w:t>відпочинку, </w:t>
      </w:r>
      <w:r>
        <w:rPr>
          <w:spacing w:val="-5"/>
        </w:rPr>
        <w:t>пансіонати. </w:t>
      </w:r>
      <w:r>
        <w:rPr/>
        <w:t>В </w:t>
      </w:r>
      <w:r>
        <w:rPr>
          <w:spacing w:val="-3"/>
        </w:rPr>
        <w:t>деяких лиманах </w:t>
      </w:r>
      <w:r>
        <w:rPr>
          <w:spacing w:val="-4"/>
        </w:rPr>
        <w:t>Тузловському </w:t>
      </w:r>
      <w:r>
        <w:rPr>
          <w:spacing w:val="-3"/>
        </w:rPr>
        <w:t>групи відомі </w:t>
      </w:r>
      <w:r>
        <w:rPr>
          <w:spacing w:val="-4"/>
        </w:rPr>
        <w:t>родовища </w:t>
      </w:r>
      <w:r>
        <w:rPr>
          <w:spacing w:val="-3"/>
        </w:rPr>
        <w:t>лікувальних </w:t>
      </w:r>
      <w:r>
        <w:rPr>
          <w:spacing w:val="-4"/>
        </w:rPr>
        <w:t>грязей та функціонують спеціальні </w:t>
      </w:r>
      <w:r>
        <w:rPr>
          <w:spacing w:val="-3"/>
        </w:rPr>
        <w:t>медичні </w:t>
      </w:r>
      <w:r>
        <w:rPr>
          <w:spacing w:val="-5"/>
        </w:rPr>
        <w:t>установи, </w:t>
      </w:r>
      <w:r>
        <w:rPr/>
        <w:t>що </w:t>
      </w:r>
      <w:r>
        <w:rPr>
          <w:spacing w:val="-4"/>
        </w:rPr>
        <w:t>використовують </w:t>
      </w:r>
      <w:r>
        <w:rPr>
          <w:spacing w:val="-3"/>
        </w:rPr>
        <w:t>методи </w:t>
      </w:r>
      <w:r>
        <w:rPr>
          <w:spacing w:val="-4"/>
        </w:rPr>
        <w:t>грязелікування [2]. </w:t>
      </w:r>
      <w:r>
        <w:rPr>
          <w:spacing w:val="-3"/>
        </w:rPr>
        <w:t>Таким </w:t>
      </w:r>
      <w:r>
        <w:rPr>
          <w:spacing w:val="-4"/>
        </w:rPr>
        <w:t>чином, </w:t>
      </w:r>
      <w:r>
        <w:rPr>
          <w:spacing w:val="-3"/>
        </w:rPr>
        <w:t>на </w:t>
      </w:r>
      <w:r>
        <w:rPr>
          <w:spacing w:val="-4"/>
        </w:rPr>
        <w:t>сучасному </w:t>
      </w:r>
      <w:r>
        <w:rPr>
          <w:spacing w:val="-3"/>
        </w:rPr>
        <w:t>етапі природні </w:t>
      </w:r>
      <w:r>
        <w:rPr>
          <w:spacing w:val="-4"/>
        </w:rPr>
        <w:t>умови </w:t>
      </w:r>
      <w:r>
        <w:rPr>
          <w:spacing w:val="-3"/>
        </w:rPr>
        <w:t>лиманів </w:t>
      </w:r>
      <w:r>
        <w:rPr>
          <w:spacing w:val="-4"/>
        </w:rPr>
        <w:t>Тузловської </w:t>
      </w:r>
      <w:r>
        <w:rPr>
          <w:spacing w:val="-3"/>
        </w:rPr>
        <w:t>групи, </w:t>
      </w:r>
      <w:r>
        <w:rPr>
          <w:spacing w:val="-4"/>
        </w:rPr>
        <w:t>характеризуються повсюдним антропогенним перетворенням. Найбільш</w:t>
      </w:r>
      <w:r>
        <w:rPr>
          <w:spacing w:val="62"/>
        </w:rPr>
        <w:t> </w:t>
      </w:r>
      <w:r>
        <w:rPr>
          <w:spacing w:val="-4"/>
        </w:rPr>
        <w:t>масовим </w:t>
      </w:r>
      <w:r>
        <w:rPr>
          <w:spacing w:val="-5"/>
        </w:rPr>
        <w:t>видом </w:t>
      </w:r>
      <w:r>
        <w:rPr>
          <w:spacing w:val="-4"/>
        </w:rPr>
        <w:t>антропогенного впливу</w:t>
      </w:r>
      <w:r>
        <w:rPr>
          <w:spacing w:val="62"/>
        </w:rPr>
        <w:t> </w:t>
      </w:r>
      <w:r>
        <w:rPr>
          <w:spacing w:val="-3"/>
        </w:rPr>
        <w:t>на </w:t>
      </w:r>
      <w:r>
        <w:rPr>
          <w:spacing w:val="-4"/>
        </w:rPr>
        <w:t>лимани</w:t>
      </w:r>
      <w:r>
        <w:rPr>
          <w:spacing w:val="62"/>
        </w:rPr>
        <w:t> </w:t>
      </w:r>
      <w:r>
        <w:rPr/>
        <w:t>є </w:t>
      </w:r>
      <w:r>
        <w:rPr>
          <w:spacing w:val="-4"/>
        </w:rPr>
        <w:t>сільське господарство. </w:t>
      </w:r>
      <w:r>
        <w:rPr/>
        <w:t>У </w:t>
      </w:r>
      <w:r>
        <w:rPr>
          <w:spacing w:val="-3"/>
        </w:rPr>
        <w:t>зв'язку </w:t>
      </w:r>
      <w:r>
        <w:rPr/>
        <w:t>з </w:t>
      </w:r>
      <w:r>
        <w:rPr>
          <w:spacing w:val="-5"/>
        </w:rPr>
        <w:t>інтенсифікацією </w:t>
      </w:r>
      <w:r>
        <w:rPr>
          <w:spacing w:val="-4"/>
        </w:rPr>
        <w:t>сільськогосподарського виробництва різко збільшилася </w:t>
      </w:r>
      <w:r>
        <w:rPr>
          <w:spacing w:val="-3"/>
        </w:rPr>
        <w:t>площа еродованих земель </w:t>
      </w:r>
      <w:r>
        <w:rPr/>
        <w:t>та </w:t>
      </w:r>
      <w:r>
        <w:rPr>
          <w:spacing w:val="-4"/>
        </w:rPr>
        <w:t>винос </w:t>
      </w:r>
      <w:r>
        <w:rPr/>
        <w:t>в </w:t>
      </w:r>
      <w:r>
        <w:rPr>
          <w:spacing w:val="-3"/>
        </w:rPr>
        <w:t>річкову </w:t>
      </w:r>
      <w:r>
        <w:rPr>
          <w:spacing w:val="-2"/>
        </w:rPr>
        <w:t>мережу </w:t>
      </w:r>
      <w:r>
        <w:rPr>
          <w:spacing w:val="-3"/>
        </w:rPr>
        <w:t>продуктів </w:t>
      </w:r>
      <w:r>
        <w:rPr>
          <w:spacing w:val="-4"/>
        </w:rPr>
        <w:t>ерозійного змиву, </w:t>
      </w:r>
      <w:r>
        <w:rPr/>
        <w:t>в </w:t>
      </w:r>
      <w:r>
        <w:rPr>
          <w:spacing w:val="-3"/>
        </w:rPr>
        <w:t>тому числі </w:t>
      </w:r>
      <w:r>
        <w:rPr>
          <w:spacing w:val="-4"/>
        </w:rPr>
        <w:t>отрутохімікатів </w:t>
      </w:r>
      <w:r>
        <w:rPr/>
        <w:t>і </w:t>
      </w:r>
      <w:r>
        <w:rPr>
          <w:spacing w:val="-4"/>
        </w:rPr>
        <w:t>добрив. Крім того </w:t>
      </w:r>
      <w:r>
        <w:rPr/>
        <w:t>в </w:t>
      </w:r>
      <w:r>
        <w:rPr>
          <w:spacing w:val="-3"/>
        </w:rPr>
        <w:t>водні об'єкти </w:t>
      </w:r>
      <w:r>
        <w:rPr>
          <w:spacing w:val="-4"/>
        </w:rPr>
        <w:t>регіону, </w:t>
      </w:r>
      <w:r>
        <w:rPr/>
        <w:t>які </w:t>
      </w:r>
      <w:r>
        <w:rPr>
          <w:spacing w:val="-3"/>
        </w:rPr>
        <w:t>живлять </w:t>
      </w:r>
      <w:r>
        <w:rPr>
          <w:spacing w:val="-4"/>
        </w:rPr>
        <w:t>лимани</w:t>
      </w:r>
      <w:r>
        <w:rPr>
          <w:spacing w:val="62"/>
        </w:rPr>
        <w:t> </w:t>
      </w:r>
      <w:r>
        <w:rPr>
          <w:spacing w:val="-4"/>
        </w:rPr>
        <w:t>здійснюється</w:t>
      </w:r>
      <w:r>
        <w:rPr>
          <w:spacing w:val="62"/>
        </w:rPr>
        <w:t> </w:t>
      </w:r>
      <w:r>
        <w:rPr>
          <w:spacing w:val="-4"/>
        </w:rPr>
        <w:t>регулярний</w:t>
      </w:r>
      <w:r>
        <w:rPr>
          <w:spacing w:val="62"/>
        </w:rPr>
        <w:t> </w:t>
      </w:r>
      <w:r>
        <w:rPr>
          <w:spacing w:val="-4"/>
        </w:rPr>
        <w:t>скид </w:t>
      </w:r>
      <w:r>
        <w:rPr>
          <w:spacing w:val="-3"/>
        </w:rPr>
        <w:t>стічних вод. </w:t>
      </w:r>
      <w:r>
        <w:rPr>
          <w:spacing w:val="-4"/>
        </w:rPr>
        <w:t>Порушення гідрологічного </w:t>
      </w:r>
      <w:r>
        <w:rPr>
          <w:spacing w:val="-3"/>
        </w:rPr>
        <w:t>режиму </w:t>
      </w:r>
      <w:r>
        <w:rPr>
          <w:spacing w:val="-4"/>
        </w:rPr>
        <w:t>та зменшенням водності лиманів, викликане </w:t>
      </w:r>
      <w:r>
        <w:rPr/>
        <w:t>в </w:t>
      </w:r>
      <w:r>
        <w:rPr>
          <w:spacing w:val="-3"/>
        </w:rPr>
        <w:t>першу чергу </w:t>
      </w:r>
      <w:r>
        <w:rPr>
          <w:spacing w:val="-4"/>
        </w:rPr>
        <w:t>зарегулюванням ставками </w:t>
      </w:r>
      <w:r>
        <w:rPr/>
        <w:t>і </w:t>
      </w:r>
      <w:r>
        <w:rPr>
          <w:spacing w:val="-4"/>
        </w:rPr>
        <w:t>водосховищами </w:t>
      </w:r>
      <w:r>
        <w:rPr>
          <w:spacing w:val="-3"/>
        </w:rPr>
        <w:t>їх </w:t>
      </w:r>
      <w:r>
        <w:rPr>
          <w:spacing w:val="-4"/>
        </w:rPr>
        <w:t>гідрографічної </w:t>
      </w:r>
      <w:r>
        <w:rPr/>
        <w:t>мережі </w:t>
      </w:r>
      <w:r>
        <w:rPr>
          <w:spacing w:val="-3"/>
        </w:rPr>
        <w:t>на</w:t>
      </w:r>
      <w:r>
        <w:rPr>
          <w:spacing w:val="-19"/>
        </w:rPr>
        <w:t> </w:t>
      </w:r>
      <w:r>
        <w:rPr>
          <w:spacing w:val="-4"/>
        </w:rPr>
        <w:t>водозбірної</w:t>
      </w:r>
      <w:r>
        <w:rPr>
          <w:spacing w:val="-21"/>
        </w:rPr>
        <w:t> </w:t>
      </w:r>
      <w:r>
        <w:rPr>
          <w:spacing w:val="-5"/>
        </w:rPr>
        <w:t>площі.</w:t>
      </w:r>
      <w:r>
        <w:rPr>
          <w:spacing w:val="-16"/>
        </w:rPr>
        <w:t> </w:t>
      </w:r>
      <w:r>
        <w:rPr>
          <w:spacing w:val="-3"/>
        </w:rPr>
        <w:t>Група</w:t>
      </w:r>
      <w:r>
        <w:rPr>
          <w:spacing w:val="-18"/>
        </w:rPr>
        <w:t> </w:t>
      </w:r>
      <w:r>
        <w:rPr/>
        <w:t>з</w:t>
      </w:r>
      <w:r>
        <w:rPr>
          <w:spacing w:val="-16"/>
        </w:rPr>
        <w:t> </w:t>
      </w:r>
      <w:r>
        <w:rPr/>
        <w:t>9</w:t>
      </w:r>
      <w:r>
        <w:rPr>
          <w:spacing w:val="-21"/>
        </w:rPr>
        <w:t> </w:t>
      </w:r>
      <w:r>
        <w:rPr>
          <w:spacing w:val="-4"/>
        </w:rPr>
        <w:t>лиманів</w:t>
      </w:r>
      <w:r>
        <w:rPr>
          <w:spacing w:val="-22"/>
        </w:rPr>
        <w:t> </w:t>
      </w:r>
      <w:r>
        <w:rPr>
          <w:spacing w:val="-3"/>
        </w:rPr>
        <w:t>на</w:t>
      </w:r>
      <w:r>
        <w:rPr>
          <w:spacing w:val="-15"/>
        </w:rPr>
        <w:t> </w:t>
      </w:r>
      <w:r>
        <w:rPr>
          <w:spacing w:val="-3"/>
        </w:rPr>
        <w:t>узбережжі</w:t>
      </w:r>
      <w:r>
        <w:rPr>
          <w:spacing w:val="-27"/>
        </w:rPr>
        <w:t> </w:t>
      </w:r>
      <w:r>
        <w:rPr/>
        <w:t>між</w:t>
      </w:r>
      <w:r>
        <w:rPr>
          <w:spacing w:val="-20"/>
        </w:rPr>
        <w:t> </w:t>
      </w:r>
      <w:r>
        <w:rPr>
          <w:spacing w:val="-4"/>
        </w:rPr>
        <w:t>гирлами</w:t>
      </w:r>
      <w:r>
        <w:rPr>
          <w:spacing w:val="-21"/>
        </w:rPr>
        <w:t> </w:t>
      </w:r>
      <w:r>
        <w:rPr>
          <w:spacing w:val="-4"/>
        </w:rPr>
        <w:t>Дністра</w:t>
      </w:r>
      <w:r>
        <w:rPr>
          <w:spacing w:val="-15"/>
        </w:rPr>
        <w:t> </w:t>
      </w:r>
      <w:r>
        <w:rPr/>
        <w:t>і</w:t>
      </w:r>
      <w:r>
        <w:rPr>
          <w:spacing w:val="-25"/>
        </w:rPr>
        <w:t> </w:t>
      </w:r>
      <w:r>
        <w:rPr/>
        <w:t>Дунаю і до </w:t>
      </w:r>
      <w:r>
        <w:rPr>
          <w:spacing w:val="-4"/>
        </w:rPr>
        <w:t>нашого </w:t>
      </w:r>
      <w:r>
        <w:rPr>
          <w:spacing w:val="-3"/>
        </w:rPr>
        <w:t>часу </w:t>
      </w:r>
      <w:r>
        <w:rPr>
          <w:spacing w:val="-5"/>
        </w:rPr>
        <w:t>відноситься </w:t>
      </w:r>
      <w:r>
        <w:rPr/>
        <w:t>до </w:t>
      </w:r>
      <w:r>
        <w:rPr>
          <w:spacing w:val="-4"/>
        </w:rPr>
        <w:t>найменш</w:t>
      </w:r>
      <w:r>
        <w:rPr>
          <w:spacing w:val="62"/>
        </w:rPr>
        <w:t> </w:t>
      </w:r>
      <w:r>
        <w:rPr>
          <w:spacing w:val="-5"/>
        </w:rPr>
        <w:t>досліджених. </w:t>
      </w:r>
      <w:r>
        <w:rPr>
          <w:spacing w:val="-4"/>
        </w:rPr>
        <w:t>Одночасно </w:t>
      </w:r>
      <w:r>
        <w:rPr/>
        <w:t>вони в </w:t>
      </w:r>
      <w:r>
        <w:rPr>
          <w:spacing w:val="-5"/>
        </w:rPr>
        <w:t>мінімальній </w:t>
      </w:r>
      <w:r>
        <w:rPr/>
        <w:t>мірі </w:t>
      </w:r>
      <w:r>
        <w:rPr>
          <w:spacing w:val="-3"/>
        </w:rPr>
        <w:t>підпадали </w:t>
      </w:r>
      <w:r>
        <w:rPr>
          <w:spacing w:val="-4"/>
        </w:rPr>
        <w:t>під </w:t>
      </w:r>
      <w:r>
        <w:rPr>
          <w:spacing w:val="-3"/>
        </w:rPr>
        <w:t>вплив </w:t>
      </w:r>
      <w:r>
        <w:rPr>
          <w:spacing w:val="-4"/>
        </w:rPr>
        <w:t>антропогенного чинника, </w:t>
      </w:r>
      <w:r>
        <w:rPr>
          <w:spacing w:val="-3"/>
        </w:rPr>
        <w:t>крім лиману Сасик </w:t>
      </w:r>
      <w:r>
        <w:rPr>
          <w:spacing w:val="-4"/>
        </w:rPr>
        <w:t>(фактично </w:t>
      </w:r>
      <w:r>
        <w:rPr>
          <w:spacing w:val="-3"/>
        </w:rPr>
        <w:t>він штучно </w:t>
      </w:r>
      <w:r>
        <w:rPr>
          <w:spacing w:val="-4"/>
        </w:rPr>
        <w:t>перетворений </w:t>
      </w:r>
      <w:r>
        <w:rPr/>
        <w:t>у </w:t>
      </w:r>
      <w:r>
        <w:rPr>
          <w:spacing w:val="-4"/>
        </w:rPr>
        <w:t>водосховищі Сасик) [3]. </w:t>
      </w:r>
      <w:r>
        <w:rPr>
          <w:spacing w:val="-5"/>
        </w:rPr>
        <w:t>Аналіз </w:t>
      </w:r>
      <w:r>
        <w:rPr>
          <w:spacing w:val="-4"/>
        </w:rPr>
        <w:t>сучасного екологічного</w:t>
      </w:r>
      <w:r>
        <w:rPr>
          <w:spacing w:val="-16"/>
        </w:rPr>
        <w:t> </w:t>
      </w:r>
      <w:r>
        <w:rPr>
          <w:spacing w:val="-3"/>
        </w:rPr>
        <w:t>стану</w:t>
      </w:r>
      <w:r>
        <w:rPr>
          <w:spacing w:val="-15"/>
        </w:rPr>
        <w:t> </w:t>
      </w:r>
      <w:r>
        <w:rPr>
          <w:spacing w:val="-4"/>
        </w:rPr>
        <w:t>вод</w:t>
      </w:r>
      <w:r>
        <w:rPr>
          <w:spacing w:val="-14"/>
        </w:rPr>
        <w:t> </w:t>
      </w:r>
      <w:r>
        <w:rPr>
          <w:spacing w:val="-3"/>
        </w:rPr>
        <w:t>групи</w:t>
      </w:r>
      <w:r>
        <w:rPr>
          <w:spacing w:val="-10"/>
        </w:rPr>
        <w:t> </w:t>
      </w:r>
      <w:r>
        <w:rPr>
          <w:spacing w:val="-4"/>
        </w:rPr>
        <w:t>Тузловських</w:t>
      </w:r>
      <w:r>
        <w:rPr>
          <w:spacing w:val="-16"/>
        </w:rPr>
        <w:t> </w:t>
      </w:r>
      <w:r>
        <w:rPr>
          <w:spacing w:val="-4"/>
        </w:rPr>
        <w:t>лиманів</w:t>
      </w:r>
      <w:r>
        <w:rPr>
          <w:spacing w:val="-12"/>
        </w:rPr>
        <w:t> </w:t>
      </w:r>
      <w:r>
        <w:rPr>
          <w:spacing w:val="-4"/>
        </w:rPr>
        <w:t>свідчить,</w:t>
      </w:r>
      <w:r>
        <w:rPr>
          <w:spacing w:val="-14"/>
        </w:rPr>
        <w:t> </w:t>
      </w:r>
      <w:r>
        <w:rPr/>
        <w:t>що</w:t>
      </w:r>
      <w:r>
        <w:rPr>
          <w:spacing w:val="-15"/>
        </w:rPr>
        <w:t> </w:t>
      </w:r>
      <w:r>
        <w:rPr>
          <w:spacing w:val="-3"/>
        </w:rPr>
        <w:t>негативні</w:t>
      </w:r>
      <w:r>
        <w:rPr>
          <w:spacing w:val="-21"/>
        </w:rPr>
        <w:t> </w:t>
      </w:r>
      <w:r>
        <w:rPr>
          <w:spacing w:val="-4"/>
        </w:rPr>
        <w:t>процеси тривають.</w:t>
      </w:r>
      <w:r>
        <w:rPr>
          <w:spacing w:val="-18"/>
        </w:rPr>
        <w:t> </w:t>
      </w:r>
      <w:r>
        <w:rPr>
          <w:spacing w:val="-4"/>
        </w:rPr>
        <w:t>Вони</w:t>
      </w:r>
      <w:r>
        <w:rPr>
          <w:spacing w:val="-20"/>
        </w:rPr>
        <w:t> </w:t>
      </w:r>
      <w:r>
        <w:rPr>
          <w:spacing w:val="-4"/>
        </w:rPr>
        <w:t>забруднени</w:t>
      </w:r>
      <w:r>
        <w:rPr>
          <w:spacing w:val="-20"/>
        </w:rPr>
        <w:t> </w:t>
      </w:r>
      <w:r>
        <w:rPr>
          <w:spacing w:val="-4"/>
        </w:rPr>
        <w:t>речовинами,</w:t>
      </w:r>
      <w:r>
        <w:rPr>
          <w:spacing w:val="-22"/>
        </w:rPr>
        <w:t> </w:t>
      </w:r>
      <w:r>
        <w:rPr/>
        <w:t>які</w:t>
      </w:r>
      <w:r>
        <w:rPr>
          <w:spacing w:val="-30"/>
        </w:rPr>
        <w:t> </w:t>
      </w:r>
      <w:r>
        <w:rPr>
          <w:spacing w:val="-4"/>
        </w:rPr>
        <w:t>потрапили</w:t>
      </w:r>
      <w:r>
        <w:rPr>
          <w:spacing w:val="-20"/>
        </w:rPr>
        <w:t> </w:t>
      </w:r>
      <w:r>
        <w:rPr/>
        <w:t>у</w:t>
      </w:r>
      <w:r>
        <w:rPr>
          <w:spacing w:val="-21"/>
        </w:rPr>
        <w:t> </w:t>
      </w:r>
      <w:r>
        <w:rPr>
          <w:spacing w:val="-4"/>
        </w:rPr>
        <w:t>водний</w:t>
      </w:r>
      <w:r>
        <w:rPr>
          <w:spacing w:val="-25"/>
        </w:rPr>
        <w:t> </w:t>
      </w:r>
      <w:r>
        <w:rPr>
          <w:spacing w:val="-3"/>
        </w:rPr>
        <w:t>об'єкт</w:t>
      </w:r>
      <w:r>
        <w:rPr>
          <w:spacing w:val="-21"/>
        </w:rPr>
        <w:t> </w:t>
      </w:r>
      <w:r>
        <w:rPr/>
        <w:t>в</w:t>
      </w:r>
      <w:r>
        <w:rPr>
          <w:spacing w:val="-22"/>
        </w:rPr>
        <w:t> </w:t>
      </w:r>
      <w:r>
        <w:rPr>
          <w:spacing w:val="-4"/>
        </w:rPr>
        <w:t>результаті </w:t>
      </w:r>
      <w:r>
        <w:rPr>
          <w:spacing w:val="-3"/>
        </w:rPr>
        <w:t>скиду </w:t>
      </w:r>
      <w:r>
        <w:rPr>
          <w:spacing w:val="-4"/>
        </w:rPr>
        <w:t>побутових </w:t>
      </w:r>
      <w:r>
        <w:rPr>
          <w:spacing w:val="-3"/>
        </w:rPr>
        <w:t>стічних </w:t>
      </w:r>
      <w:r>
        <w:rPr>
          <w:spacing w:val="-4"/>
        </w:rPr>
        <w:t>вод підприємств </w:t>
      </w:r>
      <w:r>
        <w:rPr/>
        <w:t>і </w:t>
      </w:r>
      <w:r>
        <w:rPr>
          <w:spacing w:val="-4"/>
        </w:rPr>
        <w:t>втратили </w:t>
      </w:r>
      <w:r>
        <w:rPr>
          <w:spacing w:val="-3"/>
        </w:rPr>
        <w:t>своє </w:t>
      </w:r>
      <w:r>
        <w:rPr>
          <w:spacing w:val="-4"/>
        </w:rPr>
        <w:t>природне значення. Проблема</w:t>
      </w:r>
      <w:r>
        <w:rPr>
          <w:spacing w:val="-18"/>
        </w:rPr>
        <w:t> </w:t>
      </w:r>
      <w:r>
        <w:rPr>
          <w:spacing w:val="-4"/>
        </w:rPr>
        <w:t>якісного</w:t>
      </w:r>
      <w:r>
        <w:rPr>
          <w:spacing w:val="-19"/>
        </w:rPr>
        <w:t> </w:t>
      </w:r>
      <w:r>
        <w:rPr/>
        <w:t>й</w:t>
      </w:r>
      <w:r>
        <w:rPr>
          <w:spacing w:val="-20"/>
        </w:rPr>
        <w:t> </w:t>
      </w:r>
      <w:r>
        <w:rPr>
          <w:spacing w:val="-4"/>
        </w:rPr>
        <w:t>кількісного</w:t>
      </w:r>
      <w:r>
        <w:rPr>
          <w:spacing w:val="-14"/>
        </w:rPr>
        <w:t> </w:t>
      </w:r>
      <w:r>
        <w:rPr>
          <w:spacing w:val="-5"/>
        </w:rPr>
        <w:t>виснаження</w:t>
      </w:r>
      <w:r>
        <w:rPr>
          <w:spacing w:val="-18"/>
        </w:rPr>
        <w:t> </w:t>
      </w:r>
      <w:r>
        <w:rPr>
          <w:spacing w:val="-3"/>
        </w:rPr>
        <w:t>водних</w:t>
      </w:r>
      <w:r>
        <w:rPr>
          <w:spacing w:val="-24"/>
        </w:rPr>
        <w:t> </w:t>
      </w:r>
      <w:r>
        <w:rPr>
          <w:spacing w:val="-4"/>
        </w:rPr>
        <w:t>ресурсів</w:t>
      </w:r>
      <w:r>
        <w:rPr>
          <w:spacing w:val="-16"/>
        </w:rPr>
        <w:t> </w:t>
      </w:r>
      <w:r>
        <w:rPr>
          <w:spacing w:val="-6"/>
        </w:rPr>
        <w:t>із</w:t>
      </w:r>
      <w:r>
        <w:rPr>
          <w:spacing w:val="-19"/>
        </w:rPr>
        <w:t> </w:t>
      </w:r>
      <w:r>
        <w:rPr>
          <w:spacing w:val="-4"/>
        </w:rPr>
        <w:t>кожним</w:t>
      </w:r>
      <w:r>
        <w:rPr>
          <w:spacing w:val="-17"/>
        </w:rPr>
        <w:t> </w:t>
      </w:r>
      <w:r>
        <w:rPr>
          <w:spacing w:val="-4"/>
        </w:rPr>
        <w:t>роком</w:t>
      </w:r>
      <w:r>
        <w:rPr>
          <w:spacing w:val="-18"/>
        </w:rPr>
        <w:t> </w:t>
      </w:r>
      <w:r>
        <w:rPr>
          <w:spacing w:val="-3"/>
        </w:rPr>
        <w:t>стає </w:t>
      </w:r>
      <w:r>
        <w:rPr>
          <w:spacing w:val="-4"/>
        </w:rPr>
        <w:t>все актуальнішою. </w:t>
      </w:r>
      <w:r>
        <w:rPr>
          <w:spacing w:val="-3"/>
        </w:rPr>
        <w:t>Стан водної </w:t>
      </w:r>
      <w:r>
        <w:rPr>
          <w:spacing w:val="-4"/>
        </w:rPr>
        <w:t>екосистеми </w:t>
      </w:r>
      <w:r>
        <w:rPr>
          <w:spacing w:val="-3"/>
        </w:rPr>
        <w:t>лиманів </w:t>
      </w:r>
      <w:r>
        <w:rPr>
          <w:spacing w:val="-4"/>
        </w:rPr>
        <w:t>Тузловської </w:t>
      </w:r>
      <w:r>
        <w:rPr>
          <w:spacing w:val="-3"/>
        </w:rPr>
        <w:t>групи </w:t>
      </w:r>
      <w:r>
        <w:rPr>
          <w:spacing w:val="-4"/>
        </w:rPr>
        <w:t>показує </w:t>
      </w:r>
      <w:r>
        <w:rPr>
          <w:spacing w:val="-5"/>
        </w:rPr>
        <w:t>збільшення</w:t>
      </w:r>
      <w:r>
        <w:rPr>
          <w:spacing w:val="-21"/>
        </w:rPr>
        <w:t> </w:t>
      </w:r>
      <w:r>
        <w:rPr>
          <w:spacing w:val="-4"/>
        </w:rPr>
        <w:t>техногенного</w:t>
      </w:r>
      <w:r>
        <w:rPr>
          <w:spacing w:val="-26"/>
        </w:rPr>
        <w:t> </w:t>
      </w:r>
      <w:r>
        <w:rPr>
          <w:spacing w:val="-4"/>
        </w:rPr>
        <w:t>навантаження,</w:t>
      </w:r>
      <w:r>
        <w:rPr>
          <w:spacing w:val="-20"/>
        </w:rPr>
        <w:t> </w:t>
      </w:r>
      <w:r>
        <w:rPr/>
        <w:t>що</w:t>
      </w:r>
      <w:r>
        <w:rPr>
          <w:spacing w:val="-26"/>
        </w:rPr>
        <w:t> </w:t>
      </w:r>
      <w:r>
        <w:rPr>
          <w:spacing w:val="-3"/>
        </w:rPr>
        <w:t>говорить</w:t>
      </w:r>
      <w:r>
        <w:rPr>
          <w:spacing w:val="-29"/>
        </w:rPr>
        <w:t> </w:t>
      </w:r>
      <w:r>
        <w:rPr/>
        <w:t>про</w:t>
      </w:r>
      <w:r>
        <w:rPr>
          <w:spacing w:val="-26"/>
        </w:rPr>
        <w:t> </w:t>
      </w:r>
      <w:r>
        <w:rPr>
          <w:spacing w:val="-4"/>
        </w:rPr>
        <w:t>процеси</w:t>
      </w:r>
      <w:r>
        <w:rPr>
          <w:spacing w:val="-22"/>
        </w:rPr>
        <w:t> </w:t>
      </w:r>
      <w:r>
        <w:rPr>
          <w:spacing w:val="-3"/>
        </w:rPr>
        <w:t>її</w:t>
      </w:r>
      <w:r>
        <w:rPr>
          <w:spacing w:val="-27"/>
        </w:rPr>
        <w:t> </w:t>
      </w:r>
      <w:r>
        <w:rPr>
          <w:spacing w:val="-4"/>
        </w:rPr>
        <w:t>деградації.</w:t>
      </w:r>
      <w:r>
        <w:rPr>
          <w:spacing w:val="-25"/>
        </w:rPr>
        <w:t> </w:t>
      </w:r>
      <w:r>
        <w:rPr>
          <w:spacing w:val="-3"/>
        </w:rPr>
        <w:t>Для </w:t>
      </w:r>
      <w:r>
        <w:rPr>
          <w:spacing w:val="-5"/>
        </w:rPr>
        <w:t>покращення </w:t>
      </w:r>
      <w:r>
        <w:rPr>
          <w:spacing w:val="-3"/>
        </w:rPr>
        <w:t>стану водної </w:t>
      </w:r>
      <w:r>
        <w:rPr>
          <w:spacing w:val="-4"/>
        </w:rPr>
        <w:t>екосистеми </w:t>
      </w:r>
      <w:r>
        <w:rPr/>
        <w:t>слід </w:t>
      </w:r>
      <w:r>
        <w:rPr>
          <w:spacing w:val="-5"/>
        </w:rPr>
        <w:t>виділити </w:t>
      </w:r>
      <w:r>
        <w:rPr>
          <w:spacing w:val="-3"/>
        </w:rPr>
        <w:t>головні </w:t>
      </w:r>
      <w:r>
        <w:rPr>
          <w:spacing w:val="-4"/>
        </w:rPr>
        <w:t>напрями екологічної</w:t>
      </w:r>
      <w:r>
        <w:rPr>
          <w:spacing w:val="62"/>
        </w:rPr>
        <w:t> </w:t>
      </w:r>
      <w:r>
        <w:rPr>
          <w:spacing w:val="-4"/>
        </w:rPr>
        <w:t>діяльності. </w:t>
      </w:r>
      <w:r>
        <w:rPr>
          <w:spacing w:val="-5"/>
        </w:rPr>
        <w:t>На </w:t>
      </w:r>
      <w:r>
        <w:rPr>
          <w:spacing w:val="-4"/>
        </w:rPr>
        <w:t>сьогоднішній </w:t>
      </w:r>
      <w:r>
        <w:rPr/>
        <w:t>день </w:t>
      </w:r>
      <w:r>
        <w:rPr>
          <w:spacing w:val="-4"/>
        </w:rPr>
        <w:t>актуальним залишається питання </w:t>
      </w:r>
      <w:r>
        <w:rPr>
          <w:spacing w:val="-3"/>
        </w:rPr>
        <w:t>щодо аналізу </w:t>
      </w:r>
      <w:r>
        <w:rPr>
          <w:spacing w:val="-4"/>
        </w:rPr>
        <w:t>стану </w:t>
      </w:r>
      <w:r>
        <w:rPr>
          <w:spacing w:val="-3"/>
        </w:rPr>
        <w:t>вод </w:t>
      </w:r>
      <w:r>
        <w:rPr>
          <w:spacing w:val="-4"/>
        </w:rPr>
        <w:t>лиманів. Методика оцінки </w:t>
      </w:r>
      <w:r>
        <w:rPr/>
        <w:t>якості </w:t>
      </w:r>
      <w:r>
        <w:rPr>
          <w:spacing w:val="-4"/>
        </w:rPr>
        <w:t>води </w:t>
      </w:r>
      <w:r>
        <w:rPr>
          <w:spacing w:val="-3"/>
        </w:rPr>
        <w:t>за </w:t>
      </w:r>
      <w:r>
        <w:rPr>
          <w:spacing w:val="-5"/>
        </w:rPr>
        <w:t>індексом </w:t>
      </w:r>
      <w:r>
        <w:rPr>
          <w:spacing w:val="-4"/>
        </w:rPr>
        <w:t>забрудненості </w:t>
      </w:r>
      <w:r>
        <w:rPr>
          <w:spacing w:val="-3"/>
        </w:rPr>
        <w:t>води </w:t>
      </w:r>
      <w:r>
        <w:rPr>
          <w:spacing w:val="-4"/>
        </w:rPr>
        <w:t>(І3В) була рекомендована </w:t>
      </w:r>
      <w:r>
        <w:rPr>
          <w:spacing w:val="-3"/>
        </w:rPr>
        <w:t>для </w:t>
      </w:r>
      <w:r>
        <w:rPr>
          <w:spacing w:val="-4"/>
        </w:rPr>
        <w:t>використання підрозділам Держкомгідромету. Гідрохімічний </w:t>
      </w:r>
      <w:r>
        <w:rPr>
          <w:spacing w:val="-5"/>
        </w:rPr>
        <w:t>індекс </w:t>
      </w:r>
      <w:r>
        <w:rPr>
          <w:spacing w:val="-4"/>
        </w:rPr>
        <w:t>забрудненості води </w:t>
      </w:r>
      <w:r>
        <w:rPr/>
        <w:t>є </w:t>
      </w:r>
      <w:r>
        <w:rPr>
          <w:spacing w:val="-5"/>
        </w:rPr>
        <w:t>комплексним </w:t>
      </w:r>
      <w:r>
        <w:rPr>
          <w:spacing w:val="-4"/>
        </w:rPr>
        <w:t>показником </w:t>
      </w:r>
      <w:r>
        <w:rPr>
          <w:spacing w:val="-3"/>
        </w:rPr>
        <w:t>якості води </w:t>
      </w:r>
      <w:r>
        <w:rPr>
          <w:spacing w:val="-4"/>
        </w:rPr>
        <w:t>[4].</w:t>
      </w:r>
      <w:r>
        <w:rPr>
          <w:spacing w:val="-12"/>
        </w:rPr>
        <w:t> </w:t>
      </w:r>
      <w:r>
        <w:rPr>
          <w:spacing w:val="-3"/>
        </w:rPr>
        <w:t>За</w:t>
      </w:r>
      <w:r>
        <w:rPr>
          <w:spacing w:val="-13"/>
        </w:rPr>
        <w:t> </w:t>
      </w:r>
      <w:r>
        <w:rPr>
          <w:spacing w:val="-4"/>
        </w:rPr>
        <w:t>період</w:t>
      </w:r>
      <w:r>
        <w:rPr>
          <w:spacing w:val="-12"/>
        </w:rPr>
        <w:t> </w:t>
      </w:r>
      <w:r>
        <w:rPr>
          <w:spacing w:val="-4"/>
        </w:rPr>
        <w:t>2013-2017</w:t>
      </w:r>
      <w:r>
        <w:rPr>
          <w:spacing w:val="-15"/>
        </w:rPr>
        <w:t> </w:t>
      </w:r>
      <w:r>
        <w:rPr/>
        <w:t>рр</w:t>
      </w:r>
      <w:r>
        <w:rPr>
          <w:spacing w:val="-14"/>
        </w:rPr>
        <w:t> </w:t>
      </w:r>
      <w:r>
        <w:rPr>
          <w:spacing w:val="-3"/>
        </w:rPr>
        <w:t>за</w:t>
      </w:r>
      <w:r>
        <w:rPr>
          <w:spacing w:val="-14"/>
        </w:rPr>
        <w:t> </w:t>
      </w:r>
      <w:r>
        <w:rPr>
          <w:spacing w:val="-3"/>
        </w:rPr>
        <w:t>даними</w:t>
      </w:r>
      <w:r>
        <w:rPr>
          <w:spacing w:val="-14"/>
        </w:rPr>
        <w:t> </w:t>
      </w:r>
      <w:r>
        <w:rPr>
          <w:spacing w:val="-4"/>
        </w:rPr>
        <w:t>спостережень</w:t>
      </w:r>
      <w:r>
        <w:rPr>
          <w:spacing w:val="-16"/>
        </w:rPr>
        <w:t> </w:t>
      </w:r>
      <w:r>
        <w:rPr>
          <w:spacing w:val="-4"/>
        </w:rPr>
        <w:t>було</w:t>
      </w:r>
      <w:r>
        <w:rPr>
          <w:spacing w:val="-10"/>
        </w:rPr>
        <w:t> </w:t>
      </w:r>
      <w:r>
        <w:rPr>
          <w:spacing w:val="-4"/>
        </w:rPr>
        <w:t>розраховано</w:t>
      </w:r>
      <w:r>
        <w:rPr>
          <w:spacing w:val="-15"/>
        </w:rPr>
        <w:t> </w:t>
      </w:r>
      <w:r>
        <w:rPr/>
        <w:t>ІЗВ</w:t>
      </w:r>
      <w:r>
        <w:rPr>
          <w:spacing w:val="-17"/>
        </w:rPr>
        <w:t> </w:t>
      </w:r>
      <w:r>
        <w:rPr>
          <w:spacing w:val="-3"/>
        </w:rPr>
        <w:t>по</w:t>
      </w:r>
      <w:r>
        <w:rPr>
          <w:spacing w:val="-10"/>
        </w:rPr>
        <w:t> </w:t>
      </w:r>
      <w:r>
        <w:rPr>
          <w:spacing w:val="-4"/>
        </w:rPr>
        <w:t>таким домішкам</w:t>
      </w:r>
      <w:r>
        <w:rPr>
          <w:spacing w:val="-18"/>
        </w:rPr>
        <w:t> </w:t>
      </w:r>
      <w:r>
        <w:rPr/>
        <w:t>як:</w:t>
      </w:r>
      <w:r>
        <w:rPr>
          <w:spacing w:val="-20"/>
        </w:rPr>
        <w:t> </w:t>
      </w:r>
      <w:r>
        <w:rPr>
          <w:spacing w:val="-4"/>
        </w:rPr>
        <w:t>розчинений</w:t>
      </w:r>
      <w:r>
        <w:rPr>
          <w:spacing w:val="-19"/>
        </w:rPr>
        <w:t> </w:t>
      </w:r>
      <w:r>
        <w:rPr>
          <w:spacing w:val="-4"/>
        </w:rPr>
        <w:t>кисень,</w:t>
      </w:r>
      <w:r>
        <w:rPr>
          <w:spacing w:val="-13"/>
        </w:rPr>
        <w:t> </w:t>
      </w:r>
      <w:r>
        <w:rPr>
          <w:spacing w:val="-4"/>
        </w:rPr>
        <w:t>БСК</w:t>
      </w:r>
      <w:r>
        <w:rPr>
          <w:spacing w:val="-4"/>
          <w:vertAlign w:val="subscript"/>
        </w:rPr>
        <w:t>5</w:t>
      </w:r>
      <w:r>
        <w:rPr>
          <w:spacing w:val="-4"/>
          <w:vertAlign w:val="baseline"/>
        </w:rPr>
        <w:t>,</w:t>
      </w:r>
      <w:r>
        <w:rPr>
          <w:spacing w:val="-17"/>
          <w:vertAlign w:val="baseline"/>
        </w:rPr>
        <w:t> </w:t>
      </w:r>
      <w:r>
        <w:rPr>
          <w:spacing w:val="-4"/>
          <w:vertAlign w:val="baseline"/>
        </w:rPr>
        <w:t>нафтопродукти,</w:t>
      </w:r>
      <w:r>
        <w:rPr>
          <w:spacing w:val="-16"/>
          <w:vertAlign w:val="baseline"/>
        </w:rPr>
        <w:t> </w:t>
      </w:r>
      <w:r>
        <w:rPr>
          <w:spacing w:val="-4"/>
          <w:vertAlign w:val="baseline"/>
        </w:rPr>
        <w:t>феноли,</w:t>
      </w:r>
      <w:r>
        <w:rPr>
          <w:spacing w:val="-17"/>
          <w:vertAlign w:val="baseline"/>
        </w:rPr>
        <w:t> </w:t>
      </w:r>
      <w:r>
        <w:rPr>
          <w:spacing w:val="-3"/>
          <w:vertAlign w:val="baseline"/>
        </w:rPr>
        <w:t>азот</w:t>
      </w:r>
      <w:r>
        <w:rPr>
          <w:spacing w:val="-20"/>
          <w:vertAlign w:val="baseline"/>
        </w:rPr>
        <w:t> </w:t>
      </w:r>
      <w:r>
        <w:rPr>
          <w:spacing w:val="-4"/>
          <w:vertAlign w:val="baseline"/>
        </w:rPr>
        <w:t>амонійний</w:t>
      </w:r>
      <w:r>
        <w:rPr>
          <w:spacing w:val="-15"/>
          <w:vertAlign w:val="baseline"/>
        </w:rPr>
        <w:t> </w:t>
      </w:r>
      <w:r>
        <w:rPr>
          <w:spacing w:val="-4"/>
          <w:vertAlign w:val="baseline"/>
        </w:rPr>
        <w:t>та азот</w:t>
      </w:r>
      <w:r>
        <w:rPr>
          <w:spacing w:val="62"/>
          <w:vertAlign w:val="baseline"/>
        </w:rPr>
        <w:t> </w:t>
      </w:r>
      <w:r>
        <w:rPr>
          <w:spacing w:val="-4"/>
          <w:vertAlign w:val="baseline"/>
        </w:rPr>
        <w:t>нітритний.</w:t>
      </w:r>
      <w:r>
        <w:rPr>
          <w:spacing w:val="62"/>
          <w:vertAlign w:val="baseline"/>
        </w:rPr>
        <w:t> </w:t>
      </w:r>
      <w:r>
        <w:rPr>
          <w:spacing w:val="-5"/>
          <w:vertAlign w:val="baseline"/>
        </w:rPr>
        <w:t>Визначення </w:t>
      </w:r>
      <w:r>
        <w:rPr>
          <w:spacing w:val="-4"/>
          <w:vertAlign w:val="baseline"/>
        </w:rPr>
        <w:t>індексу</w:t>
      </w:r>
      <w:r>
        <w:rPr>
          <w:spacing w:val="62"/>
          <w:vertAlign w:val="baseline"/>
        </w:rPr>
        <w:t> </w:t>
      </w:r>
      <w:r>
        <w:rPr>
          <w:spacing w:val="-4"/>
          <w:vertAlign w:val="baseline"/>
        </w:rPr>
        <w:t>забруднення</w:t>
      </w:r>
      <w:r>
        <w:rPr>
          <w:spacing w:val="62"/>
          <w:vertAlign w:val="baseline"/>
        </w:rPr>
        <w:t> </w:t>
      </w:r>
      <w:r>
        <w:rPr>
          <w:spacing w:val="-4"/>
          <w:vertAlign w:val="baseline"/>
        </w:rPr>
        <w:t>вод</w:t>
      </w:r>
      <w:r>
        <w:rPr>
          <w:spacing w:val="62"/>
          <w:vertAlign w:val="baseline"/>
        </w:rPr>
        <w:t> </w:t>
      </w:r>
      <w:r>
        <w:rPr>
          <w:spacing w:val="-4"/>
          <w:vertAlign w:val="baseline"/>
        </w:rPr>
        <w:t>вважається</w:t>
      </w:r>
      <w:r>
        <w:rPr>
          <w:spacing w:val="8"/>
          <w:vertAlign w:val="baseline"/>
        </w:rPr>
        <w:t> </w:t>
      </w:r>
      <w:r>
        <w:rPr>
          <w:spacing w:val="-4"/>
          <w:vertAlign w:val="baseline"/>
        </w:rPr>
        <w:t>найбільш</w:t>
      </w:r>
    </w:p>
    <w:p>
      <w:pPr>
        <w:spacing w:after="0"/>
        <w:sectPr>
          <w:pgSz w:w="11910" w:h="16840"/>
          <w:pgMar w:header="713" w:footer="778" w:top="1140" w:bottom="960" w:left="940" w:right="520"/>
        </w:sectPr>
      </w:pPr>
    </w:p>
    <w:p>
      <w:pPr>
        <w:pStyle w:val="BodyText"/>
        <w:spacing w:before="92"/>
        <w:ind w:right="605"/>
      </w:pPr>
      <w:r>
        <w:rPr>
          <w:spacing w:val="-5"/>
        </w:rPr>
        <w:t>доступним </w:t>
      </w:r>
      <w:r>
        <w:rPr>
          <w:spacing w:val="-3"/>
        </w:rPr>
        <w:t>методом </w:t>
      </w:r>
      <w:r>
        <w:rPr>
          <w:spacing w:val="-4"/>
        </w:rPr>
        <w:t>комплексної </w:t>
      </w:r>
      <w:r>
        <w:rPr>
          <w:spacing w:val="-3"/>
        </w:rPr>
        <w:t>оцінки </w:t>
      </w:r>
      <w:r>
        <w:rPr>
          <w:spacing w:val="-4"/>
        </w:rPr>
        <w:t>забрудненості </w:t>
      </w:r>
      <w:r>
        <w:rPr>
          <w:spacing w:val="-3"/>
        </w:rPr>
        <w:t>водних </w:t>
      </w:r>
      <w:r>
        <w:rPr>
          <w:spacing w:val="-4"/>
        </w:rPr>
        <w:t>об’єктів,</w:t>
      </w:r>
      <w:r>
        <w:rPr>
          <w:spacing w:val="62"/>
        </w:rPr>
        <w:t> </w:t>
      </w:r>
      <w:r>
        <w:rPr>
          <w:spacing w:val="-3"/>
        </w:rPr>
        <w:t>який </w:t>
      </w:r>
      <w:r>
        <w:rPr>
          <w:spacing w:val="-4"/>
        </w:rPr>
        <w:t>базується </w:t>
      </w:r>
      <w:r>
        <w:rPr>
          <w:spacing w:val="-3"/>
        </w:rPr>
        <w:t>на показниках </w:t>
      </w:r>
      <w:r>
        <w:rPr>
          <w:spacing w:val="-5"/>
        </w:rPr>
        <w:t>хімічного </w:t>
      </w:r>
      <w:r>
        <w:rPr/>
        <w:t>складу </w:t>
      </w:r>
      <w:r>
        <w:rPr>
          <w:spacing w:val="-5"/>
        </w:rPr>
        <w:t>води. Протягом </w:t>
      </w:r>
      <w:r>
        <w:rPr>
          <w:spacing w:val="-4"/>
        </w:rPr>
        <w:t>досліджуваного </w:t>
      </w:r>
      <w:r>
        <w:rPr>
          <w:spacing w:val="-3"/>
        </w:rPr>
        <w:t>періоду </w:t>
      </w:r>
      <w:r>
        <w:rPr>
          <w:spacing w:val="-4"/>
        </w:rPr>
        <w:t>загальний </w:t>
      </w:r>
      <w:r>
        <w:rPr>
          <w:spacing w:val="-3"/>
        </w:rPr>
        <w:t>рівень </w:t>
      </w:r>
      <w:r>
        <w:rPr>
          <w:spacing w:val="-4"/>
        </w:rPr>
        <w:t>забруднення</w:t>
      </w:r>
      <w:r>
        <w:rPr>
          <w:spacing w:val="62"/>
        </w:rPr>
        <w:t> </w:t>
      </w:r>
      <w:r>
        <w:rPr>
          <w:spacing w:val="-3"/>
        </w:rPr>
        <w:t>за </w:t>
      </w:r>
      <w:r>
        <w:rPr>
          <w:spacing w:val="-4"/>
        </w:rPr>
        <w:t>середніми значеннями</w:t>
      </w:r>
      <w:r>
        <w:rPr>
          <w:spacing w:val="62"/>
        </w:rPr>
        <w:t> </w:t>
      </w:r>
      <w:r>
        <w:rPr>
          <w:spacing w:val="-3"/>
        </w:rPr>
        <w:t>індексу </w:t>
      </w:r>
      <w:r>
        <w:rPr>
          <w:spacing w:val="-4"/>
        </w:rPr>
        <w:t>забруднення коливається </w:t>
      </w:r>
      <w:r>
        <w:rPr/>
        <w:t>в межах </w:t>
      </w:r>
      <w:r>
        <w:rPr>
          <w:spacing w:val="-3"/>
        </w:rPr>
        <w:t>від </w:t>
      </w:r>
      <w:r>
        <w:rPr>
          <w:spacing w:val="-5"/>
        </w:rPr>
        <w:t>«чиста» </w:t>
      </w:r>
      <w:r>
        <w:rPr>
          <w:spacing w:val="-3"/>
        </w:rPr>
        <w:t>(ІІ клас </w:t>
      </w:r>
      <w:r>
        <w:rPr>
          <w:spacing w:val="-4"/>
        </w:rPr>
        <w:t>якості води) </w:t>
      </w:r>
      <w:r>
        <w:rPr/>
        <w:t>до </w:t>
      </w:r>
      <w:r>
        <w:rPr>
          <w:spacing w:val="-4"/>
        </w:rPr>
        <w:t>«дуже брудна» </w:t>
      </w:r>
      <w:r>
        <w:rPr>
          <w:spacing w:val="-3"/>
        </w:rPr>
        <w:t>(VІ </w:t>
      </w:r>
      <w:r>
        <w:rPr>
          <w:spacing w:val="-4"/>
        </w:rPr>
        <w:t>клас </w:t>
      </w:r>
      <w:r>
        <w:rPr>
          <w:spacing w:val="-5"/>
        </w:rPr>
        <w:t>якості). </w:t>
      </w:r>
      <w:r>
        <w:rPr/>
        <w:t>У </w:t>
      </w:r>
      <w:r>
        <w:rPr>
          <w:spacing w:val="-3"/>
        </w:rPr>
        <w:t>водах лиману </w:t>
      </w:r>
      <w:r>
        <w:rPr>
          <w:spacing w:val="-4"/>
        </w:rPr>
        <w:t>вміст кисню коливався </w:t>
      </w:r>
      <w:r>
        <w:rPr>
          <w:spacing w:val="-5"/>
        </w:rPr>
        <w:t>від </w:t>
      </w:r>
      <w:r>
        <w:rPr/>
        <w:t>8,48 </w:t>
      </w:r>
      <w:r>
        <w:rPr>
          <w:spacing w:val="-4"/>
        </w:rPr>
        <w:t>(2015 </w:t>
      </w:r>
      <w:r>
        <w:rPr/>
        <w:t>р) до </w:t>
      </w:r>
      <w:r>
        <w:rPr>
          <w:spacing w:val="-4"/>
        </w:rPr>
        <w:t>10,72 (2013 </w:t>
      </w:r>
      <w:r>
        <w:rPr/>
        <w:t>р) </w:t>
      </w:r>
      <w:r>
        <w:rPr>
          <w:spacing w:val="-4"/>
        </w:rPr>
        <w:t>мгО</w:t>
      </w:r>
      <w:r>
        <w:rPr>
          <w:spacing w:val="-4"/>
          <w:vertAlign w:val="subscript"/>
        </w:rPr>
        <w:t>2</w:t>
      </w:r>
      <w:r>
        <w:rPr>
          <w:spacing w:val="-4"/>
          <w:vertAlign w:val="baseline"/>
        </w:rPr>
        <w:t>/дм</w:t>
      </w:r>
      <w:r>
        <w:rPr>
          <w:spacing w:val="-4"/>
          <w:position w:val="10"/>
          <w:sz w:val="18"/>
          <w:vertAlign w:val="baseline"/>
        </w:rPr>
        <w:t>3</w:t>
      </w:r>
      <w:r>
        <w:rPr>
          <w:spacing w:val="-4"/>
          <w:vertAlign w:val="baseline"/>
        </w:rPr>
        <w:t>.</w:t>
      </w:r>
      <w:r>
        <w:rPr>
          <w:spacing w:val="-17"/>
          <w:vertAlign w:val="baseline"/>
        </w:rPr>
        <w:t> </w:t>
      </w:r>
      <w:r>
        <w:rPr>
          <w:spacing w:val="-4"/>
          <w:vertAlign w:val="baseline"/>
        </w:rPr>
        <w:t>Тобто,</w:t>
      </w:r>
      <w:r>
        <w:rPr>
          <w:spacing w:val="-13"/>
          <w:vertAlign w:val="baseline"/>
        </w:rPr>
        <w:t> </w:t>
      </w:r>
      <w:r>
        <w:rPr>
          <w:spacing w:val="-3"/>
          <w:vertAlign w:val="baseline"/>
        </w:rPr>
        <w:t>за</w:t>
      </w:r>
      <w:r>
        <w:rPr>
          <w:spacing w:val="-18"/>
          <w:vertAlign w:val="baseline"/>
        </w:rPr>
        <w:t> </w:t>
      </w:r>
      <w:r>
        <w:rPr>
          <w:spacing w:val="-3"/>
          <w:vertAlign w:val="baseline"/>
        </w:rPr>
        <w:t>цим</w:t>
      </w:r>
      <w:r>
        <w:rPr>
          <w:spacing w:val="-18"/>
          <w:vertAlign w:val="baseline"/>
        </w:rPr>
        <w:t> </w:t>
      </w:r>
      <w:r>
        <w:rPr>
          <w:spacing w:val="-4"/>
          <w:vertAlign w:val="baseline"/>
        </w:rPr>
        <w:t>показником</w:t>
      </w:r>
      <w:r>
        <w:rPr>
          <w:spacing w:val="-13"/>
          <w:vertAlign w:val="baseline"/>
        </w:rPr>
        <w:t> </w:t>
      </w:r>
      <w:r>
        <w:rPr>
          <w:spacing w:val="-4"/>
          <w:vertAlign w:val="baseline"/>
        </w:rPr>
        <w:t>вода</w:t>
      </w:r>
      <w:r>
        <w:rPr>
          <w:spacing w:val="-9"/>
          <w:vertAlign w:val="baseline"/>
        </w:rPr>
        <w:t> </w:t>
      </w:r>
      <w:r>
        <w:rPr>
          <w:vertAlign w:val="baseline"/>
        </w:rPr>
        <w:t>у</w:t>
      </w:r>
      <w:r>
        <w:rPr>
          <w:spacing w:val="-20"/>
          <w:vertAlign w:val="baseline"/>
        </w:rPr>
        <w:t> </w:t>
      </w:r>
      <w:r>
        <w:rPr>
          <w:spacing w:val="-3"/>
          <w:vertAlign w:val="baseline"/>
        </w:rPr>
        <w:t>різні</w:t>
      </w:r>
      <w:r>
        <w:rPr>
          <w:spacing w:val="-19"/>
          <w:vertAlign w:val="baseline"/>
        </w:rPr>
        <w:t> </w:t>
      </w:r>
      <w:r>
        <w:rPr>
          <w:spacing w:val="-4"/>
          <w:vertAlign w:val="baseline"/>
        </w:rPr>
        <w:t>періоди</w:t>
      </w:r>
      <w:r>
        <w:rPr>
          <w:spacing w:val="-20"/>
          <w:vertAlign w:val="baseline"/>
        </w:rPr>
        <w:t> </w:t>
      </w:r>
      <w:r>
        <w:rPr>
          <w:spacing w:val="-3"/>
          <w:vertAlign w:val="baseline"/>
        </w:rPr>
        <w:t>досліджень</w:t>
      </w:r>
      <w:r>
        <w:rPr>
          <w:spacing w:val="-17"/>
          <w:vertAlign w:val="baseline"/>
        </w:rPr>
        <w:t> </w:t>
      </w:r>
      <w:r>
        <w:rPr>
          <w:spacing w:val="-5"/>
          <w:vertAlign w:val="baseline"/>
        </w:rPr>
        <w:t>відносилася</w:t>
      </w:r>
      <w:r>
        <w:rPr>
          <w:spacing w:val="-13"/>
          <w:vertAlign w:val="baseline"/>
        </w:rPr>
        <w:t> </w:t>
      </w:r>
      <w:r>
        <w:rPr>
          <w:vertAlign w:val="baseline"/>
        </w:rPr>
        <w:t>як до</w:t>
      </w:r>
      <w:r>
        <w:rPr>
          <w:spacing w:val="-21"/>
          <w:vertAlign w:val="baseline"/>
        </w:rPr>
        <w:t> </w:t>
      </w:r>
      <w:r>
        <w:rPr>
          <w:spacing w:val="-4"/>
          <w:vertAlign w:val="baseline"/>
        </w:rPr>
        <w:t>дуже</w:t>
      </w:r>
      <w:r>
        <w:rPr>
          <w:spacing w:val="-19"/>
          <w:vertAlign w:val="baseline"/>
        </w:rPr>
        <w:t> </w:t>
      </w:r>
      <w:r>
        <w:rPr>
          <w:spacing w:val="-4"/>
          <w:vertAlign w:val="baseline"/>
        </w:rPr>
        <w:t>чистої,</w:t>
      </w:r>
      <w:r>
        <w:rPr>
          <w:spacing w:val="-14"/>
          <w:vertAlign w:val="baseline"/>
        </w:rPr>
        <w:t> </w:t>
      </w:r>
      <w:r>
        <w:rPr>
          <w:spacing w:val="-4"/>
          <w:vertAlign w:val="baseline"/>
        </w:rPr>
        <w:t>так</w:t>
      </w:r>
      <w:r>
        <w:rPr>
          <w:spacing w:val="-17"/>
          <w:vertAlign w:val="baseline"/>
        </w:rPr>
        <w:t> </w:t>
      </w:r>
      <w:r>
        <w:rPr>
          <w:vertAlign w:val="baseline"/>
        </w:rPr>
        <w:t>і</w:t>
      </w:r>
      <w:r>
        <w:rPr>
          <w:spacing w:val="-20"/>
          <w:vertAlign w:val="baseline"/>
        </w:rPr>
        <w:t> </w:t>
      </w:r>
      <w:r>
        <w:rPr>
          <w:spacing w:val="-4"/>
          <w:vertAlign w:val="baseline"/>
        </w:rPr>
        <w:t>чистої.</w:t>
      </w:r>
      <w:r>
        <w:rPr>
          <w:spacing w:val="-18"/>
          <w:vertAlign w:val="baseline"/>
        </w:rPr>
        <w:t> </w:t>
      </w:r>
      <w:r>
        <w:rPr>
          <w:spacing w:val="-4"/>
          <w:vertAlign w:val="baseline"/>
        </w:rPr>
        <w:t>Концентрація</w:t>
      </w:r>
      <w:r>
        <w:rPr>
          <w:spacing w:val="-13"/>
          <w:vertAlign w:val="baseline"/>
        </w:rPr>
        <w:t> </w:t>
      </w:r>
      <w:r>
        <w:rPr>
          <w:spacing w:val="-4"/>
          <w:vertAlign w:val="baseline"/>
        </w:rPr>
        <w:t>загального</w:t>
      </w:r>
      <w:r>
        <w:rPr>
          <w:spacing w:val="-20"/>
          <w:vertAlign w:val="baseline"/>
        </w:rPr>
        <w:t> </w:t>
      </w:r>
      <w:r>
        <w:rPr>
          <w:spacing w:val="-3"/>
          <w:vertAlign w:val="baseline"/>
        </w:rPr>
        <w:t>азоту</w:t>
      </w:r>
      <w:r>
        <w:rPr>
          <w:spacing w:val="-20"/>
          <w:vertAlign w:val="baseline"/>
        </w:rPr>
        <w:t> </w:t>
      </w:r>
      <w:r>
        <w:rPr>
          <w:vertAlign w:val="baseline"/>
        </w:rPr>
        <w:t>у</w:t>
      </w:r>
      <w:r>
        <w:rPr>
          <w:spacing w:val="-21"/>
          <w:vertAlign w:val="baseline"/>
        </w:rPr>
        <w:t> </w:t>
      </w:r>
      <w:r>
        <w:rPr>
          <w:vertAlign w:val="baseline"/>
        </w:rPr>
        <w:t>водах</w:t>
      </w:r>
      <w:r>
        <w:rPr>
          <w:spacing w:val="-25"/>
          <w:vertAlign w:val="baseline"/>
        </w:rPr>
        <w:t> </w:t>
      </w:r>
      <w:r>
        <w:rPr>
          <w:spacing w:val="-4"/>
          <w:vertAlign w:val="baseline"/>
        </w:rPr>
        <w:t>змінювалася</w:t>
      </w:r>
      <w:r>
        <w:rPr>
          <w:spacing w:val="-19"/>
          <w:vertAlign w:val="baseline"/>
        </w:rPr>
        <w:t> </w:t>
      </w:r>
      <w:r>
        <w:rPr>
          <w:spacing w:val="-3"/>
          <w:vertAlign w:val="baseline"/>
        </w:rPr>
        <w:t>від </w:t>
      </w:r>
      <w:r>
        <w:rPr>
          <w:spacing w:val="-4"/>
          <w:vertAlign w:val="baseline"/>
        </w:rPr>
        <w:t>1,49 (2015 </w:t>
      </w:r>
      <w:r>
        <w:rPr>
          <w:vertAlign w:val="baseline"/>
        </w:rPr>
        <w:t>р) до </w:t>
      </w:r>
      <w:r>
        <w:rPr>
          <w:spacing w:val="-4"/>
          <w:vertAlign w:val="baseline"/>
        </w:rPr>
        <w:t>1,85 (2010 </w:t>
      </w:r>
      <w:r>
        <w:rPr>
          <w:spacing w:val="-3"/>
          <w:vertAlign w:val="baseline"/>
        </w:rPr>
        <w:t>р) </w:t>
      </w:r>
      <w:r>
        <w:rPr>
          <w:spacing w:val="-4"/>
          <w:vertAlign w:val="baseline"/>
        </w:rPr>
        <w:t>мг/дм</w:t>
      </w:r>
      <w:r>
        <w:rPr>
          <w:spacing w:val="-4"/>
          <w:position w:val="10"/>
          <w:sz w:val="18"/>
          <w:vertAlign w:val="baseline"/>
        </w:rPr>
        <w:t>3</w:t>
      </w:r>
      <w:r>
        <w:rPr>
          <w:spacing w:val="-4"/>
          <w:vertAlign w:val="baseline"/>
        </w:rPr>
        <w:t>. </w:t>
      </w:r>
      <w:r>
        <w:rPr>
          <w:vertAlign w:val="baseline"/>
        </w:rPr>
        <w:t>За </w:t>
      </w:r>
      <w:r>
        <w:rPr>
          <w:spacing w:val="-4"/>
          <w:vertAlign w:val="baseline"/>
        </w:rPr>
        <w:t>середньоарифметичними </w:t>
      </w:r>
      <w:r>
        <w:rPr>
          <w:spacing w:val="-3"/>
          <w:vertAlign w:val="baseline"/>
        </w:rPr>
        <w:t>даними </w:t>
      </w:r>
      <w:r>
        <w:rPr>
          <w:vertAlign w:val="baseline"/>
        </w:rPr>
        <w:t>води </w:t>
      </w:r>
      <w:r>
        <w:rPr>
          <w:spacing w:val="-4"/>
          <w:vertAlign w:val="baseline"/>
        </w:rPr>
        <w:t>лиманів </w:t>
      </w:r>
      <w:r>
        <w:rPr>
          <w:spacing w:val="-3"/>
          <w:vertAlign w:val="baseline"/>
        </w:rPr>
        <w:t>за весь </w:t>
      </w:r>
      <w:r>
        <w:rPr>
          <w:spacing w:val="-4"/>
          <w:vertAlign w:val="baseline"/>
        </w:rPr>
        <w:t>період досліджень відносились </w:t>
      </w:r>
      <w:r>
        <w:rPr>
          <w:vertAlign w:val="baseline"/>
        </w:rPr>
        <w:t>до 4 </w:t>
      </w:r>
      <w:r>
        <w:rPr>
          <w:spacing w:val="-4"/>
          <w:vertAlign w:val="baseline"/>
        </w:rPr>
        <w:t>категорії </w:t>
      </w:r>
      <w:r>
        <w:rPr>
          <w:vertAlign w:val="baseline"/>
        </w:rPr>
        <w:t>якості – </w:t>
      </w:r>
      <w:r>
        <w:rPr>
          <w:spacing w:val="-4"/>
          <w:vertAlign w:val="baseline"/>
        </w:rPr>
        <w:t>помірно забруднені.</w:t>
      </w:r>
    </w:p>
    <w:p>
      <w:pPr>
        <w:pStyle w:val="BodyText"/>
        <w:ind w:right="602" w:firstLine="705"/>
      </w:pPr>
      <w:r>
        <w:rPr>
          <w:b/>
          <w:spacing w:val="-4"/>
        </w:rPr>
        <w:t>Результати досліджень. </w:t>
      </w:r>
      <w:r>
        <w:rPr>
          <w:spacing w:val="-4"/>
        </w:rPr>
        <w:t>Проаналізувавши усі </w:t>
      </w:r>
      <w:r>
        <w:rPr/>
        <w:t>дані </w:t>
      </w:r>
      <w:r>
        <w:rPr>
          <w:spacing w:val="-4"/>
        </w:rPr>
        <w:t>спостережень </w:t>
      </w:r>
      <w:r>
        <w:rPr>
          <w:spacing w:val="-3"/>
        </w:rPr>
        <w:t>за період 2013- 2017 роки </w:t>
      </w:r>
      <w:r>
        <w:rPr>
          <w:spacing w:val="-4"/>
        </w:rPr>
        <w:t>можна </w:t>
      </w:r>
      <w:r>
        <w:rPr>
          <w:spacing w:val="-3"/>
        </w:rPr>
        <w:t>зробити </w:t>
      </w:r>
      <w:r>
        <w:rPr>
          <w:spacing w:val="-4"/>
        </w:rPr>
        <w:t>висновок, </w:t>
      </w:r>
      <w:r>
        <w:rPr/>
        <w:t>що в водах </w:t>
      </w:r>
      <w:r>
        <w:rPr>
          <w:spacing w:val="-3"/>
        </w:rPr>
        <w:t>лиманів </w:t>
      </w:r>
      <w:r>
        <w:rPr>
          <w:spacing w:val="-4"/>
        </w:rPr>
        <w:t>Тузловської </w:t>
      </w:r>
      <w:r>
        <w:rPr>
          <w:spacing w:val="-3"/>
        </w:rPr>
        <w:t>групи </w:t>
      </w:r>
      <w:r>
        <w:rPr>
          <w:spacing w:val="-4"/>
        </w:rPr>
        <w:t>домішки фенолів </w:t>
      </w:r>
      <w:r>
        <w:rPr>
          <w:spacing w:val="-3"/>
        </w:rPr>
        <w:t>не перевищують </w:t>
      </w:r>
      <w:r>
        <w:rPr>
          <w:spacing w:val="-4"/>
        </w:rPr>
        <w:t>гранично-допустиму концентрацію. Перевищення БСК</w:t>
      </w:r>
      <w:r>
        <w:rPr>
          <w:spacing w:val="-4"/>
          <w:vertAlign w:val="subscript"/>
        </w:rPr>
        <w:t>5</w:t>
      </w:r>
      <w:r>
        <w:rPr>
          <w:spacing w:val="-4"/>
          <w:vertAlign w:val="baseline"/>
        </w:rPr>
        <w:t> спостерігались </w:t>
      </w:r>
      <w:r>
        <w:rPr>
          <w:spacing w:val="-3"/>
          <w:vertAlign w:val="baseline"/>
        </w:rPr>
        <w:t>лише </w:t>
      </w:r>
      <w:r>
        <w:rPr>
          <w:vertAlign w:val="baseline"/>
        </w:rPr>
        <w:t>в </w:t>
      </w:r>
      <w:r>
        <w:rPr>
          <w:spacing w:val="-4"/>
          <w:vertAlign w:val="baseline"/>
        </w:rPr>
        <w:t>2016 </w:t>
      </w:r>
      <w:r>
        <w:rPr>
          <w:vertAlign w:val="baseline"/>
        </w:rPr>
        <w:t>році </w:t>
      </w:r>
      <w:r>
        <w:rPr>
          <w:spacing w:val="-3"/>
          <w:vertAlign w:val="baseline"/>
        </w:rPr>
        <w:t>на одному </w:t>
      </w:r>
      <w:r>
        <w:rPr>
          <w:spacing w:val="-4"/>
          <w:vertAlign w:val="baseline"/>
        </w:rPr>
        <w:t>створі. Загалом якість</w:t>
      </w:r>
      <w:r>
        <w:rPr>
          <w:spacing w:val="-9"/>
          <w:vertAlign w:val="baseline"/>
        </w:rPr>
        <w:t> </w:t>
      </w:r>
      <w:r>
        <w:rPr>
          <w:spacing w:val="-4"/>
          <w:vertAlign w:val="baseline"/>
        </w:rPr>
        <w:t>води</w:t>
      </w:r>
      <w:r>
        <w:rPr>
          <w:spacing w:val="-11"/>
          <w:vertAlign w:val="baseline"/>
        </w:rPr>
        <w:t> </w:t>
      </w:r>
      <w:r>
        <w:rPr>
          <w:spacing w:val="-3"/>
          <w:vertAlign w:val="baseline"/>
        </w:rPr>
        <w:t>для</w:t>
      </w:r>
      <w:r>
        <w:rPr>
          <w:spacing w:val="-10"/>
          <w:vertAlign w:val="baseline"/>
        </w:rPr>
        <w:t> </w:t>
      </w:r>
      <w:r>
        <w:rPr>
          <w:spacing w:val="-4"/>
          <w:vertAlign w:val="baseline"/>
        </w:rPr>
        <w:t>рибогосподарських</w:t>
      </w:r>
      <w:r>
        <w:rPr>
          <w:spacing w:val="-10"/>
          <w:vertAlign w:val="baseline"/>
        </w:rPr>
        <w:t> </w:t>
      </w:r>
      <w:r>
        <w:rPr>
          <w:spacing w:val="-3"/>
          <w:vertAlign w:val="baseline"/>
        </w:rPr>
        <w:t>потреб</w:t>
      </w:r>
      <w:r>
        <w:rPr>
          <w:spacing w:val="-9"/>
          <w:vertAlign w:val="baseline"/>
        </w:rPr>
        <w:t> </w:t>
      </w:r>
      <w:r>
        <w:rPr>
          <w:vertAlign w:val="baseline"/>
        </w:rPr>
        <w:t>у</w:t>
      </w:r>
      <w:r>
        <w:rPr>
          <w:spacing w:val="-12"/>
          <w:vertAlign w:val="baseline"/>
        </w:rPr>
        <w:t> </w:t>
      </w:r>
      <w:r>
        <w:rPr>
          <w:spacing w:val="-3"/>
          <w:vertAlign w:val="baseline"/>
        </w:rPr>
        <w:t>лиманах</w:t>
      </w:r>
      <w:r>
        <w:rPr>
          <w:spacing w:val="-14"/>
          <w:vertAlign w:val="baseline"/>
        </w:rPr>
        <w:t> </w:t>
      </w:r>
      <w:r>
        <w:rPr>
          <w:spacing w:val="-3"/>
          <w:vertAlign w:val="baseline"/>
        </w:rPr>
        <w:t>не</w:t>
      </w:r>
      <w:r>
        <w:rPr>
          <w:spacing w:val="-10"/>
          <w:vertAlign w:val="baseline"/>
        </w:rPr>
        <w:t> </w:t>
      </w:r>
      <w:r>
        <w:rPr>
          <w:spacing w:val="-4"/>
          <w:vertAlign w:val="baseline"/>
        </w:rPr>
        <w:t>завжди</w:t>
      </w:r>
      <w:r>
        <w:rPr>
          <w:spacing w:val="-10"/>
          <w:vertAlign w:val="baseline"/>
        </w:rPr>
        <w:t> </w:t>
      </w:r>
      <w:r>
        <w:rPr>
          <w:spacing w:val="-4"/>
          <w:vertAlign w:val="baseline"/>
        </w:rPr>
        <w:t>відповідає</w:t>
      </w:r>
      <w:r>
        <w:rPr>
          <w:spacing w:val="-11"/>
          <w:vertAlign w:val="baseline"/>
        </w:rPr>
        <w:t> </w:t>
      </w:r>
      <w:r>
        <w:rPr>
          <w:spacing w:val="-4"/>
          <w:vertAlign w:val="baseline"/>
        </w:rPr>
        <w:t>нормам та</w:t>
      </w:r>
      <w:r>
        <w:rPr>
          <w:spacing w:val="-26"/>
          <w:vertAlign w:val="baseline"/>
        </w:rPr>
        <w:t> </w:t>
      </w:r>
      <w:r>
        <w:rPr>
          <w:spacing w:val="-4"/>
          <w:vertAlign w:val="baseline"/>
        </w:rPr>
        <w:t>потребує</w:t>
      </w:r>
      <w:r>
        <w:rPr>
          <w:spacing w:val="-27"/>
          <w:vertAlign w:val="baseline"/>
        </w:rPr>
        <w:t> </w:t>
      </w:r>
      <w:r>
        <w:rPr>
          <w:spacing w:val="-4"/>
          <w:vertAlign w:val="baseline"/>
        </w:rPr>
        <w:t>очищення,</w:t>
      </w:r>
      <w:r>
        <w:rPr>
          <w:spacing w:val="-24"/>
          <w:vertAlign w:val="baseline"/>
        </w:rPr>
        <w:t> </w:t>
      </w:r>
      <w:r>
        <w:rPr>
          <w:spacing w:val="-3"/>
          <w:vertAlign w:val="baseline"/>
        </w:rPr>
        <w:t>особливо</w:t>
      </w:r>
      <w:r>
        <w:rPr>
          <w:spacing w:val="-27"/>
          <w:vertAlign w:val="baseline"/>
        </w:rPr>
        <w:t> </w:t>
      </w:r>
      <w:r>
        <w:rPr>
          <w:spacing w:val="-5"/>
          <w:vertAlign w:val="baseline"/>
        </w:rPr>
        <w:t>від</w:t>
      </w:r>
      <w:r>
        <w:rPr>
          <w:spacing w:val="-24"/>
          <w:vertAlign w:val="baseline"/>
        </w:rPr>
        <w:t> </w:t>
      </w:r>
      <w:r>
        <w:rPr>
          <w:spacing w:val="-3"/>
          <w:vertAlign w:val="baseline"/>
        </w:rPr>
        <w:t>надмірної</w:t>
      </w:r>
      <w:r>
        <w:rPr>
          <w:spacing w:val="-28"/>
          <w:vertAlign w:val="baseline"/>
        </w:rPr>
        <w:t> </w:t>
      </w:r>
      <w:r>
        <w:rPr>
          <w:spacing w:val="-4"/>
          <w:vertAlign w:val="baseline"/>
        </w:rPr>
        <w:t>концентрації</w:t>
      </w:r>
      <w:r>
        <w:rPr>
          <w:spacing w:val="-25"/>
          <w:vertAlign w:val="baseline"/>
        </w:rPr>
        <w:t> </w:t>
      </w:r>
      <w:r>
        <w:rPr>
          <w:spacing w:val="-4"/>
          <w:vertAlign w:val="baseline"/>
        </w:rPr>
        <w:t>фосфору.</w:t>
      </w:r>
      <w:r>
        <w:rPr>
          <w:spacing w:val="-25"/>
          <w:vertAlign w:val="baseline"/>
        </w:rPr>
        <w:t> </w:t>
      </w:r>
      <w:r>
        <w:rPr>
          <w:spacing w:val="-4"/>
          <w:vertAlign w:val="baseline"/>
        </w:rPr>
        <w:t>Оцінка</w:t>
      </w:r>
      <w:r>
        <w:rPr>
          <w:spacing w:val="-26"/>
          <w:vertAlign w:val="baseline"/>
        </w:rPr>
        <w:t> </w:t>
      </w:r>
      <w:r>
        <w:rPr>
          <w:vertAlign w:val="baseline"/>
        </w:rPr>
        <w:t>якості </w:t>
      </w:r>
      <w:r>
        <w:rPr>
          <w:spacing w:val="-4"/>
          <w:vertAlign w:val="baseline"/>
        </w:rPr>
        <w:t>води проводилась </w:t>
      </w:r>
      <w:r>
        <w:rPr>
          <w:spacing w:val="-3"/>
          <w:vertAlign w:val="baseline"/>
        </w:rPr>
        <w:t>за ІЗВ для </w:t>
      </w:r>
      <w:r>
        <w:rPr>
          <w:spacing w:val="-4"/>
          <w:vertAlign w:val="baseline"/>
        </w:rPr>
        <w:t>рибогосподарських</w:t>
      </w:r>
      <w:r>
        <w:rPr>
          <w:spacing w:val="-36"/>
          <w:vertAlign w:val="baseline"/>
        </w:rPr>
        <w:t> </w:t>
      </w:r>
      <w:r>
        <w:rPr>
          <w:spacing w:val="-3"/>
          <w:vertAlign w:val="baseline"/>
        </w:rPr>
        <w:t>ГДК.</w:t>
      </w:r>
    </w:p>
    <w:p>
      <w:pPr>
        <w:pStyle w:val="BodyText"/>
        <w:ind w:right="606" w:firstLine="705"/>
      </w:pPr>
      <w:r>
        <w:rPr>
          <w:b/>
          <w:spacing w:val="-4"/>
        </w:rPr>
        <w:t>Висновки.</w:t>
      </w:r>
      <w:r>
        <w:rPr>
          <w:b/>
          <w:spacing w:val="62"/>
        </w:rPr>
        <w:t> </w:t>
      </w:r>
      <w:r>
        <w:rPr>
          <w:spacing w:val="-4"/>
        </w:rPr>
        <w:t>Проаналізувавши </w:t>
      </w:r>
      <w:r>
        <w:rPr/>
        <w:t>дані </w:t>
      </w:r>
      <w:r>
        <w:rPr>
          <w:spacing w:val="-3"/>
        </w:rPr>
        <w:t>гідрохімічних </w:t>
      </w:r>
      <w:r>
        <w:rPr>
          <w:spacing w:val="-4"/>
        </w:rPr>
        <w:t>вимірювань </w:t>
      </w:r>
      <w:r>
        <w:rPr>
          <w:spacing w:val="-3"/>
        </w:rPr>
        <w:t>показників якості </w:t>
      </w:r>
      <w:r>
        <w:rPr>
          <w:spacing w:val="-4"/>
        </w:rPr>
        <w:t>поверхневих вод </w:t>
      </w:r>
      <w:r>
        <w:rPr>
          <w:spacing w:val="-3"/>
        </w:rPr>
        <w:t>за 2013-2017 роки </w:t>
      </w:r>
      <w:r>
        <w:rPr>
          <w:spacing w:val="-4"/>
        </w:rPr>
        <w:t>можна </w:t>
      </w:r>
      <w:r>
        <w:rPr>
          <w:spacing w:val="-3"/>
        </w:rPr>
        <w:t>зробити наступні висновки: </w:t>
      </w:r>
      <w:r>
        <w:rPr>
          <w:spacing w:val="-4"/>
        </w:rPr>
        <w:t>найпоширенішими забруднюючими речовинами </w:t>
      </w:r>
      <w:r>
        <w:rPr/>
        <w:t>є </w:t>
      </w:r>
      <w:r>
        <w:rPr>
          <w:spacing w:val="-4"/>
        </w:rPr>
        <w:t>феноли та загальний </w:t>
      </w:r>
      <w:r>
        <w:rPr>
          <w:spacing w:val="-3"/>
        </w:rPr>
        <w:t>фосфор; </w:t>
      </w:r>
      <w:r>
        <w:rPr>
          <w:spacing w:val="-4"/>
        </w:rPr>
        <w:t>перевищення</w:t>
      </w:r>
      <w:r>
        <w:rPr>
          <w:spacing w:val="-14"/>
        </w:rPr>
        <w:t> </w:t>
      </w:r>
      <w:r>
        <w:rPr>
          <w:spacing w:val="-4"/>
        </w:rPr>
        <w:t>органічних</w:t>
      </w:r>
      <w:r>
        <w:rPr>
          <w:spacing w:val="-21"/>
        </w:rPr>
        <w:t> </w:t>
      </w:r>
      <w:r>
        <w:rPr>
          <w:spacing w:val="-3"/>
        </w:rPr>
        <w:t>речовин</w:t>
      </w:r>
      <w:r>
        <w:rPr>
          <w:spacing w:val="-15"/>
        </w:rPr>
        <w:t> </w:t>
      </w:r>
      <w:r>
        <w:rPr/>
        <w:t>з</w:t>
      </w:r>
      <w:r>
        <w:rPr>
          <w:spacing w:val="-16"/>
        </w:rPr>
        <w:t> </w:t>
      </w:r>
      <w:r>
        <w:rPr>
          <w:spacing w:val="-3"/>
        </w:rPr>
        <w:t>БСК</w:t>
      </w:r>
      <w:r>
        <w:rPr>
          <w:spacing w:val="-3"/>
          <w:vertAlign w:val="subscript"/>
        </w:rPr>
        <w:t>5</w:t>
      </w:r>
      <w:r>
        <w:rPr>
          <w:spacing w:val="-16"/>
          <w:vertAlign w:val="baseline"/>
        </w:rPr>
        <w:t> </w:t>
      </w:r>
      <w:r>
        <w:rPr>
          <w:vertAlign w:val="baseline"/>
        </w:rPr>
        <w:t>у</w:t>
      </w:r>
      <w:r>
        <w:rPr>
          <w:spacing w:val="-20"/>
          <w:vertAlign w:val="baseline"/>
        </w:rPr>
        <w:t> </w:t>
      </w:r>
      <w:r>
        <w:rPr>
          <w:vertAlign w:val="baseline"/>
        </w:rPr>
        <w:t>водах</w:t>
      </w:r>
      <w:r>
        <w:rPr>
          <w:spacing w:val="-21"/>
          <w:vertAlign w:val="baseline"/>
        </w:rPr>
        <w:t> </w:t>
      </w:r>
      <w:r>
        <w:rPr>
          <w:spacing w:val="-4"/>
          <w:vertAlign w:val="baseline"/>
        </w:rPr>
        <w:t>лиманів</w:t>
      </w:r>
      <w:r>
        <w:rPr>
          <w:spacing w:val="-17"/>
          <w:vertAlign w:val="baseline"/>
        </w:rPr>
        <w:t> </w:t>
      </w:r>
      <w:r>
        <w:rPr>
          <w:vertAlign w:val="baseline"/>
        </w:rPr>
        <w:t>є</w:t>
      </w:r>
      <w:r>
        <w:rPr>
          <w:spacing w:val="-15"/>
          <w:vertAlign w:val="baseline"/>
        </w:rPr>
        <w:t> </w:t>
      </w:r>
      <w:r>
        <w:rPr>
          <w:spacing w:val="-3"/>
          <w:vertAlign w:val="baseline"/>
        </w:rPr>
        <w:t>не</w:t>
      </w:r>
      <w:r>
        <w:rPr>
          <w:spacing w:val="-15"/>
          <w:vertAlign w:val="baseline"/>
        </w:rPr>
        <w:t> </w:t>
      </w:r>
      <w:r>
        <w:rPr>
          <w:spacing w:val="-5"/>
          <w:vertAlign w:val="baseline"/>
        </w:rPr>
        <w:t>значними,</w:t>
      </w:r>
      <w:r>
        <w:rPr>
          <w:spacing w:val="-13"/>
          <w:vertAlign w:val="baseline"/>
        </w:rPr>
        <w:t> </w:t>
      </w:r>
      <w:r>
        <w:rPr>
          <w:spacing w:val="-4"/>
          <w:vertAlign w:val="baseline"/>
        </w:rPr>
        <w:t>причиною цього перевищення </w:t>
      </w:r>
      <w:r>
        <w:rPr>
          <w:vertAlign w:val="baseline"/>
        </w:rPr>
        <w:t>є </w:t>
      </w:r>
      <w:r>
        <w:rPr>
          <w:spacing w:val="-3"/>
          <w:vertAlign w:val="baseline"/>
        </w:rPr>
        <w:t>скид </w:t>
      </w:r>
      <w:r>
        <w:rPr>
          <w:spacing w:val="-4"/>
          <w:vertAlign w:val="baseline"/>
        </w:rPr>
        <w:t>недостатньо </w:t>
      </w:r>
      <w:r>
        <w:rPr>
          <w:spacing w:val="-3"/>
          <w:vertAlign w:val="baseline"/>
        </w:rPr>
        <w:t>очищених побутових </w:t>
      </w:r>
      <w:r>
        <w:rPr>
          <w:spacing w:val="-4"/>
          <w:vertAlign w:val="baseline"/>
        </w:rPr>
        <w:t>вод здравницями, </w:t>
      </w:r>
      <w:r>
        <w:rPr>
          <w:vertAlign w:val="baseline"/>
        </w:rPr>
        <w:t>які в </w:t>
      </w:r>
      <w:r>
        <w:rPr>
          <w:spacing w:val="-4"/>
          <w:vertAlign w:val="baseline"/>
        </w:rPr>
        <w:t>великій</w:t>
      </w:r>
      <w:r>
        <w:rPr>
          <w:spacing w:val="62"/>
          <w:vertAlign w:val="baseline"/>
        </w:rPr>
        <w:t> </w:t>
      </w:r>
      <w:r>
        <w:rPr>
          <w:spacing w:val="-3"/>
          <w:vertAlign w:val="baseline"/>
        </w:rPr>
        <w:t>кількості розташовані на узбережжі </w:t>
      </w:r>
      <w:r>
        <w:rPr>
          <w:spacing w:val="-4"/>
          <w:vertAlign w:val="baseline"/>
        </w:rPr>
        <w:t>та розвинута </w:t>
      </w:r>
      <w:r>
        <w:rPr>
          <w:spacing w:val="-3"/>
          <w:vertAlign w:val="baseline"/>
        </w:rPr>
        <w:t>система </w:t>
      </w:r>
      <w:r>
        <w:rPr>
          <w:spacing w:val="-4"/>
          <w:vertAlign w:val="baseline"/>
        </w:rPr>
        <w:t>ведення сільського господарства; забруднення фенолами</w:t>
      </w:r>
      <w:r>
        <w:rPr>
          <w:spacing w:val="62"/>
          <w:vertAlign w:val="baseline"/>
        </w:rPr>
        <w:t> </w:t>
      </w:r>
      <w:r>
        <w:rPr>
          <w:spacing w:val="-4"/>
          <w:vertAlign w:val="baseline"/>
        </w:rPr>
        <w:t>відбувається </w:t>
      </w:r>
      <w:r>
        <w:rPr>
          <w:spacing w:val="-3"/>
          <w:vertAlign w:val="baseline"/>
        </w:rPr>
        <w:t>завдяки </w:t>
      </w:r>
      <w:r>
        <w:rPr>
          <w:spacing w:val="-4"/>
          <w:vertAlign w:val="baseline"/>
        </w:rPr>
        <w:t>антропогенним</w:t>
      </w:r>
      <w:r>
        <w:rPr>
          <w:spacing w:val="62"/>
          <w:vertAlign w:val="baseline"/>
        </w:rPr>
        <w:t> </w:t>
      </w:r>
      <w:r>
        <w:rPr>
          <w:spacing w:val="-4"/>
          <w:vertAlign w:val="baseline"/>
        </w:rPr>
        <w:t>джерелам</w:t>
      </w:r>
      <w:r>
        <w:rPr>
          <w:spacing w:val="62"/>
          <w:vertAlign w:val="baseline"/>
        </w:rPr>
        <w:t> </w:t>
      </w:r>
      <w:r>
        <w:rPr>
          <w:spacing w:val="-4"/>
          <w:vertAlign w:val="baseline"/>
        </w:rPr>
        <w:t>забруднення,</w:t>
      </w:r>
      <w:r>
        <w:rPr>
          <w:spacing w:val="62"/>
          <w:vertAlign w:val="baseline"/>
        </w:rPr>
        <w:t> </w:t>
      </w:r>
      <w:r>
        <w:rPr>
          <w:spacing w:val="-4"/>
          <w:vertAlign w:val="baseline"/>
        </w:rPr>
        <w:t>якими</w:t>
      </w:r>
      <w:r>
        <w:rPr>
          <w:spacing w:val="62"/>
          <w:vertAlign w:val="baseline"/>
        </w:rPr>
        <w:t> </w:t>
      </w:r>
      <w:r>
        <w:rPr>
          <w:vertAlign w:val="baseline"/>
        </w:rPr>
        <w:t>є </w:t>
      </w:r>
      <w:r>
        <w:rPr>
          <w:spacing w:val="-4"/>
          <w:vertAlign w:val="baseline"/>
        </w:rPr>
        <w:t>підприємства</w:t>
      </w:r>
      <w:r>
        <w:rPr>
          <w:spacing w:val="62"/>
          <w:vertAlign w:val="baseline"/>
        </w:rPr>
        <w:t> </w:t>
      </w:r>
      <w:r>
        <w:rPr>
          <w:spacing w:val="-4"/>
          <w:vertAlign w:val="baseline"/>
        </w:rPr>
        <w:t>комунального господарства </w:t>
      </w:r>
      <w:r>
        <w:rPr>
          <w:vertAlign w:val="baseline"/>
        </w:rPr>
        <w:t>і </w:t>
      </w:r>
      <w:r>
        <w:rPr>
          <w:spacing w:val="-4"/>
          <w:vertAlign w:val="baseline"/>
        </w:rPr>
        <w:t>сільськогосподарські підприємства; кисневий режим </w:t>
      </w:r>
      <w:r>
        <w:rPr>
          <w:spacing w:val="-3"/>
          <w:vertAlign w:val="baseline"/>
        </w:rPr>
        <w:t>впродовж </w:t>
      </w:r>
      <w:r>
        <w:rPr>
          <w:spacing w:val="-4"/>
          <w:vertAlign w:val="baseline"/>
        </w:rPr>
        <w:t>досліджуваного </w:t>
      </w:r>
      <w:r>
        <w:rPr>
          <w:spacing w:val="-3"/>
          <w:vertAlign w:val="baseline"/>
        </w:rPr>
        <w:t>періоду був </w:t>
      </w:r>
      <w:r>
        <w:rPr>
          <w:spacing w:val="-4"/>
          <w:vertAlign w:val="baseline"/>
        </w:rPr>
        <w:t>задовільним, та </w:t>
      </w:r>
      <w:r>
        <w:rPr>
          <w:spacing w:val="-3"/>
          <w:vertAlign w:val="baseline"/>
        </w:rPr>
        <w:t>був не нижче </w:t>
      </w:r>
      <w:r>
        <w:rPr>
          <w:spacing w:val="-5"/>
          <w:vertAlign w:val="baseline"/>
        </w:rPr>
        <w:t>значення </w:t>
      </w:r>
      <w:r>
        <w:rPr>
          <w:vertAlign w:val="baseline"/>
        </w:rPr>
        <w:t>ГДК – 6 </w:t>
      </w:r>
      <w:r>
        <w:rPr>
          <w:spacing w:val="-4"/>
          <w:vertAlign w:val="baseline"/>
        </w:rPr>
        <w:t>мгО</w:t>
      </w:r>
      <w:r>
        <w:rPr>
          <w:spacing w:val="-4"/>
          <w:vertAlign w:val="subscript"/>
        </w:rPr>
        <w:t>2</w:t>
      </w:r>
      <w:r>
        <w:rPr>
          <w:spacing w:val="-4"/>
          <w:vertAlign w:val="baseline"/>
        </w:rPr>
        <w:t>/дм</w:t>
      </w:r>
      <w:r>
        <w:rPr>
          <w:spacing w:val="-4"/>
          <w:position w:val="10"/>
          <w:sz w:val="18"/>
          <w:vertAlign w:val="baseline"/>
        </w:rPr>
        <w:t>3</w:t>
      </w:r>
      <w:r>
        <w:rPr>
          <w:spacing w:val="-4"/>
          <w:vertAlign w:val="baseline"/>
        </w:rPr>
        <w:t>.</w:t>
      </w:r>
    </w:p>
    <w:p>
      <w:pPr>
        <w:pStyle w:val="Heading1"/>
        <w:spacing w:line="306" w:lineRule="exact"/>
        <w:ind w:left="891"/>
      </w:pPr>
      <w:r>
        <w:rPr/>
        <w:t>ЛІТЕРАТУРА</w:t>
      </w:r>
    </w:p>
    <w:p>
      <w:pPr>
        <w:pStyle w:val="ListParagraph"/>
        <w:numPr>
          <w:ilvl w:val="0"/>
          <w:numId w:val="39"/>
        </w:numPr>
        <w:tabs>
          <w:tab w:pos="1236" w:val="left" w:leader="none"/>
        </w:tabs>
        <w:spacing w:line="240" w:lineRule="auto" w:before="0" w:after="0"/>
        <w:ind w:left="193" w:right="605" w:firstLine="705"/>
        <w:jc w:val="both"/>
        <w:rPr>
          <w:sz w:val="28"/>
        </w:rPr>
      </w:pPr>
      <w:r>
        <w:rPr>
          <w:spacing w:val="-4"/>
          <w:sz w:val="28"/>
        </w:rPr>
        <w:t>Сафранов Т. А., Тучковенко </w:t>
      </w:r>
      <w:r>
        <w:rPr>
          <w:sz w:val="28"/>
        </w:rPr>
        <w:t>Ю. С. </w:t>
      </w:r>
      <w:r>
        <w:rPr>
          <w:spacing w:val="-3"/>
          <w:sz w:val="28"/>
        </w:rPr>
        <w:t>// </w:t>
      </w:r>
      <w:r>
        <w:rPr>
          <w:spacing w:val="-4"/>
          <w:sz w:val="28"/>
        </w:rPr>
        <w:t>Актуальные проблемы </w:t>
      </w:r>
      <w:r>
        <w:rPr>
          <w:spacing w:val="-3"/>
          <w:sz w:val="28"/>
        </w:rPr>
        <w:t>лиманов </w:t>
      </w:r>
      <w:r>
        <w:rPr>
          <w:spacing w:val="-4"/>
          <w:sz w:val="28"/>
        </w:rPr>
        <w:t>северо-западного Причерноморья: </w:t>
      </w:r>
      <w:r>
        <w:rPr>
          <w:spacing w:val="-3"/>
          <w:sz w:val="28"/>
        </w:rPr>
        <w:t>Коллективная </w:t>
      </w:r>
      <w:r>
        <w:rPr>
          <w:spacing w:val="-4"/>
          <w:sz w:val="28"/>
        </w:rPr>
        <w:t>монография </w:t>
      </w:r>
      <w:r>
        <w:rPr>
          <w:sz w:val="28"/>
        </w:rPr>
        <w:t>/ </w:t>
      </w:r>
      <w:r>
        <w:rPr>
          <w:spacing w:val="-5"/>
          <w:sz w:val="28"/>
        </w:rPr>
        <w:t>Под </w:t>
      </w:r>
      <w:r>
        <w:rPr>
          <w:spacing w:val="-3"/>
          <w:sz w:val="28"/>
        </w:rPr>
        <w:t>ред. Ю.С. </w:t>
      </w:r>
      <w:r>
        <w:rPr>
          <w:spacing w:val="-4"/>
          <w:sz w:val="28"/>
        </w:rPr>
        <w:t>Тучковенко, Е. </w:t>
      </w:r>
      <w:r>
        <w:rPr>
          <w:sz w:val="28"/>
        </w:rPr>
        <w:t>Д. </w:t>
      </w:r>
      <w:r>
        <w:rPr>
          <w:spacing w:val="-4"/>
          <w:sz w:val="28"/>
        </w:rPr>
        <w:t>Гопченко. Одесский государственный </w:t>
      </w:r>
      <w:r>
        <w:rPr>
          <w:spacing w:val="-3"/>
          <w:sz w:val="28"/>
        </w:rPr>
        <w:t>экологический </w:t>
      </w:r>
      <w:r>
        <w:rPr>
          <w:spacing w:val="-4"/>
          <w:sz w:val="28"/>
        </w:rPr>
        <w:t>университет. </w:t>
      </w:r>
      <w:r>
        <w:rPr>
          <w:spacing w:val="-3"/>
          <w:sz w:val="28"/>
        </w:rPr>
        <w:t>Одесса: </w:t>
      </w:r>
      <w:r>
        <w:rPr>
          <w:spacing w:val="-5"/>
          <w:sz w:val="28"/>
        </w:rPr>
        <w:t>ТЭС, </w:t>
      </w:r>
      <w:r>
        <w:rPr>
          <w:spacing w:val="-3"/>
          <w:sz w:val="28"/>
        </w:rPr>
        <w:t>2011. </w:t>
      </w:r>
      <w:r>
        <w:rPr>
          <w:sz w:val="28"/>
        </w:rPr>
        <w:t>224</w:t>
      </w:r>
      <w:r>
        <w:rPr>
          <w:spacing w:val="-19"/>
          <w:sz w:val="28"/>
        </w:rPr>
        <w:t> </w:t>
      </w:r>
      <w:r>
        <w:rPr>
          <w:sz w:val="28"/>
        </w:rPr>
        <w:t>с.</w:t>
      </w:r>
    </w:p>
    <w:p>
      <w:pPr>
        <w:pStyle w:val="ListParagraph"/>
        <w:numPr>
          <w:ilvl w:val="0"/>
          <w:numId w:val="39"/>
        </w:numPr>
        <w:tabs>
          <w:tab w:pos="1217" w:val="left" w:leader="none"/>
        </w:tabs>
        <w:spacing w:line="240" w:lineRule="auto" w:before="1" w:after="0"/>
        <w:ind w:left="193" w:right="603" w:firstLine="705"/>
        <w:jc w:val="both"/>
        <w:rPr>
          <w:sz w:val="28"/>
        </w:rPr>
      </w:pPr>
      <w:r>
        <w:rPr>
          <w:spacing w:val="-4"/>
          <w:sz w:val="28"/>
        </w:rPr>
        <w:t>Зайцев </w:t>
      </w:r>
      <w:r>
        <w:rPr>
          <w:sz w:val="28"/>
        </w:rPr>
        <w:t>Ю. </w:t>
      </w:r>
      <w:r>
        <w:rPr>
          <w:spacing w:val="-4"/>
          <w:sz w:val="28"/>
        </w:rPr>
        <w:t>П., Александров Б. </w:t>
      </w:r>
      <w:r>
        <w:rPr>
          <w:sz w:val="28"/>
        </w:rPr>
        <w:t>Г. </w:t>
      </w:r>
      <w:r>
        <w:rPr>
          <w:spacing w:val="-5"/>
          <w:sz w:val="28"/>
        </w:rPr>
        <w:t>Северо-западная </w:t>
      </w:r>
      <w:r>
        <w:rPr>
          <w:spacing w:val="-3"/>
          <w:sz w:val="28"/>
        </w:rPr>
        <w:t>часть </w:t>
      </w:r>
      <w:r>
        <w:rPr>
          <w:spacing w:val="-4"/>
          <w:sz w:val="28"/>
        </w:rPr>
        <w:t>Чёрного </w:t>
      </w:r>
      <w:r>
        <w:rPr>
          <w:sz w:val="28"/>
        </w:rPr>
        <w:t>моря: </w:t>
      </w:r>
      <w:r>
        <w:rPr>
          <w:spacing w:val="-4"/>
          <w:sz w:val="28"/>
        </w:rPr>
        <w:t>(биология </w:t>
      </w:r>
      <w:r>
        <w:rPr>
          <w:sz w:val="28"/>
        </w:rPr>
        <w:t>и </w:t>
      </w:r>
      <w:r>
        <w:rPr>
          <w:spacing w:val="-4"/>
          <w:sz w:val="28"/>
        </w:rPr>
        <w:t>экология). </w:t>
      </w:r>
      <w:r>
        <w:rPr>
          <w:spacing w:val="-3"/>
          <w:sz w:val="28"/>
        </w:rPr>
        <w:t>К.: </w:t>
      </w:r>
      <w:r>
        <w:rPr>
          <w:spacing w:val="-4"/>
          <w:sz w:val="28"/>
        </w:rPr>
        <w:t>Наукова </w:t>
      </w:r>
      <w:r>
        <w:rPr>
          <w:spacing w:val="-3"/>
          <w:sz w:val="28"/>
        </w:rPr>
        <w:t>Думка, </w:t>
      </w:r>
      <w:r>
        <w:rPr>
          <w:spacing w:val="-4"/>
          <w:sz w:val="28"/>
        </w:rPr>
        <w:t>2006. </w:t>
      </w:r>
      <w:r>
        <w:rPr>
          <w:sz w:val="28"/>
        </w:rPr>
        <w:t>С. </w:t>
      </w:r>
      <w:r>
        <w:rPr>
          <w:spacing w:val="-4"/>
          <w:sz w:val="28"/>
        </w:rPr>
        <w:t>351 </w:t>
      </w:r>
      <w:r>
        <w:rPr>
          <w:sz w:val="28"/>
        </w:rPr>
        <w:t>–</w:t>
      </w:r>
      <w:r>
        <w:rPr>
          <w:spacing w:val="-48"/>
          <w:sz w:val="28"/>
        </w:rPr>
        <w:t> </w:t>
      </w:r>
      <w:r>
        <w:rPr>
          <w:spacing w:val="-3"/>
          <w:sz w:val="28"/>
        </w:rPr>
        <w:t>356.</w:t>
      </w:r>
    </w:p>
    <w:p>
      <w:pPr>
        <w:pStyle w:val="ListParagraph"/>
        <w:numPr>
          <w:ilvl w:val="0"/>
          <w:numId w:val="39"/>
        </w:numPr>
        <w:tabs>
          <w:tab w:pos="1159" w:val="left" w:leader="none"/>
        </w:tabs>
        <w:spacing w:line="240" w:lineRule="auto" w:before="0" w:after="0"/>
        <w:ind w:left="193" w:right="607" w:firstLine="705"/>
        <w:jc w:val="both"/>
        <w:rPr>
          <w:sz w:val="28"/>
        </w:rPr>
      </w:pPr>
      <w:r>
        <w:rPr>
          <w:spacing w:val="-3"/>
          <w:sz w:val="28"/>
        </w:rPr>
        <w:t>Гыжко</w:t>
      </w:r>
      <w:r>
        <w:rPr>
          <w:spacing w:val="-16"/>
          <w:sz w:val="28"/>
        </w:rPr>
        <w:t> </w:t>
      </w:r>
      <w:r>
        <w:rPr>
          <w:spacing w:val="-4"/>
          <w:sz w:val="28"/>
        </w:rPr>
        <w:t>Л.</w:t>
      </w:r>
      <w:r>
        <w:rPr>
          <w:spacing w:val="-12"/>
          <w:sz w:val="28"/>
        </w:rPr>
        <w:t> </w:t>
      </w:r>
      <w:r>
        <w:rPr>
          <w:spacing w:val="-5"/>
          <w:sz w:val="28"/>
        </w:rPr>
        <w:t>В.</w:t>
      </w:r>
      <w:r>
        <w:rPr>
          <w:spacing w:val="-17"/>
          <w:sz w:val="28"/>
        </w:rPr>
        <w:t> </w:t>
      </w:r>
      <w:r>
        <w:rPr>
          <w:spacing w:val="-4"/>
          <w:sz w:val="28"/>
        </w:rPr>
        <w:t>Физико-географические</w:t>
      </w:r>
      <w:r>
        <w:rPr>
          <w:spacing w:val="-15"/>
          <w:sz w:val="28"/>
        </w:rPr>
        <w:t> </w:t>
      </w:r>
      <w:r>
        <w:rPr>
          <w:spacing w:val="-4"/>
          <w:sz w:val="28"/>
        </w:rPr>
        <w:t>черты</w:t>
      </w:r>
      <w:r>
        <w:rPr>
          <w:spacing w:val="-15"/>
          <w:sz w:val="28"/>
        </w:rPr>
        <w:t> </w:t>
      </w:r>
      <w:r>
        <w:rPr>
          <w:spacing w:val="-4"/>
          <w:sz w:val="28"/>
        </w:rPr>
        <w:t>«Тузловской</w:t>
      </w:r>
      <w:r>
        <w:rPr>
          <w:spacing w:val="-20"/>
          <w:sz w:val="28"/>
        </w:rPr>
        <w:t> </w:t>
      </w:r>
      <w:r>
        <w:rPr>
          <w:spacing w:val="-3"/>
          <w:sz w:val="28"/>
        </w:rPr>
        <w:t>группы»</w:t>
      </w:r>
      <w:r>
        <w:rPr>
          <w:spacing w:val="-20"/>
          <w:sz w:val="28"/>
        </w:rPr>
        <w:t> </w:t>
      </w:r>
      <w:r>
        <w:rPr>
          <w:spacing w:val="-4"/>
          <w:sz w:val="28"/>
        </w:rPr>
        <w:t>лиманов </w:t>
      </w:r>
      <w:r>
        <w:rPr>
          <w:spacing w:val="-3"/>
          <w:sz w:val="28"/>
        </w:rPr>
        <w:t>на </w:t>
      </w:r>
      <w:r>
        <w:rPr>
          <w:spacing w:val="-4"/>
          <w:sz w:val="28"/>
        </w:rPr>
        <w:t>северо-западном побережье Черного моря. Вісник </w:t>
      </w:r>
      <w:r>
        <w:rPr>
          <w:spacing w:val="-3"/>
          <w:sz w:val="28"/>
        </w:rPr>
        <w:t>ОНУ. Сер.: Географічні </w:t>
      </w:r>
      <w:r>
        <w:rPr>
          <w:spacing w:val="-4"/>
          <w:sz w:val="28"/>
        </w:rPr>
        <w:t>та</w:t>
      </w:r>
      <w:r>
        <w:rPr>
          <w:spacing w:val="62"/>
          <w:sz w:val="28"/>
        </w:rPr>
        <w:t> </w:t>
      </w:r>
      <w:r>
        <w:rPr>
          <w:spacing w:val="-4"/>
          <w:sz w:val="28"/>
        </w:rPr>
        <w:t>геологічні науки. </w:t>
      </w:r>
      <w:r>
        <w:rPr>
          <w:spacing w:val="-3"/>
          <w:sz w:val="28"/>
        </w:rPr>
        <w:t>2014. </w:t>
      </w:r>
      <w:r>
        <w:rPr>
          <w:spacing w:val="-4"/>
          <w:sz w:val="28"/>
        </w:rPr>
        <w:t>Т. 19, </w:t>
      </w:r>
      <w:r>
        <w:rPr>
          <w:spacing w:val="-5"/>
          <w:sz w:val="28"/>
        </w:rPr>
        <w:t>вип. </w:t>
      </w:r>
      <w:r>
        <w:rPr>
          <w:spacing w:val="-3"/>
          <w:sz w:val="28"/>
        </w:rPr>
        <w:t>2. </w:t>
      </w:r>
      <w:r>
        <w:rPr>
          <w:sz w:val="28"/>
        </w:rPr>
        <w:t>С.</w:t>
      </w:r>
      <w:r>
        <w:rPr>
          <w:spacing w:val="-22"/>
          <w:sz w:val="28"/>
        </w:rPr>
        <w:t> </w:t>
      </w:r>
      <w:r>
        <w:rPr>
          <w:spacing w:val="-4"/>
          <w:sz w:val="28"/>
        </w:rPr>
        <w:t>70-79.</w:t>
      </w:r>
    </w:p>
    <w:p>
      <w:pPr>
        <w:pStyle w:val="ListParagraph"/>
        <w:numPr>
          <w:ilvl w:val="0"/>
          <w:numId w:val="39"/>
        </w:numPr>
        <w:tabs>
          <w:tab w:pos="1169" w:val="left" w:leader="none"/>
        </w:tabs>
        <w:spacing w:line="321" w:lineRule="exact" w:before="0" w:after="0"/>
        <w:ind w:left="1168" w:right="0" w:hanging="271"/>
        <w:jc w:val="both"/>
        <w:rPr>
          <w:sz w:val="28"/>
        </w:rPr>
      </w:pPr>
      <w:r>
        <w:rPr>
          <w:spacing w:val="-4"/>
          <w:sz w:val="28"/>
        </w:rPr>
        <w:t>Пелешенко</w:t>
      </w:r>
      <w:r>
        <w:rPr>
          <w:spacing w:val="-5"/>
          <w:sz w:val="28"/>
        </w:rPr>
        <w:t> В.</w:t>
      </w:r>
      <w:r>
        <w:rPr>
          <w:spacing w:val="-6"/>
          <w:sz w:val="28"/>
        </w:rPr>
        <w:t> </w:t>
      </w:r>
      <w:r>
        <w:rPr>
          <w:spacing w:val="-4"/>
          <w:sz w:val="28"/>
        </w:rPr>
        <w:t>І.</w:t>
      </w:r>
      <w:r>
        <w:rPr>
          <w:spacing w:val="-8"/>
          <w:sz w:val="28"/>
        </w:rPr>
        <w:t> </w:t>
      </w:r>
      <w:r>
        <w:rPr>
          <w:spacing w:val="-4"/>
          <w:sz w:val="28"/>
        </w:rPr>
        <w:t>Загальна</w:t>
      </w:r>
      <w:r>
        <w:rPr>
          <w:spacing w:val="-8"/>
          <w:sz w:val="28"/>
        </w:rPr>
        <w:t> </w:t>
      </w:r>
      <w:r>
        <w:rPr>
          <w:spacing w:val="-4"/>
          <w:sz w:val="28"/>
        </w:rPr>
        <w:t>гідрохімія:</w:t>
      </w:r>
      <w:r>
        <w:rPr>
          <w:spacing w:val="-10"/>
          <w:sz w:val="28"/>
        </w:rPr>
        <w:t> </w:t>
      </w:r>
      <w:r>
        <w:rPr>
          <w:spacing w:val="-4"/>
          <w:sz w:val="28"/>
        </w:rPr>
        <w:t>підручник</w:t>
      </w:r>
      <w:r>
        <w:rPr>
          <w:spacing w:val="-10"/>
          <w:sz w:val="28"/>
        </w:rPr>
        <w:t> </w:t>
      </w:r>
      <w:r>
        <w:rPr>
          <w:sz w:val="28"/>
        </w:rPr>
        <w:t>/</w:t>
      </w:r>
      <w:r>
        <w:rPr>
          <w:spacing w:val="-11"/>
          <w:sz w:val="28"/>
        </w:rPr>
        <w:t> </w:t>
      </w:r>
      <w:r>
        <w:rPr>
          <w:sz w:val="28"/>
        </w:rPr>
        <w:t>Київ:</w:t>
      </w:r>
      <w:r>
        <w:rPr>
          <w:spacing w:val="-15"/>
          <w:sz w:val="28"/>
        </w:rPr>
        <w:t> </w:t>
      </w:r>
      <w:r>
        <w:rPr>
          <w:spacing w:val="-4"/>
          <w:sz w:val="28"/>
        </w:rPr>
        <w:t>Либідь,</w:t>
      </w:r>
      <w:r>
        <w:rPr>
          <w:spacing w:val="-7"/>
          <w:sz w:val="28"/>
        </w:rPr>
        <w:t> </w:t>
      </w:r>
      <w:r>
        <w:rPr>
          <w:spacing w:val="-3"/>
          <w:sz w:val="28"/>
        </w:rPr>
        <w:t>1997.</w:t>
      </w:r>
      <w:r>
        <w:rPr>
          <w:spacing w:val="-5"/>
          <w:sz w:val="28"/>
        </w:rPr>
        <w:t> </w:t>
      </w:r>
      <w:r>
        <w:rPr>
          <w:spacing w:val="-4"/>
          <w:sz w:val="28"/>
        </w:rPr>
        <w:t>382</w:t>
      </w:r>
      <w:r>
        <w:rPr>
          <w:spacing w:val="-9"/>
          <w:sz w:val="28"/>
        </w:rPr>
        <w:t> </w:t>
      </w:r>
      <w:r>
        <w:rPr>
          <w:sz w:val="28"/>
        </w:rPr>
        <w:t>с.</w:t>
      </w:r>
    </w:p>
    <w:p>
      <w:pPr>
        <w:pStyle w:val="BodyText"/>
        <w:spacing w:before="3"/>
        <w:ind w:left="0"/>
        <w:jc w:val="left"/>
      </w:pPr>
    </w:p>
    <w:p>
      <w:pPr>
        <w:pStyle w:val="Heading1"/>
        <w:ind w:left="2354" w:right="799" w:hanging="754"/>
        <w:jc w:val="left"/>
      </w:pPr>
      <w:r>
        <w:rPr>
          <w:spacing w:val="-4"/>
        </w:rPr>
        <w:t>ОЦЕНКА КАЧЕСТВА ВОД </w:t>
      </w:r>
      <w:r>
        <w:rPr>
          <w:spacing w:val="-3"/>
        </w:rPr>
        <w:t>ТУЗЛОВСКИХ </w:t>
      </w:r>
      <w:r>
        <w:rPr>
          <w:spacing w:val="-4"/>
        </w:rPr>
        <w:t>ЛИМАНОВ </w:t>
      </w:r>
      <w:r>
        <w:rPr/>
        <w:t>ПО </w:t>
      </w:r>
      <w:r>
        <w:rPr>
          <w:spacing w:val="-4"/>
        </w:rPr>
        <w:t>ИНДЕКСУ ЗАГРЯЗНЕНИЯ </w:t>
      </w:r>
      <w:r>
        <w:rPr>
          <w:spacing w:val="-3"/>
        </w:rPr>
        <w:t>ВОДЫ (ИОП)</w:t>
      </w:r>
    </w:p>
    <w:p>
      <w:pPr>
        <w:pStyle w:val="BodyText"/>
        <w:spacing w:line="316" w:lineRule="exact"/>
        <w:ind w:left="890" w:right="603"/>
        <w:jc w:val="center"/>
      </w:pPr>
      <w:r>
        <w:rPr/>
        <w:t>Саченко И. , Волкодав Г.</w:t>
      </w:r>
    </w:p>
    <w:p>
      <w:pPr>
        <w:tabs>
          <w:tab w:pos="1821" w:val="left" w:leader="none"/>
          <w:tab w:pos="2867" w:val="left" w:leader="none"/>
          <w:tab w:pos="4551" w:val="left" w:leader="none"/>
          <w:tab w:pos="5621" w:val="left" w:leader="none"/>
          <w:tab w:pos="6826" w:val="left" w:leader="none"/>
          <w:tab w:pos="8323" w:val="left" w:leader="none"/>
        </w:tabs>
        <w:spacing w:before="0"/>
        <w:ind w:left="285" w:right="0" w:firstLine="0"/>
        <w:jc w:val="center"/>
        <w:rPr>
          <w:i/>
          <w:sz w:val="28"/>
        </w:rPr>
      </w:pPr>
      <w:r>
        <w:rPr>
          <w:i/>
          <w:spacing w:val="-4"/>
          <w:sz w:val="28"/>
        </w:rPr>
        <w:t>Состояние</w:t>
        <w:tab/>
      </w:r>
      <w:r>
        <w:rPr>
          <w:i/>
          <w:spacing w:val="-3"/>
          <w:sz w:val="28"/>
        </w:rPr>
        <w:t>водной</w:t>
        <w:tab/>
      </w:r>
      <w:r>
        <w:rPr>
          <w:i/>
          <w:spacing w:val="-4"/>
          <w:sz w:val="28"/>
        </w:rPr>
        <w:t>экосистемы</w:t>
        <w:tab/>
      </w:r>
      <w:r>
        <w:rPr>
          <w:i/>
          <w:spacing w:val="-3"/>
          <w:sz w:val="28"/>
        </w:rPr>
        <w:t>группы</w:t>
        <w:tab/>
      </w:r>
      <w:r>
        <w:rPr>
          <w:i/>
          <w:spacing w:val="-4"/>
          <w:sz w:val="28"/>
        </w:rPr>
        <w:t>лиманов</w:t>
        <w:tab/>
        <w:t>Тузловские</w:t>
        <w:tab/>
      </w:r>
      <w:r>
        <w:rPr>
          <w:i/>
          <w:sz w:val="28"/>
        </w:rPr>
        <w:t>лиманы</w:t>
      </w:r>
    </w:p>
    <w:p>
      <w:pPr>
        <w:spacing w:after="0"/>
        <w:jc w:val="center"/>
        <w:rPr>
          <w:sz w:val="28"/>
        </w:rPr>
        <w:sectPr>
          <w:pgSz w:w="11910" w:h="16840"/>
          <w:pgMar w:header="713" w:footer="778" w:top="1140" w:bottom="960" w:left="940" w:right="520"/>
        </w:sectPr>
      </w:pPr>
    </w:p>
    <w:p>
      <w:pPr>
        <w:spacing w:line="240" w:lineRule="auto" w:before="92"/>
        <w:ind w:left="193" w:right="607" w:firstLine="0"/>
        <w:jc w:val="both"/>
        <w:rPr>
          <w:i/>
          <w:sz w:val="28"/>
        </w:rPr>
      </w:pPr>
      <w:r>
        <w:rPr>
          <w:i/>
          <w:spacing w:val="-4"/>
          <w:sz w:val="28"/>
        </w:rPr>
        <w:t>отражает </w:t>
      </w:r>
      <w:r>
        <w:rPr>
          <w:i/>
          <w:spacing w:val="-3"/>
          <w:sz w:val="28"/>
        </w:rPr>
        <w:t>рост </w:t>
      </w:r>
      <w:r>
        <w:rPr>
          <w:i/>
          <w:spacing w:val="-4"/>
          <w:sz w:val="28"/>
        </w:rPr>
        <w:t>техногенной нагрузки, </w:t>
      </w:r>
      <w:r>
        <w:rPr>
          <w:i/>
          <w:spacing w:val="-3"/>
          <w:sz w:val="28"/>
        </w:rPr>
        <w:t>что </w:t>
      </w:r>
      <w:r>
        <w:rPr>
          <w:i/>
          <w:spacing w:val="-4"/>
          <w:sz w:val="28"/>
        </w:rPr>
        <w:t>приводит </w:t>
      </w:r>
      <w:r>
        <w:rPr>
          <w:i/>
          <w:sz w:val="28"/>
        </w:rPr>
        <w:t>к </w:t>
      </w:r>
      <w:r>
        <w:rPr>
          <w:i/>
          <w:spacing w:val="-3"/>
          <w:sz w:val="28"/>
        </w:rPr>
        <w:t>процессам </w:t>
      </w:r>
      <w:r>
        <w:rPr>
          <w:i/>
          <w:sz w:val="28"/>
        </w:rPr>
        <w:t>ее </w:t>
      </w:r>
      <w:r>
        <w:rPr>
          <w:i/>
          <w:spacing w:val="-4"/>
          <w:sz w:val="28"/>
        </w:rPr>
        <w:t>деградации. </w:t>
      </w:r>
      <w:r>
        <w:rPr>
          <w:i/>
          <w:spacing w:val="-4"/>
          <w:sz w:val="28"/>
        </w:rPr>
        <w:t>Таким образом,</w:t>
      </w:r>
      <w:r>
        <w:rPr>
          <w:i/>
          <w:spacing w:val="62"/>
          <w:sz w:val="28"/>
        </w:rPr>
        <w:t> </w:t>
      </w:r>
      <w:r>
        <w:rPr>
          <w:i/>
          <w:sz w:val="28"/>
        </w:rPr>
        <w:t>на </w:t>
      </w:r>
      <w:r>
        <w:rPr>
          <w:i/>
          <w:spacing w:val="-4"/>
          <w:sz w:val="28"/>
        </w:rPr>
        <w:t>современном </w:t>
      </w:r>
      <w:r>
        <w:rPr>
          <w:i/>
          <w:spacing w:val="-3"/>
          <w:sz w:val="28"/>
        </w:rPr>
        <w:t>этапе </w:t>
      </w:r>
      <w:r>
        <w:rPr>
          <w:i/>
          <w:spacing w:val="-4"/>
          <w:sz w:val="28"/>
        </w:rPr>
        <w:t>природные</w:t>
      </w:r>
      <w:r>
        <w:rPr>
          <w:i/>
          <w:spacing w:val="62"/>
          <w:sz w:val="28"/>
        </w:rPr>
        <w:t> </w:t>
      </w:r>
      <w:r>
        <w:rPr>
          <w:i/>
          <w:spacing w:val="-4"/>
          <w:sz w:val="28"/>
        </w:rPr>
        <w:t>условия лиманов </w:t>
      </w:r>
      <w:r>
        <w:rPr>
          <w:i/>
          <w:spacing w:val="-3"/>
          <w:sz w:val="28"/>
        </w:rPr>
        <w:t>северо- </w:t>
      </w:r>
      <w:r>
        <w:rPr>
          <w:i/>
          <w:spacing w:val="-4"/>
          <w:sz w:val="28"/>
        </w:rPr>
        <w:t>западного</w:t>
      </w:r>
      <w:r>
        <w:rPr>
          <w:i/>
          <w:spacing w:val="62"/>
          <w:sz w:val="28"/>
        </w:rPr>
        <w:t> </w:t>
      </w:r>
      <w:r>
        <w:rPr>
          <w:i/>
          <w:spacing w:val="-4"/>
          <w:sz w:val="28"/>
        </w:rPr>
        <w:t>Причерноморья,</w:t>
      </w:r>
      <w:r>
        <w:rPr>
          <w:i/>
          <w:spacing w:val="62"/>
          <w:sz w:val="28"/>
        </w:rPr>
        <w:t> </w:t>
      </w:r>
      <w:r>
        <w:rPr>
          <w:i/>
          <w:spacing w:val="-4"/>
          <w:sz w:val="28"/>
        </w:rPr>
        <w:t>характеризуются</w:t>
      </w:r>
      <w:r>
        <w:rPr>
          <w:i/>
          <w:spacing w:val="62"/>
          <w:sz w:val="28"/>
        </w:rPr>
        <w:t> </w:t>
      </w:r>
      <w:r>
        <w:rPr>
          <w:i/>
          <w:spacing w:val="-4"/>
          <w:sz w:val="28"/>
        </w:rPr>
        <w:t>повсеместным</w:t>
      </w:r>
      <w:r>
        <w:rPr>
          <w:i/>
          <w:spacing w:val="62"/>
          <w:sz w:val="28"/>
        </w:rPr>
        <w:t> </w:t>
      </w:r>
      <w:r>
        <w:rPr>
          <w:i/>
          <w:spacing w:val="-4"/>
          <w:sz w:val="28"/>
        </w:rPr>
        <w:t>антропогенным преобразованиям. Наиболее массовым</w:t>
      </w:r>
      <w:r>
        <w:rPr>
          <w:i/>
          <w:spacing w:val="62"/>
          <w:sz w:val="28"/>
        </w:rPr>
        <w:t> </w:t>
      </w:r>
      <w:r>
        <w:rPr>
          <w:i/>
          <w:spacing w:val="-4"/>
          <w:sz w:val="28"/>
        </w:rPr>
        <w:t>видом антропогенного воздействия </w:t>
      </w:r>
      <w:r>
        <w:rPr>
          <w:i/>
          <w:sz w:val="28"/>
        </w:rPr>
        <w:t>на </w:t>
      </w:r>
      <w:r>
        <w:rPr>
          <w:i/>
          <w:spacing w:val="-4"/>
          <w:sz w:val="28"/>
        </w:rPr>
        <w:t>лиманы является сельское хозяйство.</w:t>
      </w:r>
      <w:r>
        <w:rPr>
          <w:i/>
          <w:spacing w:val="62"/>
          <w:sz w:val="28"/>
        </w:rPr>
        <w:t> </w:t>
      </w:r>
      <w:r>
        <w:rPr>
          <w:i/>
          <w:sz w:val="28"/>
        </w:rPr>
        <w:t>В </w:t>
      </w:r>
      <w:r>
        <w:rPr>
          <w:i/>
          <w:spacing w:val="-3"/>
          <w:sz w:val="28"/>
        </w:rPr>
        <w:t>связи </w:t>
      </w:r>
      <w:r>
        <w:rPr>
          <w:i/>
          <w:sz w:val="28"/>
        </w:rPr>
        <w:t>с </w:t>
      </w:r>
      <w:r>
        <w:rPr>
          <w:i/>
          <w:spacing w:val="-4"/>
          <w:sz w:val="28"/>
        </w:rPr>
        <w:t>интенсификацией сельскохозяйственного производства </w:t>
      </w:r>
      <w:r>
        <w:rPr>
          <w:i/>
          <w:spacing w:val="-3"/>
          <w:sz w:val="28"/>
        </w:rPr>
        <w:t>резко </w:t>
      </w:r>
      <w:r>
        <w:rPr>
          <w:i/>
          <w:spacing w:val="-4"/>
          <w:sz w:val="28"/>
        </w:rPr>
        <w:t>увеличилась </w:t>
      </w:r>
      <w:r>
        <w:rPr>
          <w:i/>
          <w:spacing w:val="-3"/>
          <w:sz w:val="28"/>
        </w:rPr>
        <w:t>площадь </w:t>
      </w:r>
      <w:r>
        <w:rPr>
          <w:i/>
          <w:spacing w:val="-4"/>
          <w:sz w:val="28"/>
        </w:rPr>
        <w:t>эродированных земель </w:t>
      </w:r>
      <w:r>
        <w:rPr>
          <w:i/>
          <w:sz w:val="28"/>
        </w:rPr>
        <w:t>и </w:t>
      </w:r>
      <w:r>
        <w:rPr>
          <w:i/>
          <w:spacing w:val="-4"/>
          <w:sz w:val="28"/>
        </w:rPr>
        <w:t>вынос</w:t>
      </w:r>
      <w:r>
        <w:rPr>
          <w:i/>
          <w:spacing w:val="62"/>
          <w:sz w:val="28"/>
        </w:rPr>
        <w:t> </w:t>
      </w:r>
      <w:r>
        <w:rPr>
          <w:i/>
          <w:sz w:val="28"/>
        </w:rPr>
        <w:t>в </w:t>
      </w:r>
      <w:r>
        <w:rPr>
          <w:i/>
          <w:spacing w:val="-4"/>
          <w:sz w:val="28"/>
        </w:rPr>
        <w:t>речную сеть </w:t>
      </w:r>
      <w:r>
        <w:rPr>
          <w:i/>
          <w:spacing w:val="-3"/>
          <w:sz w:val="28"/>
        </w:rPr>
        <w:t>продуктов </w:t>
      </w:r>
      <w:r>
        <w:rPr>
          <w:i/>
          <w:spacing w:val="-4"/>
          <w:sz w:val="28"/>
        </w:rPr>
        <w:t>эрозионного </w:t>
      </w:r>
      <w:r>
        <w:rPr>
          <w:i/>
          <w:spacing w:val="-3"/>
          <w:sz w:val="28"/>
        </w:rPr>
        <w:t>смыва, </w:t>
      </w:r>
      <w:r>
        <w:rPr>
          <w:i/>
          <w:sz w:val="28"/>
        </w:rPr>
        <w:t>в </w:t>
      </w:r>
      <w:r>
        <w:rPr>
          <w:i/>
          <w:spacing w:val="-4"/>
          <w:sz w:val="28"/>
        </w:rPr>
        <w:t>том </w:t>
      </w:r>
      <w:r>
        <w:rPr>
          <w:i/>
          <w:spacing w:val="-3"/>
          <w:sz w:val="28"/>
        </w:rPr>
        <w:t>числе </w:t>
      </w:r>
      <w:r>
        <w:rPr>
          <w:i/>
          <w:spacing w:val="-4"/>
          <w:sz w:val="28"/>
        </w:rPr>
        <w:t>ядохимикатов </w:t>
      </w:r>
      <w:r>
        <w:rPr>
          <w:i/>
          <w:sz w:val="28"/>
        </w:rPr>
        <w:t>и </w:t>
      </w:r>
      <w:r>
        <w:rPr>
          <w:i/>
          <w:spacing w:val="-4"/>
          <w:sz w:val="28"/>
        </w:rPr>
        <w:t>удобрений. </w:t>
      </w:r>
      <w:r>
        <w:rPr>
          <w:i/>
          <w:spacing w:val="-3"/>
          <w:sz w:val="28"/>
        </w:rPr>
        <w:t>Кроме </w:t>
      </w:r>
      <w:r>
        <w:rPr>
          <w:i/>
          <w:sz w:val="28"/>
        </w:rPr>
        <w:t>того, в </w:t>
      </w:r>
      <w:r>
        <w:rPr>
          <w:i/>
          <w:spacing w:val="-4"/>
          <w:sz w:val="28"/>
        </w:rPr>
        <w:t>водные </w:t>
      </w:r>
      <w:r>
        <w:rPr>
          <w:i/>
          <w:spacing w:val="-3"/>
          <w:sz w:val="28"/>
        </w:rPr>
        <w:t>объекты </w:t>
      </w:r>
      <w:r>
        <w:rPr>
          <w:i/>
          <w:spacing w:val="-4"/>
          <w:sz w:val="28"/>
        </w:rPr>
        <w:t>региона, которые</w:t>
      </w:r>
      <w:r>
        <w:rPr>
          <w:i/>
          <w:spacing w:val="62"/>
          <w:sz w:val="28"/>
        </w:rPr>
        <w:t> </w:t>
      </w:r>
      <w:r>
        <w:rPr>
          <w:i/>
          <w:spacing w:val="-4"/>
          <w:sz w:val="28"/>
        </w:rPr>
        <w:t>питают </w:t>
      </w:r>
      <w:r>
        <w:rPr>
          <w:i/>
          <w:spacing w:val="-3"/>
          <w:sz w:val="28"/>
        </w:rPr>
        <w:t>лиманы </w:t>
      </w:r>
      <w:r>
        <w:rPr>
          <w:i/>
          <w:spacing w:val="-4"/>
          <w:sz w:val="28"/>
        </w:rPr>
        <w:t>осуществляется регулярный </w:t>
      </w:r>
      <w:r>
        <w:rPr>
          <w:i/>
          <w:spacing w:val="-3"/>
          <w:sz w:val="28"/>
        </w:rPr>
        <w:t>сброс </w:t>
      </w:r>
      <w:r>
        <w:rPr>
          <w:i/>
          <w:spacing w:val="-4"/>
          <w:sz w:val="28"/>
        </w:rPr>
        <w:t>сточных вод.</w:t>
      </w:r>
      <w:r>
        <w:rPr>
          <w:i/>
          <w:spacing w:val="62"/>
          <w:sz w:val="28"/>
        </w:rPr>
        <w:t> </w:t>
      </w:r>
      <w:r>
        <w:rPr>
          <w:i/>
          <w:sz w:val="28"/>
        </w:rPr>
        <w:t>В </w:t>
      </w:r>
      <w:r>
        <w:rPr>
          <w:i/>
          <w:spacing w:val="-3"/>
          <w:sz w:val="28"/>
        </w:rPr>
        <w:t>работе </w:t>
      </w:r>
      <w:r>
        <w:rPr>
          <w:i/>
          <w:spacing w:val="-4"/>
          <w:sz w:val="28"/>
        </w:rPr>
        <w:t>осуществлена</w:t>
      </w:r>
      <w:r>
        <w:rPr>
          <w:i/>
          <w:spacing w:val="62"/>
          <w:sz w:val="28"/>
        </w:rPr>
        <w:t> </w:t>
      </w:r>
      <w:r>
        <w:rPr>
          <w:i/>
          <w:spacing w:val="-4"/>
          <w:sz w:val="28"/>
        </w:rPr>
        <w:t>оценка</w:t>
      </w:r>
      <w:r>
        <w:rPr>
          <w:i/>
          <w:spacing w:val="62"/>
          <w:sz w:val="28"/>
        </w:rPr>
        <w:t> </w:t>
      </w:r>
      <w:r>
        <w:rPr>
          <w:i/>
          <w:spacing w:val="-3"/>
          <w:sz w:val="28"/>
        </w:rPr>
        <w:t>качества </w:t>
      </w:r>
      <w:r>
        <w:rPr>
          <w:i/>
          <w:sz w:val="28"/>
        </w:rPr>
        <w:t>вод </w:t>
      </w:r>
      <w:r>
        <w:rPr>
          <w:i/>
          <w:spacing w:val="-3"/>
          <w:sz w:val="28"/>
        </w:rPr>
        <w:t>лиманов </w:t>
      </w:r>
      <w:r>
        <w:rPr>
          <w:i/>
          <w:spacing w:val="-4"/>
          <w:sz w:val="28"/>
        </w:rPr>
        <w:t>Тузловские</w:t>
      </w:r>
      <w:r>
        <w:rPr>
          <w:i/>
          <w:spacing w:val="62"/>
          <w:sz w:val="28"/>
        </w:rPr>
        <w:t> </w:t>
      </w:r>
      <w:r>
        <w:rPr>
          <w:i/>
          <w:spacing w:val="-3"/>
          <w:sz w:val="28"/>
        </w:rPr>
        <w:t>группы </w:t>
      </w:r>
      <w:r>
        <w:rPr>
          <w:i/>
          <w:sz w:val="28"/>
        </w:rPr>
        <w:t>по </w:t>
      </w:r>
      <w:r>
        <w:rPr>
          <w:i/>
          <w:spacing w:val="-4"/>
          <w:sz w:val="28"/>
        </w:rPr>
        <w:t>индексу</w:t>
      </w:r>
      <w:r>
        <w:rPr>
          <w:i/>
          <w:spacing w:val="62"/>
          <w:sz w:val="28"/>
        </w:rPr>
        <w:t> </w:t>
      </w:r>
      <w:r>
        <w:rPr>
          <w:i/>
          <w:spacing w:val="-4"/>
          <w:sz w:val="28"/>
        </w:rPr>
        <w:t>загрязнения</w:t>
      </w:r>
      <w:r>
        <w:rPr>
          <w:i/>
          <w:spacing w:val="62"/>
          <w:sz w:val="28"/>
        </w:rPr>
        <w:t> </w:t>
      </w:r>
      <w:r>
        <w:rPr>
          <w:i/>
          <w:sz w:val="28"/>
        </w:rPr>
        <w:t>воды </w:t>
      </w:r>
      <w:r>
        <w:rPr>
          <w:i/>
          <w:spacing w:val="-5"/>
          <w:sz w:val="28"/>
        </w:rPr>
        <w:t>(ИЗВ). </w:t>
      </w:r>
      <w:r>
        <w:rPr>
          <w:i/>
          <w:spacing w:val="-3"/>
          <w:sz w:val="28"/>
        </w:rPr>
        <w:t>Оценка </w:t>
      </w:r>
      <w:r>
        <w:rPr>
          <w:i/>
          <w:spacing w:val="-4"/>
          <w:sz w:val="28"/>
        </w:rPr>
        <w:t>качества</w:t>
      </w:r>
      <w:r>
        <w:rPr>
          <w:i/>
          <w:spacing w:val="62"/>
          <w:sz w:val="28"/>
        </w:rPr>
        <w:t> </w:t>
      </w:r>
      <w:r>
        <w:rPr>
          <w:i/>
          <w:spacing w:val="-3"/>
          <w:sz w:val="28"/>
        </w:rPr>
        <w:t>воды </w:t>
      </w:r>
      <w:r>
        <w:rPr>
          <w:i/>
          <w:spacing w:val="-4"/>
          <w:sz w:val="28"/>
        </w:rPr>
        <w:t>проводилась</w:t>
      </w:r>
      <w:r>
        <w:rPr>
          <w:i/>
          <w:spacing w:val="62"/>
          <w:sz w:val="28"/>
        </w:rPr>
        <w:t> </w:t>
      </w:r>
      <w:r>
        <w:rPr>
          <w:i/>
          <w:spacing w:val="-3"/>
          <w:sz w:val="28"/>
        </w:rPr>
        <w:t>по </w:t>
      </w:r>
      <w:r>
        <w:rPr>
          <w:i/>
          <w:sz w:val="28"/>
        </w:rPr>
        <w:t>ИЗВ для </w:t>
      </w:r>
      <w:r>
        <w:rPr>
          <w:i/>
          <w:spacing w:val="-4"/>
          <w:sz w:val="28"/>
        </w:rPr>
        <w:t>рыбохозяйственных ПДК. Наиболее распространенными загрязняющими веществами</w:t>
      </w:r>
      <w:r>
        <w:rPr>
          <w:i/>
          <w:spacing w:val="62"/>
          <w:sz w:val="28"/>
        </w:rPr>
        <w:t> </w:t>
      </w:r>
      <w:r>
        <w:rPr>
          <w:i/>
          <w:spacing w:val="-4"/>
          <w:sz w:val="28"/>
        </w:rPr>
        <w:t>являются</w:t>
      </w:r>
      <w:r>
        <w:rPr>
          <w:i/>
          <w:spacing w:val="62"/>
          <w:sz w:val="28"/>
        </w:rPr>
        <w:t> </w:t>
      </w:r>
      <w:r>
        <w:rPr>
          <w:i/>
          <w:spacing w:val="-3"/>
          <w:sz w:val="28"/>
        </w:rPr>
        <w:t>фенолы </w:t>
      </w:r>
      <w:r>
        <w:rPr>
          <w:i/>
          <w:sz w:val="28"/>
        </w:rPr>
        <w:t>и </w:t>
      </w:r>
      <w:r>
        <w:rPr>
          <w:i/>
          <w:spacing w:val="-4"/>
          <w:sz w:val="28"/>
        </w:rPr>
        <w:t>общий</w:t>
      </w:r>
      <w:r>
        <w:rPr>
          <w:i/>
          <w:spacing w:val="62"/>
          <w:sz w:val="28"/>
        </w:rPr>
        <w:t> </w:t>
      </w:r>
      <w:r>
        <w:rPr>
          <w:i/>
          <w:spacing w:val="-4"/>
          <w:sz w:val="28"/>
        </w:rPr>
        <w:t>фосфор; превышение</w:t>
      </w:r>
      <w:r>
        <w:rPr>
          <w:i/>
          <w:spacing w:val="62"/>
          <w:sz w:val="28"/>
        </w:rPr>
        <w:t> </w:t>
      </w:r>
      <w:r>
        <w:rPr>
          <w:i/>
          <w:spacing w:val="-4"/>
          <w:sz w:val="28"/>
        </w:rPr>
        <w:t>органических веществ </w:t>
      </w:r>
      <w:r>
        <w:rPr>
          <w:i/>
          <w:sz w:val="28"/>
        </w:rPr>
        <w:t>с </w:t>
      </w:r>
      <w:r>
        <w:rPr>
          <w:i/>
          <w:spacing w:val="-4"/>
          <w:sz w:val="28"/>
        </w:rPr>
        <w:t>БПК5 </w:t>
      </w:r>
      <w:r>
        <w:rPr>
          <w:i/>
          <w:sz w:val="28"/>
        </w:rPr>
        <w:t>в </w:t>
      </w:r>
      <w:r>
        <w:rPr>
          <w:i/>
          <w:spacing w:val="-4"/>
          <w:sz w:val="28"/>
        </w:rPr>
        <w:t>водах </w:t>
      </w:r>
      <w:r>
        <w:rPr>
          <w:i/>
          <w:spacing w:val="-3"/>
          <w:sz w:val="28"/>
        </w:rPr>
        <w:t>лиманов является </w:t>
      </w:r>
      <w:r>
        <w:rPr>
          <w:i/>
          <w:sz w:val="28"/>
        </w:rPr>
        <w:t>не </w:t>
      </w:r>
      <w:r>
        <w:rPr>
          <w:i/>
          <w:spacing w:val="-4"/>
          <w:sz w:val="28"/>
        </w:rPr>
        <w:t>значительным, </w:t>
      </w:r>
      <w:r>
        <w:rPr>
          <w:i/>
          <w:spacing w:val="-3"/>
          <w:sz w:val="28"/>
        </w:rPr>
        <w:t>причиной </w:t>
      </w:r>
      <w:r>
        <w:rPr>
          <w:i/>
          <w:spacing w:val="-4"/>
          <w:sz w:val="28"/>
        </w:rPr>
        <w:t>этого</w:t>
      </w:r>
      <w:r>
        <w:rPr>
          <w:i/>
          <w:spacing w:val="62"/>
          <w:sz w:val="28"/>
        </w:rPr>
        <w:t> </w:t>
      </w:r>
      <w:r>
        <w:rPr>
          <w:i/>
          <w:spacing w:val="-4"/>
          <w:sz w:val="28"/>
        </w:rPr>
        <w:t>превышения является </w:t>
      </w:r>
      <w:r>
        <w:rPr>
          <w:i/>
          <w:spacing w:val="-3"/>
          <w:sz w:val="28"/>
        </w:rPr>
        <w:t>сброс </w:t>
      </w:r>
      <w:r>
        <w:rPr>
          <w:i/>
          <w:spacing w:val="-4"/>
          <w:sz w:val="28"/>
        </w:rPr>
        <w:t>недостаточно очищенных</w:t>
      </w:r>
      <w:r>
        <w:rPr>
          <w:i/>
          <w:spacing w:val="62"/>
          <w:sz w:val="28"/>
        </w:rPr>
        <w:t> </w:t>
      </w:r>
      <w:r>
        <w:rPr>
          <w:i/>
          <w:spacing w:val="-4"/>
          <w:sz w:val="28"/>
        </w:rPr>
        <w:t>бытовых</w:t>
      </w:r>
      <w:r>
        <w:rPr>
          <w:i/>
          <w:spacing w:val="62"/>
          <w:sz w:val="28"/>
        </w:rPr>
        <w:t> </w:t>
      </w:r>
      <w:r>
        <w:rPr>
          <w:i/>
          <w:spacing w:val="-4"/>
          <w:sz w:val="28"/>
        </w:rPr>
        <w:t>вод.</w:t>
      </w:r>
      <w:r>
        <w:rPr>
          <w:i/>
          <w:spacing w:val="62"/>
          <w:sz w:val="28"/>
        </w:rPr>
        <w:t> </w:t>
      </w:r>
      <w:r>
        <w:rPr>
          <w:i/>
          <w:spacing w:val="-3"/>
          <w:sz w:val="28"/>
        </w:rPr>
        <w:t>Целью </w:t>
      </w:r>
      <w:r>
        <w:rPr>
          <w:i/>
          <w:spacing w:val="-4"/>
          <w:sz w:val="28"/>
        </w:rPr>
        <w:t>исследования</w:t>
      </w:r>
      <w:r>
        <w:rPr>
          <w:i/>
          <w:spacing w:val="62"/>
          <w:sz w:val="28"/>
        </w:rPr>
        <w:t> </w:t>
      </w:r>
      <w:r>
        <w:rPr>
          <w:i/>
          <w:spacing w:val="-4"/>
          <w:sz w:val="28"/>
        </w:rPr>
        <w:t>является</w:t>
      </w:r>
      <w:r>
        <w:rPr>
          <w:i/>
          <w:spacing w:val="62"/>
          <w:sz w:val="28"/>
        </w:rPr>
        <w:t> </w:t>
      </w:r>
      <w:r>
        <w:rPr>
          <w:i/>
          <w:spacing w:val="-4"/>
          <w:sz w:val="28"/>
        </w:rPr>
        <w:t>исследование</w:t>
      </w:r>
      <w:r>
        <w:rPr>
          <w:i/>
          <w:spacing w:val="62"/>
          <w:sz w:val="28"/>
        </w:rPr>
        <w:t> </w:t>
      </w:r>
      <w:r>
        <w:rPr>
          <w:i/>
          <w:spacing w:val="-4"/>
          <w:sz w:val="28"/>
        </w:rPr>
        <w:t>современного</w:t>
      </w:r>
      <w:r>
        <w:rPr>
          <w:i/>
          <w:spacing w:val="62"/>
          <w:sz w:val="28"/>
        </w:rPr>
        <w:t> </w:t>
      </w:r>
      <w:r>
        <w:rPr>
          <w:i/>
          <w:spacing w:val="-4"/>
          <w:sz w:val="28"/>
        </w:rPr>
        <w:t>состояния</w:t>
      </w:r>
      <w:r>
        <w:rPr>
          <w:i/>
          <w:spacing w:val="62"/>
          <w:sz w:val="28"/>
        </w:rPr>
        <w:t> </w:t>
      </w:r>
      <w:r>
        <w:rPr>
          <w:i/>
          <w:spacing w:val="-4"/>
          <w:sz w:val="28"/>
        </w:rPr>
        <w:t>качества</w:t>
      </w:r>
      <w:r>
        <w:rPr>
          <w:i/>
          <w:spacing w:val="62"/>
          <w:sz w:val="28"/>
        </w:rPr>
        <w:t> </w:t>
      </w:r>
      <w:r>
        <w:rPr>
          <w:i/>
          <w:sz w:val="28"/>
        </w:rPr>
        <w:t>вод </w:t>
      </w:r>
      <w:r>
        <w:rPr>
          <w:i/>
          <w:spacing w:val="-4"/>
          <w:sz w:val="28"/>
        </w:rPr>
        <w:t>лиманов</w:t>
      </w:r>
      <w:r>
        <w:rPr>
          <w:i/>
          <w:spacing w:val="-21"/>
          <w:sz w:val="28"/>
        </w:rPr>
        <w:t> </w:t>
      </w:r>
      <w:r>
        <w:rPr>
          <w:i/>
          <w:spacing w:val="-4"/>
          <w:sz w:val="28"/>
        </w:rPr>
        <w:t>Тузловские</w:t>
      </w:r>
      <w:r>
        <w:rPr>
          <w:i/>
          <w:spacing w:val="-18"/>
          <w:sz w:val="28"/>
        </w:rPr>
        <w:t> </w:t>
      </w:r>
      <w:r>
        <w:rPr>
          <w:i/>
          <w:spacing w:val="-3"/>
          <w:sz w:val="28"/>
        </w:rPr>
        <w:t>группы.</w:t>
      </w:r>
      <w:r>
        <w:rPr>
          <w:i/>
          <w:spacing w:val="-17"/>
          <w:sz w:val="28"/>
        </w:rPr>
        <w:t> </w:t>
      </w:r>
      <w:r>
        <w:rPr>
          <w:i/>
          <w:spacing w:val="-3"/>
          <w:sz w:val="28"/>
        </w:rPr>
        <w:t>Объект</w:t>
      </w:r>
      <w:r>
        <w:rPr>
          <w:i/>
          <w:spacing w:val="-20"/>
          <w:sz w:val="28"/>
        </w:rPr>
        <w:t> </w:t>
      </w:r>
      <w:r>
        <w:rPr>
          <w:i/>
          <w:spacing w:val="-4"/>
          <w:sz w:val="28"/>
        </w:rPr>
        <w:t>исследования</w:t>
      </w:r>
      <w:r>
        <w:rPr>
          <w:i/>
          <w:spacing w:val="-17"/>
          <w:sz w:val="28"/>
        </w:rPr>
        <w:t> </w:t>
      </w:r>
      <w:r>
        <w:rPr>
          <w:i/>
          <w:sz w:val="28"/>
        </w:rPr>
        <w:t>-</w:t>
      </w:r>
      <w:r>
        <w:rPr>
          <w:i/>
          <w:spacing w:val="-21"/>
          <w:sz w:val="28"/>
        </w:rPr>
        <w:t> </w:t>
      </w:r>
      <w:r>
        <w:rPr>
          <w:i/>
          <w:spacing w:val="-4"/>
          <w:sz w:val="28"/>
        </w:rPr>
        <w:t>качество</w:t>
      </w:r>
      <w:r>
        <w:rPr>
          <w:i/>
          <w:spacing w:val="-20"/>
          <w:sz w:val="28"/>
        </w:rPr>
        <w:t> </w:t>
      </w:r>
      <w:r>
        <w:rPr>
          <w:i/>
          <w:spacing w:val="-3"/>
          <w:sz w:val="28"/>
        </w:rPr>
        <w:t>вод</w:t>
      </w:r>
      <w:r>
        <w:rPr>
          <w:i/>
          <w:spacing w:val="-16"/>
          <w:sz w:val="28"/>
        </w:rPr>
        <w:t> </w:t>
      </w:r>
      <w:r>
        <w:rPr>
          <w:i/>
          <w:spacing w:val="-3"/>
          <w:sz w:val="28"/>
        </w:rPr>
        <w:t>лиманов</w:t>
      </w:r>
      <w:r>
        <w:rPr>
          <w:i/>
          <w:spacing w:val="-20"/>
          <w:sz w:val="28"/>
        </w:rPr>
        <w:t> </w:t>
      </w:r>
      <w:r>
        <w:rPr>
          <w:i/>
          <w:spacing w:val="-4"/>
          <w:sz w:val="28"/>
        </w:rPr>
        <w:t>Шаганы, Алибей </w:t>
      </w:r>
      <w:r>
        <w:rPr>
          <w:i/>
          <w:sz w:val="28"/>
        </w:rPr>
        <w:t>и</w:t>
      </w:r>
      <w:r>
        <w:rPr>
          <w:i/>
          <w:spacing w:val="-13"/>
          <w:sz w:val="28"/>
        </w:rPr>
        <w:t> </w:t>
      </w:r>
      <w:r>
        <w:rPr>
          <w:i/>
          <w:spacing w:val="-4"/>
          <w:sz w:val="28"/>
        </w:rPr>
        <w:t>Карачаус.</w:t>
      </w:r>
    </w:p>
    <w:p>
      <w:pPr>
        <w:spacing w:before="4"/>
        <w:ind w:left="193" w:right="609" w:firstLine="705"/>
        <w:jc w:val="both"/>
        <w:rPr>
          <w:i/>
          <w:sz w:val="28"/>
        </w:rPr>
      </w:pPr>
      <w:r>
        <w:rPr>
          <w:b/>
          <w:i/>
          <w:spacing w:val="-5"/>
          <w:sz w:val="28"/>
        </w:rPr>
        <w:t>Ключевые </w:t>
      </w:r>
      <w:r>
        <w:rPr>
          <w:b/>
          <w:i/>
          <w:spacing w:val="-3"/>
          <w:sz w:val="28"/>
        </w:rPr>
        <w:t>слова: </w:t>
      </w:r>
      <w:r>
        <w:rPr>
          <w:i/>
          <w:spacing w:val="-4"/>
          <w:sz w:val="28"/>
        </w:rPr>
        <w:t>оценка качества, загрязняющие вещества, поверхностные </w:t>
      </w:r>
      <w:r>
        <w:rPr>
          <w:i/>
          <w:spacing w:val="-4"/>
          <w:sz w:val="28"/>
        </w:rPr>
        <w:t>воды, предельно допустим </w:t>
      </w:r>
      <w:r>
        <w:rPr>
          <w:i/>
          <w:spacing w:val="-3"/>
          <w:sz w:val="28"/>
        </w:rPr>
        <w:t>концентрации, </w:t>
      </w:r>
      <w:r>
        <w:rPr>
          <w:i/>
          <w:spacing w:val="-5"/>
          <w:sz w:val="28"/>
        </w:rPr>
        <w:t>качество </w:t>
      </w:r>
      <w:r>
        <w:rPr>
          <w:i/>
          <w:spacing w:val="-4"/>
          <w:sz w:val="28"/>
        </w:rPr>
        <w:t>воды, азот, </w:t>
      </w:r>
      <w:r>
        <w:rPr>
          <w:i/>
          <w:spacing w:val="-3"/>
          <w:sz w:val="28"/>
        </w:rPr>
        <w:t>нефтепродукты, </w:t>
      </w:r>
      <w:r>
        <w:rPr>
          <w:i/>
          <w:spacing w:val="-4"/>
          <w:sz w:val="28"/>
        </w:rPr>
        <w:t>фенолы, индекс загрязнения.</w:t>
      </w:r>
    </w:p>
    <w:p>
      <w:pPr>
        <w:pStyle w:val="BodyText"/>
        <w:spacing w:before="4"/>
        <w:ind w:left="0"/>
        <w:jc w:val="left"/>
        <w:rPr>
          <w:i/>
        </w:rPr>
      </w:pPr>
    </w:p>
    <w:p>
      <w:pPr>
        <w:pStyle w:val="Heading1"/>
        <w:ind w:left="2344" w:right="799" w:hanging="922"/>
        <w:jc w:val="left"/>
      </w:pPr>
      <w:r>
        <w:rPr>
          <w:spacing w:val="-4"/>
        </w:rPr>
        <w:t>EVALUATION </w:t>
      </w:r>
      <w:r>
        <w:rPr>
          <w:spacing w:val="-3"/>
        </w:rPr>
        <w:t>OF </w:t>
      </w:r>
      <w:r>
        <w:rPr/>
        <w:t>THE</w:t>
      </w:r>
      <w:r>
        <w:rPr>
          <w:spacing w:val="-51"/>
        </w:rPr>
        <w:t> </w:t>
      </w:r>
      <w:r>
        <w:rPr>
          <w:spacing w:val="-4"/>
        </w:rPr>
        <w:t>QUALITY </w:t>
      </w:r>
      <w:r>
        <w:rPr>
          <w:spacing w:val="-3"/>
        </w:rPr>
        <w:t>OF </w:t>
      </w:r>
      <w:r>
        <w:rPr>
          <w:spacing w:val="-4"/>
        </w:rPr>
        <w:t>WATER </w:t>
      </w:r>
      <w:r>
        <w:rPr>
          <w:spacing w:val="-3"/>
        </w:rPr>
        <w:t>OF TUZLOVSK </w:t>
      </w:r>
      <w:r>
        <w:rPr>
          <w:spacing w:val="-4"/>
        </w:rPr>
        <w:t>LYMANS </w:t>
      </w:r>
      <w:r>
        <w:rPr>
          <w:spacing w:val="-3"/>
        </w:rPr>
        <w:t>FOR INDEX OF WATER </w:t>
      </w:r>
      <w:r>
        <w:rPr>
          <w:spacing w:val="-4"/>
        </w:rPr>
        <w:t>POLLUTION</w:t>
      </w:r>
    </w:p>
    <w:p>
      <w:pPr>
        <w:pStyle w:val="BodyText"/>
        <w:spacing w:line="316" w:lineRule="exact"/>
        <w:ind w:left="3574"/>
      </w:pPr>
      <w:r>
        <w:rPr/>
        <w:t>Sachenko I. , Volkodav G.</w:t>
      </w:r>
    </w:p>
    <w:p>
      <w:pPr>
        <w:spacing w:line="240" w:lineRule="auto" w:before="0"/>
        <w:ind w:left="193" w:right="607" w:firstLine="705"/>
        <w:jc w:val="both"/>
        <w:rPr>
          <w:i/>
          <w:sz w:val="28"/>
        </w:rPr>
      </w:pPr>
      <w:r>
        <w:rPr>
          <w:i/>
          <w:spacing w:val="-4"/>
          <w:sz w:val="28"/>
        </w:rPr>
        <w:t>The state </w:t>
      </w:r>
      <w:r>
        <w:rPr>
          <w:i/>
          <w:spacing w:val="-3"/>
          <w:sz w:val="28"/>
        </w:rPr>
        <w:t>of </w:t>
      </w:r>
      <w:r>
        <w:rPr>
          <w:i/>
          <w:sz w:val="28"/>
        </w:rPr>
        <w:t>the </w:t>
      </w:r>
      <w:r>
        <w:rPr>
          <w:i/>
          <w:spacing w:val="-4"/>
          <w:sz w:val="28"/>
        </w:rPr>
        <w:t>aquatic ecosystem </w:t>
      </w:r>
      <w:r>
        <w:rPr>
          <w:i/>
          <w:sz w:val="28"/>
        </w:rPr>
        <w:t>of </w:t>
      </w:r>
      <w:r>
        <w:rPr>
          <w:i/>
          <w:spacing w:val="-4"/>
          <w:sz w:val="28"/>
        </w:rPr>
        <w:t>the </w:t>
      </w:r>
      <w:r>
        <w:rPr>
          <w:i/>
          <w:spacing w:val="-5"/>
          <w:sz w:val="28"/>
        </w:rPr>
        <w:t>Tuzla </w:t>
      </w:r>
      <w:r>
        <w:rPr>
          <w:i/>
          <w:spacing w:val="-3"/>
          <w:sz w:val="28"/>
        </w:rPr>
        <w:t>group of </w:t>
      </w:r>
      <w:r>
        <w:rPr>
          <w:i/>
          <w:spacing w:val="-4"/>
          <w:sz w:val="28"/>
        </w:rPr>
        <w:t>estuaries </w:t>
      </w:r>
      <w:r>
        <w:rPr>
          <w:i/>
          <w:spacing w:val="-5"/>
          <w:sz w:val="28"/>
        </w:rPr>
        <w:t>reflects </w:t>
      </w:r>
      <w:r>
        <w:rPr>
          <w:i/>
          <w:sz w:val="28"/>
        </w:rPr>
        <w:t>an </w:t>
      </w:r>
      <w:r>
        <w:rPr>
          <w:i/>
          <w:spacing w:val="-4"/>
          <w:sz w:val="28"/>
        </w:rPr>
        <w:t>increase </w:t>
      </w:r>
      <w:r>
        <w:rPr>
          <w:i/>
          <w:sz w:val="28"/>
        </w:rPr>
        <w:t>in </w:t>
      </w:r>
      <w:r>
        <w:rPr>
          <w:i/>
          <w:spacing w:val="-4"/>
          <w:sz w:val="28"/>
        </w:rPr>
        <w:t>the man-caused load, which predetermines the process </w:t>
      </w:r>
      <w:r>
        <w:rPr>
          <w:i/>
          <w:sz w:val="28"/>
        </w:rPr>
        <w:t>of </w:t>
      </w:r>
      <w:r>
        <w:rPr>
          <w:i/>
          <w:spacing w:val="-4"/>
          <w:sz w:val="28"/>
        </w:rPr>
        <w:t>its degradation. Thus, </w:t>
      </w:r>
      <w:r>
        <w:rPr>
          <w:i/>
          <w:spacing w:val="-3"/>
          <w:sz w:val="28"/>
        </w:rPr>
        <w:t>at </w:t>
      </w:r>
      <w:r>
        <w:rPr>
          <w:i/>
          <w:spacing w:val="-4"/>
          <w:sz w:val="28"/>
        </w:rPr>
        <w:t>the </w:t>
      </w:r>
      <w:r>
        <w:rPr>
          <w:i/>
          <w:spacing w:val="-3"/>
          <w:sz w:val="28"/>
        </w:rPr>
        <w:t>present stage, </w:t>
      </w:r>
      <w:r>
        <w:rPr>
          <w:i/>
          <w:spacing w:val="-4"/>
          <w:sz w:val="28"/>
        </w:rPr>
        <w:t>the </w:t>
      </w:r>
      <w:r>
        <w:rPr>
          <w:i/>
          <w:spacing w:val="-3"/>
          <w:sz w:val="28"/>
        </w:rPr>
        <w:t>natural </w:t>
      </w:r>
      <w:r>
        <w:rPr>
          <w:i/>
          <w:spacing w:val="-4"/>
          <w:sz w:val="28"/>
        </w:rPr>
        <w:t>conditions </w:t>
      </w:r>
      <w:r>
        <w:rPr>
          <w:i/>
          <w:spacing w:val="-3"/>
          <w:sz w:val="28"/>
        </w:rPr>
        <w:t>of </w:t>
      </w:r>
      <w:r>
        <w:rPr>
          <w:i/>
          <w:spacing w:val="-4"/>
          <w:sz w:val="28"/>
        </w:rPr>
        <w:t>the estuaries </w:t>
      </w:r>
      <w:r>
        <w:rPr>
          <w:i/>
          <w:sz w:val="28"/>
        </w:rPr>
        <w:t>of </w:t>
      </w:r>
      <w:r>
        <w:rPr>
          <w:i/>
          <w:spacing w:val="-4"/>
          <w:sz w:val="28"/>
        </w:rPr>
        <w:t>the </w:t>
      </w:r>
      <w:r>
        <w:rPr>
          <w:i/>
          <w:spacing w:val="-3"/>
          <w:sz w:val="28"/>
        </w:rPr>
        <w:t>north-western </w:t>
      </w:r>
      <w:r>
        <w:rPr>
          <w:i/>
          <w:spacing w:val="-4"/>
          <w:sz w:val="28"/>
        </w:rPr>
        <w:t>Black </w:t>
      </w:r>
      <w:r>
        <w:rPr>
          <w:i/>
          <w:sz w:val="28"/>
        </w:rPr>
        <w:t>Sea </w:t>
      </w:r>
      <w:r>
        <w:rPr>
          <w:i/>
          <w:spacing w:val="-3"/>
          <w:sz w:val="28"/>
        </w:rPr>
        <w:t>coast are </w:t>
      </w:r>
      <w:r>
        <w:rPr>
          <w:i/>
          <w:spacing w:val="-4"/>
          <w:sz w:val="28"/>
        </w:rPr>
        <w:t>characterized </w:t>
      </w:r>
      <w:r>
        <w:rPr>
          <w:i/>
          <w:spacing w:val="-3"/>
          <w:sz w:val="28"/>
        </w:rPr>
        <w:t>by </w:t>
      </w:r>
      <w:r>
        <w:rPr>
          <w:i/>
          <w:spacing w:val="-4"/>
          <w:sz w:val="28"/>
        </w:rPr>
        <w:t>widespread anthropogenic transformations. </w:t>
      </w:r>
      <w:r>
        <w:rPr>
          <w:i/>
          <w:spacing w:val="-3"/>
          <w:sz w:val="28"/>
        </w:rPr>
        <w:t>The </w:t>
      </w:r>
      <w:r>
        <w:rPr>
          <w:i/>
          <w:spacing w:val="-4"/>
          <w:sz w:val="28"/>
        </w:rPr>
        <w:t>most</w:t>
      </w:r>
      <w:r>
        <w:rPr>
          <w:i/>
          <w:spacing w:val="-20"/>
          <w:sz w:val="28"/>
        </w:rPr>
        <w:t> </w:t>
      </w:r>
      <w:r>
        <w:rPr>
          <w:i/>
          <w:spacing w:val="-3"/>
          <w:sz w:val="28"/>
        </w:rPr>
        <w:t>massive</w:t>
      </w:r>
      <w:r>
        <w:rPr>
          <w:i/>
          <w:spacing w:val="-17"/>
          <w:sz w:val="28"/>
        </w:rPr>
        <w:t> </w:t>
      </w:r>
      <w:r>
        <w:rPr>
          <w:i/>
          <w:spacing w:val="-3"/>
          <w:sz w:val="28"/>
        </w:rPr>
        <w:t>type</w:t>
      </w:r>
      <w:r>
        <w:rPr>
          <w:i/>
          <w:spacing w:val="-17"/>
          <w:sz w:val="28"/>
        </w:rPr>
        <w:t> </w:t>
      </w:r>
      <w:r>
        <w:rPr>
          <w:i/>
          <w:sz w:val="28"/>
        </w:rPr>
        <w:t>of</w:t>
      </w:r>
      <w:r>
        <w:rPr>
          <w:i/>
          <w:spacing w:val="-19"/>
          <w:sz w:val="28"/>
        </w:rPr>
        <w:t> </w:t>
      </w:r>
      <w:r>
        <w:rPr>
          <w:i/>
          <w:spacing w:val="-4"/>
          <w:sz w:val="28"/>
        </w:rPr>
        <w:t>anthropogenic</w:t>
      </w:r>
      <w:r>
        <w:rPr>
          <w:i/>
          <w:spacing w:val="-14"/>
          <w:sz w:val="28"/>
        </w:rPr>
        <w:t> </w:t>
      </w:r>
      <w:r>
        <w:rPr>
          <w:i/>
          <w:spacing w:val="-4"/>
          <w:sz w:val="28"/>
        </w:rPr>
        <w:t>impact</w:t>
      </w:r>
      <w:r>
        <w:rPr>
          <w:i/>
          <w:spacing w:val="-19"/>
          <w:sz w:val="28"/>
        </w:rPr>
        <w:t> </w:t>
      </w:r>
      <w:r>
        <w:rPr>
          <w:i/>
          <w:sz w:val="28"/>
        </w:rPr>
        <w:t>on</w:t>
      </w:r>
      <w:r>
        <w:rPr>
          <w:i/>
          <w:spacing w:val="-19"/>
          <w:sz w:val="28"/>
        </w:rPr>
        <w:t> </w:t>
      </w:r>
      <w:r>
        <w:rPr>
          <w:i/>
          <w:spacing w:val="-4"/>
          <w:sz w:val="28"/>
        </w:rPr>
        <w:t>estuaries</w:t>
      </w:r>
      <w:r>
        <w:rPr>
          <w:i/>
          <w:spacing w:val="-18"/>
          <w:sz w:val="28"/>
        </w:rPr>
        <w:t> </w:t>
      </w:r>
      <w:r>
        <w:rPr>
          <w:i/>
          <w:spacing w:val="-3"/>
          <w:sz w:val="28"/>
        </w:rPr>
        <w:t>is</w:t>
      </w:r>
      <w:r>
        <w:rPr>
          <w:i/>
          <w:spacing w:val="-17"/>
          <w:sz w:val="28"/>
        </w:rPr>
        <w:t> </w:t>
      </w:r>
      <w:r>
        <w:rPr>
          <w:i/>
          <w:spacing w:val="-4"/>
          <w:sz w:val="28"/>
        </w:rPr>
        <w:t>agriculture.</w:t>
      </w:r>
      <w:r>
        <w:rPr>
          <w:i/>
          <w:spacing w:val="-12"/>
          <w:sz w:val="28"/>
        </w:rPr>
        <w:t> </w:t>
      </w:r>
      <w:r>
        <w:rPr>
          <w:i/>
          <w:spacing w:val="-4"/>
          <w:sz w:val="28"/>
        </w:rPr>
        <w:t>In</w:t>
      </w:r>
      <w:r>
        <w:rPr>
          <w:i/>
          <w:spacing w:val="-19"/>
          <w:sz w:val="28"/>
        </w:rPr>
        <w:t> </w:t>
      </w:r>
      <w:r>
        <w:rPr>
          <w:i/>
          <w:spacing w:val="-4"/>
          <w:sz w:val="28"/>
        </w:rPr>
        <w:t>connection</w:t>
      </w:r>
      <w:r>
        <w:rPr>
          <w:i/>
          <w:spacing w:val="-15"/>
          <w:sz w:val="28"/>
        </w:rPr>
        <w:t> </w:t>
      </w:r>
      <w:r>
        <w:rPr>
          <w:i/>
          <w:spacing w:val="-3"/>
          <w:sz w:val="28"/>
        </w:rPr>
        <w:t>with </w:t>
      </w:r>
      <w:r>
        <w:rPr>
          <w:i/>
          <w:spacing w:val="-4"/>
          <w:sz w:val="28"/>
        </w:rPr>
        <w:t>the intensification </w:t>
      </w:r>
      <w:r>
        <w:rPr>
          <w:i/>
          <w:spacing w:val="-3"/>
          <w:sz w:val="28"/>
        </w:rPr>
        <w:t>of </w:t>
      </w:r>
      <w:r>
        <w:rPr>
          <w:i/>
          <w:spacing w:val="-4"/>
          <w:sz w:val="28"/>
        </w:rPr>
        <w:t>agricultural production, the </w:t>
      </w:r>
      <w:r>
        <w:rPr>
          <w:i/>
          <w:spacing w:val="-3"/>
          <w:sz w:val="28"/>
        </w:rPr>
        <w:t>area </w:t>
      </w:r>
      <w:r>
        <w:rPr>
          <w:i/>
          <w:sz w:val="28"/>
        </w:rPr>
        <w:t>of </w:t>
      </w:r>
      <w:r>
        <w:rPr>
          <w:i/>
          <w:spacing w:val="-4"/>
          <w:sz w:val="28"/>
        </w:rPr>
        <w:t>eroded lands increased</w:t>
      </w:r>
      <w:r>
        <w:rPr>
          <w:i/>
          <w:spacing w:val="62"/>
          <w:sz w:val="28"/>
        </w:rPr>
        <w:t> </w:t>
      </w:r>
      <w:r>
        <w:rPr>
          <w:i/>
          <w:spacing w:val="-4"/>
          <w:sz w:val="28"/>
        </w:rPr>
        <w:t>dramatically</w:t>
      </w:r>
      <w:r>
        <w:rPr>
          <w:i/>
          <w:spacing w:val="-24"/>
          <w:sz w:val="28"/>
        </w:rPr>
        <w:t> </w:t>
      </w:r>
      <w:r>
        <w:rPr>
          <w:i/>
          <w:sz w:val="28"/>
        </w:rPr>
        <w:t>and</w:t>
      </w:r>
      <w:r>
        <w:rPr>
          <w:i/>
          <w:spacing w:val="-24"/>
          <w:sz w:val="28"/>
        </w:rPr>
        <w:t> </w:t>
      </w:r>
      <w:r>
        <w:rPr>
          <w:i/>
          <w:sz w:val="28"/>
        </w:rPr>
        <w:t>the</w:t>
      </w:r>
      <w:r>
        <w:rPr>
          <w:i/>
          <w:spacing w:val="-24"/>
          <w:sz w:val="28"/>
        </w:rPr>
        <w:t> </w:t>
      </w:r>
      <w:r>
        <w:rPr>
          <w:i/>
          <w:spacing w:val="-4"/>
          <w:sz w:val="28"/>
        </w:rPr>
        <w:t>river</w:t>
      </w:r>
      <w:r>
        <w:rPr>
          <w:i/>
          <w:spacing w:val="-22"/>
          <w:sz w:val="28"/>
        </w:rPr>
        <w:t> </w:t>
      </w:r>
      <w:r>
        <w:rPr>
          <w:i/>
          <w:spacing w:val="-4"/>
          <w:sz w:val="28"/>
        </w:rPr>
        <w:t>network</w:t>
      </w:r>
      <w:r>
        <w:rPr>
          <w:i/>
          <w:spacing w:val="-23"/>
          <w:sz w:val="28"/>
        </w:rPr>
        <w:t> </w:t>
      </w:r>
      <w:r>
        <w:rPr>
          <w:i/>
          <w:spacing w:val="-3"/>
          <w:sz w:val="28"/>
        </w:rPr>
        <w:t>of</w:t>
      </w:r>
      <w:r>
        <w:rPr>
          <w:i/>
          <w:spacing w:val="-26"/>
          <w:sz w:val="28"/>
        </w:rPr>
        <w:t> </w:t>
      </w:r>
      <w:r>
        <w:rPr>
          <w:i/>
          <w:spacing w:val="-3"/>
          <w:sz w:val="28"/>
        </w:rPr>
        <w:t>products</w:t>
      </w:r>
      <w:r>
        <w:rPr>
          <w:i/>
          <w:spacing w:val="-23"/>
          <w:sz w:val="28"/>
        </w:rPr>
        <w:t> </w:t>
      </w:r>
      <w:r>
        <w:rPr>
          <w:i/>
          <w:spacing w:val="-3"/>
          <w:sz w:val="28"/>
        </w:rPr>
        <w:t>of</w:t>
      </w:r>
      <w:r>
        <w:rPr>
          <w:i/>
          <w:spacing w:val="-26"/>
          <w:sz w:val="28"/>
        </w:rPr>
        <w:t> </w:t>
      </w:r>
      <w:r>
        <w:rPr>
          <w:i/>
          <w:spacing w:val="-4"/>
          <w:sz w:val="28"/>
        </w:rPr>
        <w:t>erosion</w:t>
      </w:r>
      <w:r>
        <w:rPr>
          <w:i/>
          <w:spacing w:val="-20"/>
          <w:sz w:val="28"/>
        </w:rPr>
        <w:t> </w:t>
      </w:r>
      <w:r>
        <w:rPr>
          <w:i/>
          <w:spacing w:val="-4"/>
          <w:sz w:val="28"/>
        </w:rPr>
        <w:t>washed</w:t>
      </w:r>
      <w:r>
        <w:rPr>
          <w:i/>
          <w:spacing w:val="-24"/>
          <w:sz w:val="28"/>
        </w:rPr>
        <w:t> </w:t>
      </w:r>
      <w:r>
        <w:rPr>
          <w:i/>
          <w:spacing w:val="-3"/>
          <w:sz w:val="28"/>
        </w:rPr>
        <w:t>out,</w:t>
      </w:r>
      <w:r>
        <w:rPr>
          <w:i/>
          <w:spacing w:val="-23"/>
          <w:sz w:val="28"/>
        </w:rPr>
        <w:t> </w:t>
      </w:r>
      <w:r>
        <w:rPr>
          <w:i/>
          <w:spacing w:val="-4"/>
          <w:sz w:val="28"/>
        </w:rPr>
        <w:t>including</w:t>
      </w:r>
      <w:r>
        <w:rPr>
          <w:i/>
          <w:spacing w:val="-24"/>
          <w:sz w:val="28"/>
        </w:rPr>
        <w:t> </w:t>
      </w:r>
      <w:r>
        <w:rPr>
          <w:i/>
          <w:spacing w:val="-4"/>
          <w:sz w:val="28"/>
        </w:rPr>
        <w:t>pesticides and</w:t>
      </w:r>
      <w:r>
        <w:rPr>
          <w:i/>
          <w:spacing w:val="-20"/>
          <w:sz w:val="28"/>
        </w:rPr>
        <w:t> </w:t>
      </w:r>
      <w:r>
        <w:rPr>
          <w:i/>
          <w:spacing w:val="-4"/>
          <w:sz w:val="28"/>
        </w:rPr>
        <w:t>fertilizers.</w:t>
      </w:r>
      <w:r>
        <w:rPr>
          <w:i/>
          <w:spacing w:val="-20"/>
          <w:sz w:val="28"/>
        </w:rPr>
        <w:t> </w:t>
      </w:r>
      <w:r>
        <w:rPr>
          <w:i/>
          <w:spacing w:val="-4"/>
          <w:sz w:val="28"/>
        </w:rPr>
        <w:t>In</w:t>
      </w:r>
      <w:r>
        <w:rPr>
          <w:i/>
          <w:spacing w:val="-20"/>
          <w:sz w:val="28"/>
        </w:rPr>
        <w:t> </w:t>
      </w:r>
      <w:r>
        <w:rPr>
          <w:i/>
          <w:spacing w:val="-4"/>
          <w:sz w:val="28"/>
        </w:rPr>
        <w:t>addition,</w:t>
      </w:r>
      <w:r>
        <w:rPr>
          <w:i/>
          <w:spacing w:val="-16"/>
          <w:sz w:val="28"/>
        </w:rPr>
        <w:t> </w:t>
      </w:r>
      <w:r>
        <w:rPr>
          <w:i/>
          <w:spacing w:val="-3"/>
          <w:sz w:val="28"/>
        </w:rPr>
        <w:t>in</w:t>
      </w:r>
      <w:r>
        <w:rPr>
          <w:i/>
          <w:spacing w:val="-19"/>
          <w:sz w:val="28"/>
        </w:rPr>
        <w:t> </w:t>
      </w:r>
      <w:r>
        <w:rPr>
          <w:i/>
          <w:spacing w:val="-4"/>
          <w:sz w:val="28"/>
        </w:rPr>
        <w:t>the</w:t>
      </w:r>
      <w:r>
        <w:rPr>
          <w:i/>
          <w:spacing w:val="-18"/>
          <w:sz w:val="28"/>
        </w:rPr>
        <w:t> </w:t>
      </w:r>
      <w:r>
        <w:rPr>
          <w:i/>
          <w:spacing w:val="-4"/>
          <w:sz w:val="28"/>
        </w:rPr>
        <w:t>water</w:t>
      </w:r>
      <w:r>
        <w:rPr>
          <w:i/>
          <w:spacing w:val="-21"/>
          <w:sz w:val="28"/>
        </w:rPr>
        <w:t> </w:t>
      </w:r>
      <w:r>
        <w:rPr>
          <w:i/>
          <w:spacing w:val="-4"/>
          <w:sz w:val="28"/>
        </w:rPr>
        <w:t>facilities</w:t>
      </w:r>
      <w:r>
        <w:rPr>
          <w:i/>
          <w:spacing w:val="-22"/>
          <w:sz w:val="28"/>
        </w:rPr>
        <w:t> </w:t>
      </w:r>
      <w:r>
        <w:rPr>
          <w:i/>
          <w:spacing w:val="-3"/>
          <w:sz w:val="28"/>
        </w:rPr>
        <w:t>of</w:t>
      </w:r>
      <w:r>
        <w:rPr>
          <w:i/>
          <w:spacing w:val="-19"/>
          <w:sz w:val="28"/>
        </w:rPr>
        <w:t> </w:t>
      </w:r>
      <w:r>
        <w:rPr>
          <w:i/>
          <w:spacing w:val="-4"/>
          <w:sz w:val="28"/>
        </w:rPr>
        <w:t>the</w:t>
      </w:r>
      <w:r>
        <w:rPr>
          <w:i/>
          <w:spacing w:val="-22"/>
          <w:sz w:val="28"/>
        </w:rPr>
        <w:t> </w:t>
      </w:r>
      <w:r>
        <w:rPr>
          <w:i/>
          <w:spacing w:val="-3"/>
          <w:sz w:val="28"/>
        </w:rPr>
        <w:t>region,</w:t>
      </w:r>
      <w:r>
        <w:rPr>
          <w:i/>
          <w:spacing w:val="-17"/>
          <w:sz w:val="28"/>
        </w:rPr>
        <w:t> </w:t>
      </w:r>
      <w:r>
        <w:rPr>
          <w:i/>
          <w:spacing w:val="-4"/>
          <w:sz w:val="28"/>
        </w:rPr>
        <w:t>which</w:t>
      </w:r>
      <w:r>
        <w:rPr>
          <w:i/>
          <w:spacing w:val="-23"/>
          <w:sz w:val="28"/>
        </w:rPr>
        <w:t> </w:t>
      </w:r>
      <w:r>
        <w:rPr>
          <w:i/>
          <w:spacing w:val="-3"/>
          <w:sz w:val="28"/>
        </w:rPr>
        <w:t>feed</w:t>
      </w:r>
      <w:r>
        <w:rPr>
          <w:i/>
          <w:spacing w:val="-23"/>
          <w:sz w:val="28"/>
        </w:rPr>
        <w:t> </w:t>
      </w:r>
      <w:r>
        <w:rPr>
          <w:i/>
          <w:spacing w:val="-3"/>
          <w:sz w:val="28"/>
        </w:rPr>
        <w:t>on</w:t>
      </w:r>
      <w:r>
        <w:rPr>
          <w:i/>
          <w:spacing w:val="-20"/>
          <w:sz w:val="28"/>
        </w:rPr>
        <w:t> </w:t>
      </w:r>
      <w:r>
        <w:rPr>
          <w:i/>
          <w:spacing w:val="-4"/>
          <w:sz w:val="28"/>
        </w:rPr>
        <w:t>the</w:t>
      </w:r>
      <w:r>
        <w:rPr>
          <w:i/>
          <w:spacing w:val="-18"/>
          <w:sz w:val="28"/>
        </w:rPr>
        <w:t> </w:t>
      </w:r>
      <w:r>
        <w:rPr>
          <w:i/>
          <w:spacing w:val="-4"/>
          <w:sz w:val="28"/>
        </w:rPr>
        <w:t>estuaries, </w:t>
      </w:r>
      <w:r>
        <w:rPr>
          <w:i/>
          <w:sz w:val="28"/>
        </w:rPr>
        <w:t>a </w:t>
      </w:r>
      <w:r>
        <w:rPr>
          <w:i/>
          <w:spacing w:val="-4"/>
          <w:sz w:val="28"/>
        </w:rPr>
        <w:t>regular discharge </w:t>
      </w:r>
      <w:r>
        <w:rPr>
          <w:i/>
          <w:spacing w:val="-3"/>
          <w:sz w:val="28"/>
        </w:rPr>
        <w:t>of </w:t>
      </w:r>
      <w:r>
        <w:rPr>
          <w:i/>
          <w:spacing w:val="-4"/>
          <w:sz w:val="28"/>
        </w:rPr>
        <w:t>sewage </w:t>
      </w:r>
      <w:r>
        <w:rPr>
          <w:i/>
          <w:spacing w:val="-3"/>
          <w:sz w:val="28"/>
        </w:rPr>
        <w:t>is </w:t>
      </w:r>
      <w:r>
        <w:rPr>
          <w:i/>
          <w:spacing w:val="-4"/>
          <w:sz w:val="28"/>
        </w:rPr>
        <w:t>carried out. The estimation </w:t>
      </w:r>
      <w:r>
        <w:rPr>
          <w:i/>
          <w:spacing w:val="-3"/>
          <w:sz w:val="28"/>
        </w:rPr>
        <w:t>of </w:t>
      </w:r>
      <w:r>
        <w:rPr>
          <w:i/>
          <w:spacing w:val="-4"/>
          <w:sz w:val="28"/>
        </w:rPr>
        <w:t>water quality </w:t>
      </w:r>
      <w:r>
        <w:rPr>
          <w:i/>
          <w:spacing w:val="-3"/>
          <w:sz w:val="28"/>
        </w:rPr>
        <w:t>of </w:t>
      </w:r>
      <w:r>
        <w:rPr>
          <w:i/>
          <w:spacing w:val="-4"/>
          <w:sz w:val="28"/>
        </w:rPr>
        <w:t>the estuaries </w:t>
      </w:r>
      <w:r>
        <w:rPr>
          <w:i/>
          <w:spacing w:val="-3"/>
          <w:sz w:val="28"/>
        </w:rPr>
        <w:t>of </w:t>
      </w:r>
      <w:r>
        <w:rPr>
          <w:i/>
          <w:spacing w:val="-4"/>
          <w:sz w:val="28"/>
        </w:rPr>
        <w:t>the Tuzlova group according </w:t>
      </w:r>
      <w:r>
        <w:rPr>
          <w:i/>
          <w:spacing w:val="-3"/>
          <w:sz w:val="28"/>
        </w:rPr>
        <w:t>to </w:t>
      </w:r>
      <w:r>
        <w:rPr>
          <w:i/>
          <w:spacing w:val="-4"/>
          <w:sz w:val="28"/>
        </w:rPr>
        <w:t>the </w:t>
      </w:r>
      <w:r>
        <w:rPr>
          <w:i/>
          <w:spacing w:val="-3"/>
          <w:sz w:val="28"/>
        </w:rPr>
        <w:t>index of </w:t>
      </w:r>
      <w:r>
        <w:rPr>
          <w:i/>
          <w:spacing w:val="-4"/>
          <w:sz w:val="28"/>
        </w:rPr>
        <w:t>water pollution </w:t>
      </w:r>
      <w:r>
        <w:rPr>
          <w:i/>
          <w:spacing w:val="-3"/>
          <w:sz w:val="28"/>
        </w:rPr>
        <w:t>was carried </w:t>
      </w:r>
      <w:r>
        <w:rPr>
          <w:i/>
          <w:sz w:val="28"/>
        </w:rPr>
        <w:t>out </w:t>
      </w:r>
      <w:r>
        <w:rPr>
          <w:i/>
          <w:spacing w:val="-3"/>
          <w:sz w:val="28"/>
        </w:rPr>
        <w:t>in </w:t>
      </w:r>
      <w:r>
        <w:rPr>
          <w:i/>
          <w:spacing w:val="-4"/>
          <w:sz w:val="28"/>
        </w:rPr>
        <w:t>the </w:t>
      </w:r>
      <w:r>
        <w:rPr>
          <w:i/>
          <w:spacing w:val="-5"/>
          <w:sz w:val="28"/>
        </w:rPr>
        <w:t>work. </w:t>
      </w:r>
      <w:r>
        <w:rPr>
          <w:i/>
          <w:spacing w:val="-3"/>
          <w:sz w:val="28"/>
        </w:rPr>
        <w:t>The </w:t>
      </w:r>
      <w:r>
        <w:rPr>
          <w:i/>
          <w:spacing w:val="-4"/>
          <w:sz w:val="28"/>
        </w:rPr>
        <w:t>assessment </w:t>
      </w:r>
      <w:r>
        <w:rPr>
          <w:i/>
          <w:sz w:val="28"/>
        </w:rPr>
        <w:t>of </w:t>
      </w:r>
      <w:r>
        <w:rPr>
          <w:i/>
          <w:spacing w:val="-5"/>
          <w:sz w:val="28"/>
        </w:rPr>
        <w:t>water </w:t>
      </w:r>
      <w:r>
        <w:rPr>
          <w:i/>
          <w:spacing w:val="-3"/>
          <w:sz w:val="28"/>
        </w:rPr>
        <w:t>quality </w:t>
      </w:r>
      <w:r>
        <w:rPr>
          <w:i/>
          <w:spacing w:val="-6"/>
          <w:sz w:val="28"/>
        </w:rPr>
        <w:t>was </w:t>
      </w:r>
      <w:r>
        <w:rPr>
          <w:i/>
          <w:spacing w:val="-3"/>
          <w:sz w:val="28"/>
        </w:rPr>
        <w:t>carried </w:t>
      </w:r>
      <w:r>
        <w:rPr>
          <w:i/>
          <w:spacing w:val="-4"/>
          <w:sz w:val="28"/>
        </w:rPr>
        <w:t>out </w:t>
      </w:r>
      <w:r>
        <w:rPr>
          <w:i/>
          <w:sz w:val="28"/>
        </w:rPr>
        <w:t>for </w:t>
      </w:r>
      <w:r>
        <w:rPr>
          <w:i/>
          <w:spacing w:val="-4"/>
          <w:sz w:val="28"/>
        </w:rPr>
        <w:t>RBMs for </w:t>
      </w:r>
      <w:r>
        <w:rPr>
          <w:i/>
          <w:spacing w:val="-3"/>
          <w:sz w:val="28"/>
        </w:rPr>
        <w:t>fish-based </w:t>
      </w:r>
      <w:r>
        <w:rPr>
          <w:i/>
          <w:spacing w:val="-4"/>
          <w:sz w:val="28"/>
        </w:rPr>
        <w:t>MACs. The most </w:t>
      </w:r>
      <w:r>
        <w:rPr>
          <w:i/>
          <w:spacing w:val="-3"/>
          <w:sz w:val="28"/>
        </w:rPr>
        <w:t>common </w:t>
      </w:r>
      <w:r>
        <w:rPr>
          <w:i/>
          <w:spacing w:val="-4"/>
          <w:sz w:val="28"/>
        </w:rPr>
        <w:t>pollutants </w:t>
      </w:r>
      <w:r>
        <w:rPr>
          <w:i/>
          <w:spacing w:val="-3"/>
          <w:sz w:val="28"/>
        </w:rPr>
        <w:t>are </w:t>
      </w:r>
      <w:r>
        <w:rPr>
          <w:i/>
          <w:spacing w:val="-4"/>
          <w:sz w:val="28"/>
        </w:rPr>
        <w:t>phenols and total </w:t>
      </w:r>
      <w:r>
        <w:rPr>
          <w:i/>
          <w:spacing w:val="-3"/>
          <w:sz w:val="28"/>
        </w:rPr>
        <w:t>phosphorus; </w:t>
      </w:r>
      <w:r>
        <w:rPr>
          <w:i/>
          <w:spacing w:val="-4"/>
          <w:sz w:val="28"/>
        </w:rPr>
        <w:t>the excess </w:t>
      </w:r>
      <w:r>
        <w:rPr>
          <w:i/>
          <w:sz w:val="28"/>
        </w:rPr>
        <w:t>of </w:t>
      </w:r>
      <w:r>
        <w:rPr>
          <w:i/>
          <w:spacing w:val="-4"/>
          <w:sz w:val="28"/>
        </w:rPr>
        <w:t>organic</w:t>
      </w:r>
      <w:r>
        <w:rPr>
          <w:i/>
          <w:spacing w:val="-10"/>
          <w:sz w:val="28"/>
        </w:rPr>
        <w:t> </w:t>
      </w:r>
      <w:r>
        <w:rPr>
          <w:i/>
          <w:spacing w:val="-4"/>
          <w:sz w:val="28"/>
        </w:rPr>
        <w:t>substances</w:t>
      </w:r>
      <w:r>
        <w:rPr>
          <w:i/>
          <w:spacing w:val="-9"/>
          <w:sz w:val="28"/>
        </w:rPr>
        <w:t> </w:t>
      </w:r>
      <w:r>
        <w:rPr>
          <w:i/>
          <w:spacing w:val="-4"/>
          <w:sz w:val="28"/>
        </w:rPr>
        <w:t>from</w:t>
      </w:r>
      <w:r>
        <w:rPr>
          <w:i/>
          <w:spacing w:val="-6"/>
          <w:sz w:val="28"/>
        </w:rPr>
        <w:t> </w:t>
      </w:r>
      <w:r>
        <w:rPr>
          <w:i/>
          <w:spacing w:val="-3"/>
          <w:sz w:val="28"/>
        </w:rPr>
        <w:t>BSK5</w:t>
      </w:r>
      <w:r>
        <w:rPr>
          <w:i/>
          <w:spacing w:val="-10"/>
          <w:sz w:val="28"/>
        </w:rPr>
        <w:t> </w:t>
      </w:r>
      <w:r>
        <w:rPr>
          <w:i/>
          <w:spacing w:val="-3"/>
          <w:sz w:val="28"/>
        </w:rPr>
        <w:t>in</w:t>
      </w:r>
      <w:r>
        <w:rPr>
          <w:i/>
          <w:spacing w:val="-11"/>
          <w:sz w:val="28"/>
        </w:rPr>
        <w:t> </w:t>
      </w:r>
      <w:r>
        <w:rPr>
          <w:i/>
          <w:sz w:val="28"/>
        </w:rPr>
        <w:t>the</w:t>
      </w:r>
      <w:r>
        <w:rPr>
          <w:i/>
          <w:spacing w:val="-5"/>
          <w:sz w:val="28"/>
        </w:rPr>
        <w:t> waters</w:t>
      </w:r>
      <w:r>
        <w:rPr>
          <w:i/>
          <w:spacing w:val="-4"/>
          <w:sz w:val="28"/>
        </w:rPr>
        <w:t> </w:t>
      </w:r>
      <w:r>
        <w:rPr>
          <w:i/>
          <w:spacing w:val="-3"/>
          <w:sz w:val="28"/>
        </w:rPr>
        <w:t>of</w:t>
      </w:r>
      <w:r>
        <w:rPr>
          <w:i/>
          <w:spacing w:val="-12"/>
          <w:sz w:val="28"/>
        </w:rPr>
        <w:t> </w:t>
      </w:r>
      <w:r>
        <w:rPr>
          <w:i/>
          <w:spacing w:val="-4"/>
          <w:sz w:val="28"/>
        </w:rPr>
        <w:t>estuaries</w:t>
      </w:r>
      <w:r>
        <w:rPr>
          <w:i/>
          <w:spacing w:val="-8"/>
          <w:sz w:val="28"/>
        </w:rPr>
        <w:t> </w:t>
      </w:r>
      <w:r>
        <w:rPr>
          <w:i/>
          <w:spacing w:val="-3"/>
          <w:sz w:val="28"/>
        </w:rPr>
        <w:t>is</w:t>
      </w:r>
      <w:r>
        <w:rPr>
          <w:i/>
          <w:spacing w:val="-9"/>
          <w:sz w:val="28"/>
        </w:rPr>
        <w:t> </w:t>
      </w:r>
      <w:r>
        <w:rPr>
          <w:i/>
          <w:spacing w:val="-4"/>
          <w:sz w:val="28"/>
        </w:rPr>
        <w:t>not</w:t>
      </w:r>
      <w:r>
        <w:rPr>
          <w:i/>
          <w:spacing w:val="-12"/>
          <w:sz w:val="28"/>
        </w:rPr>
        <w:t> </w:t>
      </w:r>
      <w:r>
        <w:rPr>
          <w:i/>
          <w:spacing w:val="-4"/>
          <w:sz w:val="28"/>
        </w:rPr>
        <w:t>significant,</w:t>
      </w:r>
      <w:r>
        <w:rPr>
          <w:i/>
          <w:spacing w:val="-8"/>
          <w:sz w:val="28"/>
        </w:rPr>
        <w:t> </w:t>
      </w:r>
      <w:r>
        <w:rPr>
          <w:i/>
          <w:sz w:val="28"/>
        </w:rPr>
        <w:t>the</w:t>
      </w:r>
      <w:r>
        <w:rPr>
          <w:i/>
          <w:spacing w:val="-10"/>
          <w:sz w:val="28"/>
        </w:rPr>
        <w:t> </w:t>
      </w:r>
      <w:r>
        <w:rPr>
          <w:i/>
          <w:spacing w:val="-4"/>
          <w:sz w:val="28"/>
        </w:rPr>
        <w:t>reason</w:t>
      </w:r>
      <w:r>
        <w:rPr>
          <w:i/>
          <w:spacing w:val="-11"/>
          <w:sz w:val="28"/>
        </w:rPr>
        <w:t> </w:t>
      </w:r>
      <w:r>
        <w:rPr>
          <w:i/>
          <w:sz w:val="28"/>
        </w:rPr>
        <w:t>for </w:t>
      </w:r>
      <w:r>
        <w:rPr>
          <w:i/>
          <w:spacing w:val="-5"/>
          <w:sz w:val="28"/>
        </w:rPr>
        <w:t>this </w:t>
      </w:r>
      <w:r>
        <w:rPr>
          <w:i/>
          <w:spacing w:val="-4"/>
          <w:sz w:val="28"/>
        </w:rPr>
        <w:t>excess </w:t>
      </w:r>
      <w:r>
        <w:rPr>
          <w:i/>
          <w:spacing w:val="-3"/>
          <w:sz w:val="28"/>
        </w:rPr>
        <w:t>is </w:t>
      </w:r>
      <w:r>
        <w:rPr>
          <w:i/>
          <w:sz w:val="28"/>
        </w:rPr>
        <w:t>the </w:t>
      </w:r>
      <w:r>
        <w:rPr>
          <w:i/>
          <w:spacing w:val="-4"/>
          <w:sz w:val="28"/>
        </w:rPr>
        <w:t>discharge </w:t>
      </w:r>
      <w:r>
        <w:rPr>
          <w:i/>
          <w:sz w:val="28"/>
        </w:rPr>
        <w:t>of </w:t>
      </w:r>
      <w:r>
        <w:rPr>
          <w:i/>
          <w:spacing w:val="-4"/>
          <w:sz w:val="28"/>
        </w:rPr>
        <w:t>insufficiently treated household water. </w:t>
      </w:r>
      <w:r>
        <w:rPr>
          <w:i/>
          <w:spacing w:val="-3"/>
          <w:sz w:val="28"/>
        </w:rPr>
        <w:t>The purpose of </w:t>
      </w:r>
      <w:r>
        <w:rPr>
          <w:i/>
          <w:spacing w:val="-4"/>
          <w:sz w:val="28"/>
        </w:rPr>
        <w:t>the study </w:t>
      </w:r>
      <w:r>
        <w:rPr>
          <w:i/>
          <w:spacing w:val="-3"/>
          <w:sz w:val="28"/>
        </w:rPr>
        <w:t>is to study </w:t>
      </w:r>
      <w:r>
        <w:rPr>
          <w:i/>
          <w:sz w:val="28"/>
        </w:rPr>
        <w:t>the </w:t>
      </w:r>
      <w:r>
        <w:rPr>
          <w:i/>
          <w:spacing w:val="-4"/>
          <w:sz w:val="28"/>
        </w:rPr>
        <w:t>current </w:t>
      </w:r>
      <w:r>
        <w:rPr>
          <w:i/>
          <w:spacing w:val="-3"/>
          <w:sz w:val="28"/>
        </w:rPr>
        <w:t>state </w:t>
      </w:r>
      <w:r>
        <w:rPr>
          <w:i/>
          <w:sz w:val="28"/>
        </w:rPr>
        <w:t>of </w:t>
      </w:r>
      <w:r>
        <w:rPr>
          <w:i/>
          <w:spacing w:val="-4"/>
          <w:sz w:val="28"/>
        </w:rPr>
        <w:t>the </w:t>
      </w:r>
      <w:r>
        <w:rPr>
          <w:i/>
          <w:spacing w:val="-3"/>
          <w:sz w:val="28"/>
        </w:rPr>
        <w:t>water </w:t>
      </w:r>
      <w:r>
        <w:rPr>
          <w:i/>
          <w:spacing w:val="-4"/>
          <w:sz w:val="28"/>
        </w:rPr>
        <w:t>quality </w:t>
      </w:r>
      <w:r>
        <w:rPr>
          <w:i/>
          <w:spacing w:val="-3"/>
          <w:sz w:val="28"/>
        </w:rPr>
        <w:t>of </w:t>
      </w:r>
      <w:r>
        <w:rPr>
          <w:i/>
          <w:sz w:val="28"/>
        </w:rPr>
        <w:t>the </w:t>
      </w:r>
      <w:r>
        <w:rPr>
          <w:i/>
          <w:spacing w:val="-4"/>
          <w:sz w:val="28"/>
        </w:rPr>
        <w:t>estuaries </w:t>
      </w:r>
      <w:r>
        <w:rPr>
          <w:i/>
          <w:spacing w:val="-3"/>
          <w:sz w:val="28"/>
        </w:rPr>
        <w:t>of </w:t>
      </w:r>
      <w:r>
        <w:rPr>
          <w:i/>
          <w:sz w:val="28"/>
        </w:rPr>
        <w:t>the </w:t>
      </w:r>
      <w:r>
        <w:rPr>
          <w:i/>
          <w:spacing w:val="-4"/>
          <w:sz w:val="28"/>
        </w:rPr>
        <w:t>Tuzlovsky group. The object </w:t>
      </w:r>
      <w:r>
        <w:rPr>
          <w:i/>
          <w:spacing w:val="-3"/>
          <w:sz w:val="28"/>
        </w:rPr>
        <w:t>of </w:t>
      </w:r>
      <w:r>
        <w:rPr>
          <w:i/>
          <w:spacing w:val="-4"/>
          <w:sz w:val="28"/>
        </w:rPr>
        <w:t>the </w:t>
      </w:r>
      <w:r>
        <w:rPr>
          <w:i/>
          <w:spacing w:val="-3"/>
          <w:sz w:val="28"/>
        </w:rPr>
        <w:t>study is </w:t>
      </w:r>
      <w:r>
        <w:rPr>
          <w:i/>
          <w:spacing w:val="-4"/>
          <w:sz w:val="28"/>
        </w:rPr>
        <w:t>the quality </w:t>
      </w:r>
      <w:r>
        <w:rPr>
          <w:i/>
          <w:spacing w:val="-3"/>
          <w:sz w:val="28"/>
        </w:rPr>
        <w:t>of </w:t>
      </w:r>
      <w:r>
        <w:rPr>
          <w:i/>
          <w:spacing w:val="-5"/>
          <w:sz w:val="28"/>
        </w:rPr>
        <w:t>waters </w:t>
      </w:r>
      <w:r>
        <w:rPr>
          <w:i/>
          <w:spacing w:val="-3"/>
          <w:sz w:val="28"/>
        </w:rPr>
        <w:t>of </w:t>
      </w:r>
      <w:r>
        <w:rPr>
          <w:i/>
          <w:spacing w:val="-4"/>
          <w:sz w:val="28"/>
        </w:rPr>
        <w:t>the estuaries </w:t>
      </w:r>
      <w:r>
        <w:rPr>
          <w:i/>
          <w:spacing w:val="-3"/>
          <w:sz w:val="28"/>
        </w:rPr>
        <w:t>of Shagan, </w:t>
      </w:r>
      <w:r>
        <w:rPr>
          <w:i/>
          <w:spacing w:val="-4"/>
          <w:sz w:val="28"/>
        </w:rPr>
        <w:t>Alibey</w:t>
      </w:r>
      <w:r>
        <w:rPr>
          <w:i/>
          <w:spacing w:val="62"/>
          <w:sz w:val="28"/>
        </w:rPr>
        <w:t> </w:t>
      </w:r>
      <w:r>
        <w:rPr>
          <w:i/>
          <w:spacing w:val="-4"/>
          <w:sz w:val="28"/>
        </w:rPr>
        <w:t>and</w:t>
      </w:r>
      <w:r>
        <w:rPr>
          <w:i/>
          <w:spacing w:val="-9"/>
          <w:sz w:val="28"/>
        </w:rPr>
        <w:t> </w:t>
      </w:r>
      <w:r>
        <w:rPr>
          <w:i/>
          <w:spacing w:val="-4"/>
          <w:sz w:val="28"/>
        </w:rPr>
        <w:t>Karachaus.</w:t>
      </w:r>
    </w:p>
    <w:p>
      <w:pPr>
        <w:spacing w:before="0"/>
        <w:ind w:left="193" w:right="612" w:firstLine="705"/>
        <w:jc w:val="both"/>
        <w:rPr>
          <w:i/>
          <w:sz w:val="28"/>
        </w:rPr>
      </w:pPr>
      <w:r>
        <w:rPr>
          <w:b/>
          <w:i/>
          <w:spacing w:val="-3"/>
          <w:sz w:val="28"/>
        </w:rPr>
        <w:t>Key </w:t>
      </w:r>
      <w:r>
        <w:rPr>
          <w:b/>
          <w:i/>
          <w:spacing w:val="-4"/>
          <w:sz w:val="28"/>
        </w:rPr>
        <w:t>words: </w:t>
      </w:r>
      <w:r>
        <w:rPr>
          <w:i/>
          <w:spacing w:val="-4"/>
          <w:sz w:val="28"/>
        </w:rPr>
        <w:t>quality assessment, pollutants, surface </w:t>
      </w:r>
      <w:r>
        <w:rPr>
          <w:i/>
          <w:spacing w:val="-5"/>
          <w:sz w:val="28"/>
        </w:rPr>
        <w:t>water, </w:t>
      </w:r>
      <w:r>
        <w:rPr>
          <w:i/>
          <w:spacing w:val="-3"/>
          <w:sz w:val="28"/>
        </w:rPr>
        <w:t>maximum </w:t>
      </w:r>
      <w:r>
        <w:rPr>
          <w:i/>
          <w:spacing w:val="-4"/>
          <w:sz w:val="28"/>
        </w:rPr>
        <w:t>permissible </w:t>
      </w:r>
      <w:r>
        <w:rPr>
          <w:i/>
          <w:spacing w:val="-4"/>
          <w:sz w:val="28"/>
        </w:rPr>
        <w:t>concentration, </w:t>
      </w:r>
      <w:r>
        <w:rPr>
          <w:i/>
          <w:spacing w:val="-5"/>
          <w:sz w:val="28"/>
        </w:rPr>
        <w:t>water </w:t>
      </w:r>
      <w:r>
        <w:rPr>
          <w:i/>
          <w:spacing w:val="-4"/>
          <w:sz w:val="28"/>
        </w:rPr>
        <w:t>quality, nitrogen, petroleum products, phenols, pollution index.</w:t>
      </w:r>
    </w:p>
    <w:p>
      <w:pPr>
        <w:spacing w:after="0"/>
        <w:jc w:val="both"/>
        <w:rPr>
          <w:sz w:val="28"/>
        </w:rPr>
        <w:sectPr>
          <w:pgSz w:w="11910" w:h="16840"/>
          <w:pgMar w:header="713" w:footer="778" w:top="1140" w:bottom="960" w:left="940" w:right="520"/>
        </w:sectPr>
      </w:pPr>
    </w:p>
    <w:p>
      <w:pPr>
        <w:pStyle w:val="Heading1"/>
        <w:tabs>
          <w:tab w:pos="5859" w:val="left" w:leader="none"/>
        </w:tabs>
        <w:spacing w:before="96"/>
        <w:ind w:right="0"/>
        <w:jc w:val="left"/>
      </w:pPr>
      <w:r>
        <w:rPr>
          <w:spacing w:val="-6"/>
        </w:rPr>
        <w:t>УДК</w:t>
      </w:r>
      <w:r>
        <w:rPr>
          <w:spacing w:val="-19"/>
        </w:rPr>
        <w:t> </w:t>
      </w:r>
      <w:r>
        <w:rPr>
          <w:spacing w:val="-9"/>
        </w:rPr>
        <w:t>622.75:629.7</w:t>
        <w:tab/>
      </w:r>
      <w:r>
        <w:rPr/>
        <w:t>DOI:</w:t>
      </w:r>
      <w:r>
        <w:rPr>
          <w:spacing w:val="-1"/>
        </w:rPr>
        <w:t> </w:t>
      </w:r>
      <w:r>
        <w:rPr/>
        <w:t>10.37000/abbsl.2020.96.24</w:t>
      </w:r>
    </w:p>
    <w:p>
      <w:pPr>
        <w:pStyle w:val="BodyText"/>
        <w:spacing w:before="11"/>
        <w:ind w:left="0"/>
        <w:jc w:val="left"/>
        <w:rPr>
          <w:b/>
          <w:sz w:val="27"/>
        </w:rPr>
      </w:pPr>
    </w:p>
    <w:p>
      <w:pPr>
        <w:spacing w:line="322" w:lineRule="exact" w:before="0"/>
        <w:ind w:left="737" w:right="603" w:firstLine="0"/>
        <w:jc w:val="center"/>
        <w:rPr>
          <w:b/>
          <w:sz w:val="28"/>
        </w:rPr>
      </w:pPr>
      <w:r>
        <w:rPr>
          <w:b/>
          <w:sz w:val="28"/>
        </w:rPr>
        <w:t>ГІДРОДИНАМІЧНЕ ДИСПЕРГУВАННЯ ДИЗЕЛЬНИХ ПАЛИВ</w:t>
      </w:r>
    </w:p>
    <w:p>
      <w:pPr>
        <w:spacing w:line="320" w:lineRule="exact" w:before="0"/>
        <w:ind w:left="178" w:right="603" w:firstLine="0"/>
        <w:jc w:val="center"/>
        <w:rPr>
          <w:b/>
          <w:sz w:val="28"/>
        </w:rPr>
      </w:pPr>
      <w:r>
        <w:rPr>
          <w:b/>
          <w:sz w:val="28"/>
        </w:rPr>
        <w:t>С. Уминський, В. Макарчук , М. Королькова, С. Дмитрієва, С. Житков</w:t>
      </w:r>
    </w:p>
    <w:p>
      <w:pPr>
        <w:spacing w:line="320" w:lineRule="exact" w:before="0"/>
        <w:ind w:left="754" w:right="603" w:firstLine="0"/>
        <w:jc w:val="center"/>
        <w:rPr>
          <w:i/>
          <w:sz w:val="28"/>
        </w:rPr>
      </w:pPr>
      <w:r>
        <w:rPr>
          <w:i/>
          <w:sz w:val="28"/>
        </w:rPr>
        <w:t>Одеський державний аграрний університет</w:t>
      </w:r>
    </w:p>
    <w:p>
      <w:pPr>
        <w:pStyle w:val="BodyText"/>
        <w:spacing w:before="4"/>
        <w:ind w:left="0"/>
        <w:jc w:val="left"/>
        <w:rPr>
          <w:i/>
        </w:rPr>
      </w:pPr>
    </w:p>
    <w:p>
      <w:pPr>
        <w:spacing w:line="240" w:lineRule="auto" w:before="0"/>
        <w:ind w:left="193" w:right="607" w:firstLine="561"/>
        <w:jc w:val="both"/>
        <w:rPr>
          <w:i/>
          <w:sz w:val="28"/>
        </w:rPr>
      </w:pPr>
      <w:r>
        <w:rPr>
          <w:i/>
          <w:sz w:val="28"/>
        </w:rPr>
        <w:t>Обґрунтовано та розроблено методику використання гідродинамічних </w:t>
      </w:r>
      <w:r>
        <w:rPr>
          <w:i/>
          <w:sz w:val="28"/>
        </w:rPr>
        <w:t>випромінювачів для диспергування дизельних палив з метою зниження нагароутворення. Паливна система забезпечена диспергуючою і збірною камерами рівного об'єму, зв'язаними між собою трубопроводом з, двопозиційним краном, розміщеним у збірній камері у вигляді поплавця, зв'язаного через двох ланцюговий важіль із двопозиційним краном, а ультразвуковий випромінювач, встановлено у диспергуючій камері, розташованій нижче паливного бака, з'єднаною з ним трубопроводом, виведеним вище рівня відстою в паливному баці , і збірна камера за об'ємом дорівнює об'єму палива, споживаного дизелем при максимальній витраті за час диспергування, розташована нижче диспергуючої камери з'єднаною з повітряною порожниною паливного бака. Паливна система дизеля з гідродинамічним випромінювачем диспергуючої камери дозволяє ефективно знижувати</w:t>
      </w:r>
      <w:r>
        <w:rPr>
          <w:i/>
          <w:spacing w:val="-11"/>
          <w:sz w:val="28"/>
        </w:rPr>
        <w:t> </w:t>
      </w:r>
      <w:r>
        <w:rPr>
          <w:i/>
          <w:sz w:val="28"/>
        </w:rPr>
        <w:t>нагароутворення</w:t>
      </w:r>
      <w:r>
        <w:rPr>
          <w:i/>
          <w:spacing w:val="-11"/>
          <w:sz w:val="28"/>
        </w:rPr>
        <w:t> </w:t>
      </w:r>
      <w:r>
        <w:rPr>
          <w:i/>
          <w:sz w:val="28"/>
        </w:rPr>
        <w:t>на</w:t>
      </w:r>
      <w:r>
        <w:rPr>
          <w:i/>
          <w:spacing w:val="-10"/>
          <w:sz w:val="28"/>
        </w:rPr>
        <w:t> </w:t>
      </w:r>
      <w:r>
        <w:rPr>
          <w:i/>
          <w:sz w:val="28"/>
        </w:rPr>
        <w:t>деталях</w:t>
      </w:r>
      <w:r>
        <w:rPr>
          <w:i/>
          <w:spacing w:val="-6"/>
          <w:sz w:val="28"/>
        </w:rPr>
        <w:t> </w:t>
      </w:r>
      <w:r>
        <w:rPr>
          <w:i/>
          <w:sz w:val="28"/>
        </w:rPr>
        <w:t>циліндро-поршневої</w:t>
      </w:r>
      <w:r>
        <w:rPr>
          <w:i/>
          <w:spacing w:val="-12"/>
          <w:sz w:val="28"/>
        </w:rPr>
        <w:t> </w:t>
      </w:r>
      <w:r>
        <w:rPr>
          <w:i/>
          <w:sz w:val="28"/>
        </w:rPr>
        <w:t>групи</w:t>
      </w:r>
      <w:r>
        <w:rPr>
          <w:i/>
          <w:spacing w:val="-10"/>
          <w:sz w:val="28"/>
        </w:rPr>
        <w:t> </w:t>
      </w:r>
      <w:r>
        <w:rPr>
          <w:i/>
          <w:sz w:val="28"/>
        </w:rPr>
        <w:t>й</w:t>
      </w:r>
      <w:r>
        <w:rPr>
          <w:i/>
          <w:spacing w:val="-11"/>
          <w:sz w:val="28"/>
        </w:rPr>
        <w:t> </w:t>
      </w:r>
      <w:r>
        <w:rPr>
          <w:i/>
          <w:sz w:val="28"/>
        </w:rPr>
        <w:t>коксування розпилювачів форсунок. За результатами випробувань паливна система з диспергуючою камерою може бути використана при модернізації дизелів мобільної агротехніки й транспортних</w:t>
      </w:r>
      <w:r>
        <w:rPr>
          <w:i/>
          <w:spacing w:val="3"/>
          <w:sz w:val="28"/>
        </w:rPr>
        <w:t> </w:t>
      </w:r>
      <w:r>
        <w:rPr>
          <w:i/>
          <w:sz w:val="28"/>
        </w:rPr>
        <w:t>засобів.</w:t>
      </w:r>
    </w:p>
    <w:p>
      <w:pPr>
        <w:spacing w:before="0"/>
        <w:ind w:left="193" w:right="614" w:firstLine="710"/>
        <w:jc w:val="both"/>
        <w:rPr>
          <w:i/>
          <w:sz w:val="28"/>
        </w:rPr>
      </w:pPr>
      <w:r>
        <w:rPr>
          <w:b/>
          <w:i/>
          <w:sz w:val="28"/>
        </w:rPr>
        <w:t>Ключові</w:t>
      </w:r>
      <w:r>
        <w:rPr>
          <w:b/>
          <w:i/>
          <w:spacing w:val="-18"/>
          <w:sz w:val="28"/>
        </w:rPr>
        <w:t> </w:t>
      </w:r>
      <w:r>
        <w:rPr>
          <w:b/>
          <w:i/>
          <w:sz w:val="28"/>
        </w:rPr>
        <w:t>слова:</w:t>
      </w:r>
      <w:r>
        <w:rPr>
          <w:b/>
          <w:i/>
          <w:spacing w:val="-19"/>
          <w:sz w:val="28"/>
        </w:rPr>
        <w:t> </w:t>
      </w:r>
      <w:r>
        <w:rPr>
          <w:i/>
          <w:sz w:val="28"/>
        </w:rPr>
        <w:t>гідродинамічний</w:t>
      </w:r>
      <w:r>
        <w:rPr>
          <w:i/>
          <w:spacing w:val="-18"/>
          <w:sz w:val="28"/>
        </w:rPr>
        <w:t> </w:t>
      </w:r>
      <w:r>
        <w:rPr>
          <w:i/>
          <w:sz w:val="28"/>
        </w:rPr>
        <w:t>випромінювач,</w:t>
      </w:r>
      <w:r>
        <w:rPr>
          <w:i/>
          <w:spacing w:val="-15"/>
          <w:sz w:val="28"/>
        </w:rPr>
        <w:t> </w:t>
      </w:r>
      <w:r>
        <w:rPr>
          <w:i/>
          <w:sz w:val="28"/>
        </w:rPr>
        <w:t>акустична</w:t>
      </w:r>
      <w:r>
        <w:rPr>
          <w:i/>
          <w:spacing w:val="-18"/>
          <w:sz w:val="28"/>
        </w:rPr>
        <w:t> </w:t>
      </w:r>
      <w:r>
        <w:rPr>
          <w:i/>
          <w:sz w:val="28"/>
        </w:rPr>
        <w:t>хвиля,</w:t>
      </w:r>
      <w:r>
        <w:rPr>
          <w:i/>
          <w:spacing w:val="-15"/>
          <w:sz w:val="28"/>
        </w:rPr>
        <w:t> </w:t>
      </w:r>
      <w:r>
        <w:rPr>
          <w:i/>
          <w:sz w:val="28"/>
        </w:rPr>
        <w:t>відбивач, </w:t>
      </w:r>
      <w:r>
        <w:rPr>
          <w:i/>
          <w:sz w:val="28"/>
        </w:rPr>
        <w:t>диспергування, дизельне</w:t>
      </w:r>
      <w:r>
        <w:rPr>
          <w:i/>
          <w:spacing w:val="5"/>
          <w:sz w:val="28"/>
        </w:rPr>
        <w:t> </w:t>
      </w:r>
      <w:r>
        <w:rPr>
          <w:i/>
          <w:sz w:val="28"/>
        </w:rPr>
        <w:t>паливо.</w:t>
      </w:r>
    </w:p>
    <w:p>
      <w:pPr>
        <w:pStyle w:val="BodyText"/>
        <w:spacing w:before="11"/>
        <w:ind w:left="0"/>
        <w:jc w:val="left"/>
        <w:rPr>
          <w:i/>
          <w:sz w:val="27"/>
        </w:rPr>
      </w:pPr>
    </w:p>
    <w:p>
      <w:pPr>
        <w:pStyle w:val="BodyText"/>
        <w:ind w:right="610" w:firstLine="710"/>
      </w:pPr>
      <w:r>
        <w:rPr>
          <w:b/>
        </w:rPr>
        <w:t>Вступ. </w:t>
      </w:r>
      <w:r>
        <w:rPr/>
        <w:t>У роботі [1] сформульована доцільність застосування ультразвуку поліпшення показників, що характеризують схильність дизельних палив до нагароутворення. Оптимальним режимом ультразвукової обробки дизельних палив варто вважати: тривалість обробки 15 хв. при частоті 18-20 кГц [2]. Застосування палив, оброблених ультразвуком, рекомендується для зниження інтенсивності нагароутворення на деталях циліндро-поршневої групи й у тому числі коксованих розпилювачів форсунок.</w:t>
      </w:r>
    </w:p>
    <w:p>
      <w:pPr>
        <w:pStyle w:val="BodyText"/>
        <w:spacing w:before="3"/>
        <w:ind w:right="607" w:firstLine="710"/>
      </w:pPr>
      <w:r>
        <w:rPr>
          <w:b/>
        </w:rPr>
        <w:t>Аналіз останніх досліджень та публікацій. </w:t>
      </w:r>
      <w:r>
        <w:rPr>
          <w:spacing w:val="-3"/>
        </w:rPr>
        <w:t>На </w:t>
      </w:r>
      <w:r>
        <w:rPr/>
        <w:t>даний час розповсюджені установки для комплексної очистки дизельного палива [3], які містять роторно- дисковий</w:t>
      </w:r>
      <w:r>
        <w:rPr>
          <w:spacing w:val="-8"/>
        </w:rPr>
        <w:t> </w:t>
      </w:r>
      <w:r>
        <w:rPr/>
        <w:t>вихревий</w:t>
      </w:r>
      <w:r>
        <w:rPr>
          <w:spacing w:val="-12"/>
        </w:rPr>
        <w:t> </w:t>
      </w:r>
      <w:r>
        <w:rPr/>
        <w:t>апарат</w:t>
      </w:r>
      <w:r>
        <w:rPr>
          <w:spacing w:val="-13"/>
        </w:rPr>
        <w:t> </w:t>
      </w:r>
      <w:r>
        <w:rPr/>
        <w:t>відкритого</w:t>
      </w:r>
      <w:r>
        <w:rPr>
          <w:spacing w:val="-8"/>
        </w:rPr>
        <w:t> </w:t>
      </w:r>
      <w:r>
        <w:rPr/>
        <w:t>типу</w:t>
      </w:r>
      <w:r>
        <w:rPr>
          <w:spacing w:val="-16"/>
        </w:rPr>
        <w:t> </w:t>
      </w:r>
      <w:r>
        <w:rPr/>
        <w:t>,</w:t>
      </w:r>
      <w:r>
        <w:rPr>
          <w:spacing w:val="-9"/>
        </w:rPr>
        <w:t> </w:t>
      </w:r>
      <w:r>
        <w:rPr/>
        <w:t>який</w:t>
      </w:r>
      <w:r>
        <w:rPr>
          <w:spacing w:val="-12"/>
        </w:rPr>
        <w:t> </w:t>
      </w:r>
      <w:r>
        <w:rPr/>
        <w:t>включено</w:t>
      </w:r>
      <w:r>
        <w:rPr>
          <w:spacing w:val="-11"/>
        </w:rPr>
        <w:t> </w:t>
      </w:r>
      <w:r>
        <w:rPr/>
        <w:t>в</w:t>
      </w:r>
      <w:r>
        <w:rPr>
          <w:spacing w:val="-9"/>
        </w:rPr>
        <w:t> </w:t>
      </w:r>
      <w:r>
        <w:rPr/>
        <w:t>контур</w:t>
      </w:r>
      <w:r>
        <w:rPr>
          <w:spacing w:val="-11"/>
        </w:rPr>
        <w:t> </w:t>
      </w:r>
      <w:r>
        <w:rPr/>
        <w:t>циркуляції, блок </w:t>
      </w:r>
      <w:r>
        <w:rPr>
          <w:color w:val="333333"/>
        </w:rPr>
        <w:t>ультрафіолетового випромінювання. теплообмінник , з’єднаний з підігрівачем байпасной магістралью. </w:t>
      </w:r>
      <w:r>
        <w:rPr/>
        <w:t>Основними недоліками установки та способу [3] є : висока енергоємність технологічного процесу, оскільки в них застосовується велика кількість спеціальних експлуатаційних матеріалів, не відбувається</w:t>
      </w:r>
      <w:r>
        <w:rPr>
          <w:spacing w:val="-17"/>
        </w:rPr>
        <w:t> </w:t>
      </w:r>
      <w:r>
        <w:rPr/>
        <w:t>диспергування</w:t>
      </w:r>
      <w:r>
        <w:rPr>
          <w:spacing w:val="-17"/>
        </w:rPr>
        <w:t> </w:t>
      </w:r>
      <w:r>
        <w:rPr/>
        <w:t>палива</w:t>
      </w:r>
      <w:r>
        <w:rPr>
          <w:spacing w:val="-18"/>
        </w:rPr>
        <w:t> </w:t>
      </w:r>
      <w:r>
        <w:rPr/>
        <w:t>на</w:t>
      </w:r>
      <w:r>
        <w:rPr>
          <w:spacing w:val="-17"/>
        </w:rPr>
        <w:t> </w:t>
      </w:r>
      <w:r>
        <w:rPr/>
        <w:t>молекулярному</w:t>
      </w:r>
      <w:r>
        <w:rPr>
          <w:spacing w:val="-23"/>
        </w:rPr>
        <w:t> </w:t>
      </w:r>
      <w:r>
        <w:rPr/>
        <w:t>рівні,</w:t>
      </w:r>
      <w:r>
        <w:rPr>
          <w:spacing w:val="-7"/>
        </w:rPr>
        <w:t> </w:t>
      </w:r>
      <w:r>
        <w:rPr/>
        <w:t>процес</w:t>
      </w:r>
      <w:r>
        <w:rPr>
          <w:spacing w:val="-18"/>
        </w:rPr>
        <w:t> </w:t>
      </w:r>
      <w:r>
        <w:rPr/>
        <w:t>протікає</w:t>
      </w:r>
      <w:r>
        <w:rPr>
          <w:spacing w:val="-17"/>
        </w:rPr>
        <w:t> </w:t>
      </w:r>
      <w:r>
        <w:rPr/>
        <w:t>при великих тисках, при цьому необхідний постійний контроль режимів роботи установки, низька ремонтопридатність і надійність роботи.</w:t>
      </w:r>
    </w:p>
    <w:p>
      <w:pPr>
        <w:spacing w:line="319" w:lineRule="exact" w:before="0"/>
        <w:ind w:left="903" w:right="0" w:firstLine="0"/>
        <w:jc w:val="both"/>
        <w:rPr>
          <w:sz w:val="28"/>
        </w:rPr>
      </w:pPr>
      <w:r>
        <w:rPr>
          <w:b/>
          <w:sz w:val="28"/>
        </w:rPr>
        <w:t>Мета досліджень: </w:t>
      </w:r>
      <w:r>
        <w:rPr>
          <w:sz w:val="28"/>
        </w:rPr>
        <w:t>на основі проведених аналітичних і експериментальних</w:t>
      </w:r>
    </w:p>
    <w:p>
      <w:pPr>
        <w:spacing w:after="0" w:line="319" w:lineRule="exact"/>
        <w:jc w:val="both"/>
        <w:rPr>
          <w:sz w:val="28"/>
        </w:rPr>
        <w:sectPr>
          <w:pgSz w:w="11910" w:h="16840"/>
          <w:pgMar w:header="713" w:footer="778" w:top="1140" w:bottom="960" w:left="940" w:right="520"/>
        </w:sectPr>
      </w:pPr>
    </w:p>
    <w:p>
      <w:pPr>
        <w:pStyle w:val="BodyText"/>
        <w:spacing w:before="92"/>
        <w:ind w:right="616"/>
      </w:pPr>
      <w:r>
        <w:rPr/>
        <w:t>досліджень обґрунтувати та розробити паливну систему дизеля з гідродинамічним випромінювачем диспергуючої камери для ефективного зниження нагароутворення на деталях циліндро-поршневої групи й коксування розпилювачів форсунок .</w:t>
      </w:r>
    </w:p>
    <w:p>
      <w:pPr>
        <w:pStyle w:val="BodyText"/>
        <w:ind w:right="611" w:firstLine="710"/>
      </w:pPr>
      <w:r>
        <w:rPr>
          <w:b/>
        </w:rPr>
        <w:t>Результати</w:t>
      </w:r>
      <w:r>
        <w:rPr>
          <w:b/>
          <w:spacing w:val="-12"/>
        </w:rPr>
        <w:t> </w:t>
      </w:r>
      <w:r>
        <w:rPr>
          <w:b/>
        </w:rPr>
        <w:t>досліджень.</w:t>
      </w:r>
      <w:r>
        <w:rPr>
          <w:b/>
          <w:spacing w:val="-4"/>
        </w:rPr>
        <w:t> </w:t>
      </w:r>
      <w:r>
        <w:rPr/>
        <w:t>Паливна</w:t>
      </w:r>
      <w:r>
        <w:rPr>
          <w:spacing w:val="-10"/>
        </w:rPr>
        <w:t> </w:t>
      </w:r>
      <w:r>
        <w:rPr/>
        <w:t>схема</w:t>
      </w:r>
      <w:r>
        <w:rPr>
          <w:spacing w:val="-10"/>
        </w:rPr>
        <w:t> </w:t>
      </w:r>
      <w:r>
        <w:rPr/>
        <w:t>дизеля</w:t>
      </w:r>
      <w:r>
        <w:rPr>
          <w:spacing w:val="-5"/>
        </w:rPr>
        <w:t> </w:t>
      </w:r>
      <w:r>
        <w:rPr/>
        <w:t>(</w:t>
      </w:r>
      <w:r>
        <w:rPr>
          <w:spacing w:val="-11"/>
        </w:rPr>
        <w:t> </w:t>
      </w:r>
      <w:r>
        <w:rPr/>
        <w:t>рис.1.</w:t>
      </w:r>
      <w:r>
        <w:rPr>
          <w:spacing w:val="-9"/>
        </w:rPr>
        <w:t> </w:t>
      </w:r>
      <w:r>
        <w:rPr/>
        <w:t>)</w:t>
      </w:r>
      <w:r>
        <w:rPr>
          <w:spacing w:val="-16"/>
        </w:rPr>
        <w:t> </w:t>
      </w:r>
      <w:r>
        <w:rPr/>
        <w:t>містить</w:t>
      </w:r>
      <w:r>
        <w:rPr>
          <w:spacing w:val="-12"/>
        </w:rPr>
        <w:t> </w:t>
      </w:r>
      <w:r>
        <w:rPr/>
        <w:t>паливний бак 1, підкачуючий насос 2, фільтр 3 і паливовпроскуючий насос 4, що подає паливо в дизель 5, які з'єднані між </w:t>
      </w:r>
      <w:r>
        <w:rPr>
          <w:spacing w:val="2"/>
        </w:rPr>
        <w:t>собою </w:t>
      </w:r>
      <w:r>
        <w:rPr/>
        <w:t>за допомогою трубопроводів [4]. Паливна система містить також ультразвуковий випромінювач 6, пов'язаний з ультразвуковим ударним генератором 7 і встановленим між фільтром 3 паливовпроскуючий насосом 4. Паливна система забезпечена диспергуючою 8 і збірною 9 камерами рівного об'єму, зв'язаними між собою (рис.2.) за</w:t>
      </w:r>
      <w:r>
        <w:rPr>
          <w:spacing w:val="-43"/>
        </w:rPr>
        <w:t> </w:t>
      </w:r>
      <w:r>
        <w:rPr/>
        <w:t>допомогою сполучного трубопроводу 10, а також двопозиційним краном 11, установленим у</w:t>
      </w:r>
      <w:r>
        <w:rPr>
          <w:spacing w:val="-10"/>
        </w:rPr>
        <w:t> </w:t>
      </w:r>
      <w:r>
        <w:rPr/>
        <w:t>сполучному</w:t>
      </w:r>
      <w:r>
        <w:rPr>
          <w:spacing w:val="-10"/>
        </w:rPr>
        <w:t> </w:t>
      </w:r>
      <w:r>
        <w:rPr/>
        <w:t>трубопроводі</w:t>
      </w:r>
      <w:r>
        <w:rPr>
          <w:spacing w:val="-10"/>
        </w:rPr>
        <w:t> </w:t>
      </w:r>
      <w:r>
        <w:rPr/>
        <w:t>10</w:t>
      </w:r>
      <w:r>
        <w:rPr>
          <w:spacing w:val="-5"/>
        </w:rPr>
        <w:t> </w:t>
      </w:r>
      <w:r>
        <w:rPr/>
        <w:t>і</w:t>
      </w:r>
      <w:r>
        <w:rPr>
          <w:spacing w:val="-10"/>
        </w:rPr>
        <w:t> </w:t>
      </w:r>
      <w:r>
        <w:rPr/>
        <w:t>розміщеним</w:t>
      </w:r>
      <w:r>
        <w:rPr>
          <w:spacing w:val="-5"/>
        </w:rPr>
        <w:t> </w:t>
      </w:r>
      <w:r>
        <w:rPr/>
        <w:t>у</w:t>
      </w:r>
      <w:r>
        <w:rPr>
          <w:spacing w:val="-10"/>
        </w:rPr>
        <w:t> </w:t>
      </w:r>
      <w:r>
        <w:rPr/>
        <w:t>збірній</w:t>
      </w:r>
      <w:r>
        <w:rPr>
          <w:spacing w:val="-5"/>
        </w:rPr>
        <w:t> </w:t>
      </w:r>
      <w:r>
        <w:rPr/>
        <w:t>камері</w:t>
      </w:r>
      <w:r>
        <w:rPr>
          <w:spacing w:val="-11"/>
        </w:rPr>
        <w:t> </w:t>
      </w:r>
      <w:r>
        <w:rPr/>
        <w:t>у</w:t>
      </w:r>
      <w:r>
        <w:rPr>
          <w:spacing w:val="-5"/>
        </w:rPr>
        <w:t> </w:t>
      </w:r>
      <w:r>
        <w:rPr/>
        <w:t>вигляді</w:t>
      </w:r>
      <w:r>
        <w:rPr>
          <w:spacing w:val="-10"/>
        </w:rPr>
        <w:t> </w:t>
      </w:r>
      <w:r>
        <w:rPr/>
        <w:t>поплавця 12, зв'язаного через двох ланцюговий важіль 13 </w:t>
      </w:r>
      <w:r>
        <w:rPr>
          <w:spacing w:val="-3"/>
        </w:rPr>
        <w:t>із </w:t>
      </w:r>
      <w:r>
        <w:rPr/>
        <w:t>двопозиційним краном</w:t>
      </w:r>
      <w:r>
        <w:rPr>
          <w:spacing w:val="-6"/>
        </w:rPr>
        <w:t> </w:t>
      </w:r>
      <w:r>
        <w:rPr/>
        <w:t>11.</w:t>
      </w:r>
    </w:p>
    <w:p>
      <w:pPr>
        <w:pStyle w:val="BodyText"/>
        <w:spacing w:before="3"/>
        <w:ind w:left="0"/>
        <w:jc w:val="left"/>
        <w:rPr>
          <w:sz w:val="17"/>
        </w:rPr>
      </w:pPr>
      <w:r>
        <w:rPr/>
        <w:drawing>
          <wp:anchor distT="0" distB="0" distL="0" distR="0" allowOverlap="1" layoutInCell="1" locked="0" behindDoc="0" simplePos="0" relativeHeight="107">
            <wp:simplePos x="0" y="0"/>
            <wp:positionH relativeFrom="page">
              <wp:posOffset>2121866</wp:posOffset>
            </wp:positionH>
            <wp:positionV relativeFrom="paragraph">
              <wp:posOffset>151219</wp:posOffset>
            </wp:positionV>
            <wp:extent cx="3797878" cy="1719072"/>
            <wp:effectExtent l="0" t="0" r="0" b="0"/>
            <wp:wrapTopAndBottom/>
            <wp:docPr id="49" name="image79.jpeg"/>
            <wp:cNvGraphicFramePr>
              <a:graphicFrameLocks noChangeAspect="1"/>
            </wp:cNvGraphicFramePr>
            <a:graphic>
              <a:graphicData uri="http://schemas.openxmlformats.org/drawingml/2006/picture">
                <pic:pic>
                  <pic:nvPicPr>
                    <pic:cNvPr id="50" name="image79.jpeg"/>
                    <pic:cNvPicPr/>
                  </pic:nvPicPr>
                  <pic:blipFill>
                    <a:blip r:embed="rId130" cstate="print"/>
                    <a:stretch>
                      <a:fillRect/>
                    </a:stretch>
                  </pic:blipFill>
                  <pic:spPr>
                    <a:xfrm>
                      <a:off x="0" y="0"/>
                      <a:ext cx="3797878" cy="1719072"/>
                    </a:xfrm>
                    <a:prstGeom prst="rect">
                      <a:avLst/>
                    </a:prstGeom>
                  </pic:spPr>
                </pic:pic>
              </a:graphicData>
            </a:graphic>
          </wp:anchor>
        </w:drawing>
      </w:r>
    </w:p>
    <w:p>
      <w:pPr>
        <w:pStyle w:val="BodyText"/>
        <w:spacing w:before="108"/>
        <w:ind w:left="903"/>
        <w:jc w:val="left"/>
      </w:pPr>
      <w:r>
        <w:rPr>
          <w:b/>
        </w:rPr>
        <w:t>Рис. 1. </w:t>
      </w:r>
      <w:r>
        <w:rPr/>
        <w:t>Структурна схема паливної системи [4].</w:t>
      </w:r>
    </w:p>
    <w:p>
      <w:pPr>
        <w:pStyle w:val="BodyText"/>
        <w:ind w:left="0"/>
        <w:jc w:val="left"/>
      </w:pPr>
    </w:p>
    <w:p>
      <w:pPr>
        <w:pStyle w:val="BodyText"/>
        <w:ind w:right="612" w:firstLine="710"/>
      </w:pPr>
      <w:r>
        <w:rPr/>
        <w:t>Двох ланцюговий важіль 13 шарнірно з'єднаний з віссю 14, на яку вільно встановлений поплавець 12. Руху поплавця 12 уздовж осі 14 обмежується упорами 15 і 16, а сама вісь 14 може переміщатися по напрямної 17 і 18 на відстань, рівна ходу двох ланцюгового важеля 13. Ультразвуковий випромінювач 6 установлений у диспергуючій камері 8, що розміщена нижче паливного бака 1 і з'єднана з ним за допомогою трубопроводу 19, виведеного вище рівня відстою в паливному баці 1, а збірня камера 9 розташована нижче диспергуючій камери 8 і з'єднана трубкою 20 з повітряною порожниною паливного бака 1. Об'єм збірної камери 9 обраний рівним об'єму палива, споживаного</w:t>
      </w:r>
      <w:r>
        <w:rPr>
          <w:spacing w:val="-18"/>
        </w:rPr>
        <w:t> </w:t>
      </w:r>
      <w:r>
        <w:rPr/>
        <w:t>дизелем</w:t>
      </w:r>
      <w:r>
        <w:rPr>
          <w:spacing w:val="-16"/>
        </w:rPr>
        <w:t> </w:t>
      </w:r>
      <w:r>
        <w:rPr/>
        <w:t>5</w:t>
      </w:r>
      <w:r>
        <w:rPr>
          <w:spacing w:val="-17"/>
        </w:rPr>
        <w:t> </w:t>
      </w:r>
      <w:r>
        <w:rPr/>
        <w:t>при</w:t>
      </w:r>
      <w:r>
        <w:rPr>
          <w:spacing w:val="-18"/>
        </w:rPr>
        <w:t> </w:t>
      </w:r>
      <w:r>
        <w:rPr/>
        <w:t>максимальній</w:t>
      </w:r>
      <w:r>
        <w:rPr>
          <w:spacing w:val="-17"/>
        </w:rPr>
        <w:t> </w:t>
      </w:r>
      <w:r>
        <w:rPr/>
        <w:t>витраті</w:t>
      </w:r>
      <w:r>
        <w:rPr>
          <w:spacing w:val="-22"/>
        </w:rPr>
        <w:t> </w:t>
      </w:r>
      <w:r>
        <w:rPr/>
        <w:t>за</w:t>
      </w:r>
      <w:r>
        <w:rPr>
          <w:spacing w:val="-15"/>
        </w:rPr>
        <w:t> </w:t>
      </w:r>
      <w:r>
        <w:rPr/>
        <w:t>час</w:t>
      </w:r>
      <w:r>
        <w:rPr>
          <w:spacing w:val="-17"/>
        </w:rPr>
        <w:t> </w:t>
      </w:r>
      <w:r>
        <w:rPr/>
        <w:t>диспергування</w:t>
      </w:r>
      <w:r>
        <w:rPr>
          <w:spacing w:val="-16"/>
        </w:rPr>
        <w:t> </w:t>
      </w:r>
      <w:r>
        <w:rPr/>
        <w:t>(не</w:t>
      </w:r>
      <w:r>
        <w:rPr>
          <w:spacing w:val="-16"/>
        </w:rPr>
        <w:t> </w:t>
      </w:r>
      <w:r>
        <w:rPr/>
        <w:t>менш</w:t>
      </w:r>
    </w:p>
    <w:p>
      <w:pPr>
        <w:pStyle w:val="BodyText"/>
        <w:spacing w:before="2"/>
        <w:ind w:right="612"/>
      </w:pPr>
      <w:r>
        <w:rPr/>
        <w:t>15 хв.). Паливна система з гідродинамічним диспергуванням [4] працює наступним</w:t>
      </w:r>
      <w:r>
        <w:rPr>
          <w:spacing w:val="-18"/>
        </w:rPr>
        <w:t> </w:t>
      </w:r>
      <w:r>
        <w:rPr/>
        <w:t>чином:</w:t>
      </w:r>
      <w:r>
        <w:rPr>
          <w:spacing w:val="-24"/>
        </w:rPr>
        <w:t> </w:t>
      </w:r>
      <w:r>
        <w:rPr/>
        <w:t>у</w:t>
      </w:r>
      <w:r>
        <w:rPr>
          <w:spacing w:val="-23"/>
        </w:rPr>
        <w:t> </w:t>
      </w:r>
      <w:r>
        <w:rPr/>
        <w:t>початковий</w:t>
      </w:r>
      <w:r>
        <w:rPr>
          <w:spacing w:val="-18"/>
        </w:rPr>
        <w:t> </w:t>
      </w:r>
      <w:r>
        <w:rPr/>
        <w:t>момент</w:t>
      </w:r>
      <w:r>
        <w:rPr>
          <w:spacing w:val="-16"/>
        </w:rPr>
        <w:t> </w:t>
      </w:r>
      <w:r>
        <w:rPr/>
        <w:t>часу</w:t>
      </w:r>
      <w:r>
        <w:rPr>
          <w:spacing w:val="-24"/>
        </w:rPr>
        <w:t> </w:t>
      </w:r>
      <w:r>
        <w:rPr/>
        <w:t>збірна</w:t>
      </w:r>
      <w:r>
        <w:rPr>
          <w:spacing w:val="-18"/>
        </w:rPr>
        <w:t> </w:t>
      </w:r>
      <w:r>
        <w:rPr/>
        <w:t>камера</w:t>
      </w:r>
      <w:r>
        <w:rPr>
          <w:spacing w:val="-17"/>
        </w:rPr>
        <w:t> </w:t>
      </w:r>
      <w:r>
        <w:rPr/>
        <w:t>9</w:t>
      </w:r>
      <w:r>
        <w:rPr>
          <w:spacing w:val="-19"/>
        </w:rPr>
        <w:t> </w:t>
      </w:r>
      <w:r>
        <w:rPr/>
        <w:t>повністю</w:t>
      </w:r>
      <w:r>
        <w:rPr>
          <w:spacing w:val="-21"/>
        </w:rPr>
        <w:t> </w:t>
      </w:r>
      <w:r>
        <w:rPr/>
        <w:t>заповнена паливом, а поплавець 12, впливаючи на упор 16, утримує важіль 13 двопозиційного крана 11 у положенні “Зачинено”. Після запуску дизеля 5 включають, ударний ультразвуковий генератор 7 і паливо в камері 8 починає диспергуваться. Коли дизель споживе паливо </w:t>
      </w:r>
      <w:r>
        <w:rPr>
          <w:spacing w:val="2"/>
        </w:rPr>
        <w:t>зі </w:t>
      </w:r>
      <w:r>
        <w:rPr/>
        <w:t>збірної камери 9 (приблизно через 15 хв.), поплавець 12 опускається вниз </w:t>
      </w:r>
      <w:r>
        <w:rPr>
          <w:spacing w:val="-3"/>
        </w:rPr>
        <w:t>і, </w:t>
      </w:r>
      <w:r>
        <w:rPr/>
        <w:t>впливаючи на упор 15, відкриває кран 11. Через сполучний трубопровід 10 паливо надходить </w:t>
      </w:r>
      <w:r>
        <w:rPr>
          <w:spacing w:val="-3"/>
        </w:rPr>
        <w:t>із </w:t>
      </w:r>
      <w:r>
        <w:rPr/>
        <w:t>диспергуючої камери 8 у збірну камеру 9, а паливо з паливного бака 1 заповнює</w:t>
      </w:r>
      <w:r>
        <w:rPr>
          <w:spacing w:val="-34"/>
        </w:rPr>
        <w:t> </w:t>
      </w:r>
      <w:r>
        <w:rPr/>
        <w:t>вивільнювану</w:t>
      </w:r>
    </w:p>
    <w:p>
      <w:pPr>
        <w:spacing w:after="0"/>
        <w:sectPr>
          <w:pgSz w:w="11910" w:h="16840"/>
          <w:pgMar w:header="713" w:footer="778" w:top="1140" w:bottom="960" w:left="940" w:right="520"/>
        </w:sectPr>
      </w:pPr>
    </w:p>
    <w:p>
      <w:pPr>
        <w:pStyle w:val="BodyText"/>
        <w:spacing w:before="92"/>
        <w:ind w:right="609"/>
      </w:pPr>
      <w:r>
        <w:rPr/>
        <w:t>диспергуючу</w:t>
      </w:r>
      <w:r>
        <w:rPr>
          <w:spacing w:val="-16"/>
        </w:rPr>
        <w:t> </w:t>
      </w:r>
      <w:r>
        <w:rPr/>
        <w:t>камеру</w:t>
      </w:r>
      <w:r>
        <w:rPr>
          <w:spacing w:val="-10"/>
        </w:rPr>
        <w:t> </w:t>
      </w:r>
      <w:r>
        <w:rPr/>
        <w:t>8.</w:t>
      </w:r>
      <w:r>
        <w:rPr>
          <w:spacing w:val="-9"/>
        </w:rPr>
        <w:t> </w:t>
      </w:r>
      <w:r>
        <w:rPr/>
        <w:t>Коли</w:t>
      </w:r>
      <w:r>
        <w:rPr>
          <w:spacing w:val="-10"/>
        </w:rPr>
        <w:t> </w:t>
      </w:r>
      <w:r>
        <w:rPr/>
        <w:t>збірна</w:t>
      </w:r>
      <w:r>
        <w:rPr>
          <w:spacing w:val="-10"/>
        </w:rPr>
        <w:t> </w:t>
      </w:r>
      <w:r>
        <w:rPr/>
        <w:t>камера</w:t>
      </w:r>
      <w:r>
        <w:rPr>
          <w:spacing w:val="-9"/>
        </w:rPr>
        <w:t> </w:t>
      </w:r>
      <w:r>
        <w:rPr/>
        <w:t>9</w:t>
      </w:r>
      <w:r>
        <w:rPr>
          <w:spacing w:val="-11"/>
        </w:rPr>
        <w:t> </w:t>
      </w:r>
      <w:r>
        <w:rPr/>
        <w:t>заповниться</w:t>
      </w:r>
      <w:r>
        <w:rPr>
          <w:spacing w:val="-9"/>
        </w:rPr>
        <w:t> </w:t>
      </w:r>
      <w:r>
        <w:rPr/>
        <w:t>паливом,</w:t>
      </w:r>
      <w:r>
        <w:rPr>
          <w:spacing w:val="-9"/>
        </w:rPr>
        <w:t> </w:t>
      </w:r>
      <w:r>
        <w:rPr/>
        <w:t>поплавець</w:t>
      </w:r>
      <w:r>
        <w:rPr>
          <w:spacing w:val="-12"/>
        </w:rPr>
        <w:t> </w:t>
      </w:r>
      <w:r>
        <w:rPr/>
        <w:t>12 піднімається й, впливаючи на упор 16, закриє кран 11. Далі цикл роботи повторюється. Таким чином, паливо обробляється ультразвуком окремими порціями безпосередньо перед його вживанням дизелем, забезпечуючи оптимальний час і високу якість диспергування, що дозволяє ефективно знижувати нагароутворення на деталях циліндро-поршневої групи й коксування розпилювачів форсунок, а отже, збільшити моторесурс дизеля. Проведено випробування експериментального зразка паливної системи з диспергуючої камери. При випробуваннях застосовувалися дизельне паливо за ДСТУ 305-73. Режим</w:t>
      </w:r>
      <w:r>
        <w:rPr>
          <w:spacing w:val="-14"/>
        </w:rPr>
        <w:t> </w:t>
      </w:r>
      <w:r>
        <w:rPr/>
        <w:t>обробки:</w:t>
      </w:r>
      <w:r>
        <w:rPr>
          <w:spacing w:val="-18"/>
        </w:rPr>
        <w:t> </w:t>
      </w:r>
      <w:r>
        <w:rPr/>
        <w:t>частота-18-20</w:t>
      </w:r>
      <w:r>
        <w:rPr>
          <w:spacing w:val="-13"/>
        </w:rPr>
        <w:t> </w:t>
      </w:r>
      <w:r>
        <w:rPr/>
        <w:t>кГц;</w:t>
      </w:r>
      <w:r>
        <w:rPr>
          <w:spacing w:val="-14"/>
        </w:rPr>
        <w:t> </w:t>
      </w:r>
      <w:r>
        <w:rPr/>
        <w:t>тривалість</w:t>
      </w:r>
      <w:r>
        <w:rPr>
          <w:spacing w:val="-15"/>
        </w:rPr>
        <w:t> </w:t>
      </w:r>
      <w:r>
        <w:rPr/>
        <w:t>гідродинамічного</w:t>
      </w:r>
      <w:r>
        <w:rPr>
          <w:spacing w:val="-13"/>
        </w:rPr>
        <w:t> </w:t>
      </w:r>
      <w:r>
        <w:rPr/>
        <w:t>впливу</w:t>
      </w:r>
      <w:r>
        <w:rPr>
          <w:spacing w:val="-13"/>
        </w:rPr>
        <w:t> </w:t>
      </w:r>
      <w:r>
        <w:rPr/>
        <w:t>–</w:t>
      </w:r>
      <w:r>
        <w:rPr>
          <w:spacing w:val="-13"/>
        </w:rPr>
        <w:t> </w:t>
      </w:r>
      <w:r>
        <w:rPr/>
        <w:t>15,</w:t>
      </w:r>
      <w:r>
        <w:rPr>
          <w:spacing w:val="-11"/>
        </w:rPr>
        <w:t> </w:t>
      </w:r>
      <w:r>
        <w:rPr/>
        <w:t>30, 45 і 60</w:t>
      </w:r>
      <w:r>
        <w:rPr>
          <w:spacing w:val="2"/>
        </w:rPr>
        <w:t> </w:t>
      </w:r>
      <w:r>
        <w:rPr>
          <w:spacing w:val="-3"/>
        </w:rPr>
        <w:t>хв.</w:t>
      </w:r>
    </w:p>
    <w:p>
      <w:pPr>
        <w:pStyle w:val="BodyText"/>
        <w:spacing w:before="3"/>
        <w:ind w:left="0"/>
        <w:jc w:val="left"/>
        <w:rPr>
          <w:sz w:val="17"/>
        </w:rPr>
      </w:pPr>
      <w:r>
        <w:rPr/>
        <w:drawing>
          <wp:anchor distT="0" distB="0" distL="0" distR="0" allowOverlap="1" layoutInCell="1" locked="0" behindDoc="0" simplePos="0" relativeHeight="108">
            <wp:simplePos x="0" y="0"/>
            <wp:positionH relativeFrom="page">
              <wp:posOffset>1270808</wp:posOffset>
            </wp:positionH>
            <wp:positionV relativeFrom="paragraph">
              <wp:posOffset>150970</wp:posOffset>
            </wp:positionV>
            <wp:extent cx="4039831" cy="4014216"/>
            <wp:effectExtent l="0" t="0" r="0" b="0"/>
            <wp:wrapTopAndBottom/>
            <wp:docPr id="51" name="image80.jpeg"/>
            <wp:cNvGraphicFramePr>
              <a:graphicFrameLocks noChangeAspect="1"/>
            </wp:cNvGraphicFramePr>
            <a:graphic>
              <a:graphicData uri="http://schemas.openxmlformats.org/drawingml/2006/picture">
                <pic:pic>
                  <pic:nvPicPr>
                    <pic:cNvPr id="52" name="image80.jpeg"/>
                    <pic:cNvPicPr/>
                  </pic:nvPicPr>
                  <pic:blipFill>
                    <a:blip r:embed="rId131" cstate="print"/>
                    <a:stretch>
                      <a:fillRect/>
                    </a:stretch>
                  </pic:blipFill>
                  <pic:spPr>
                    <a:xfrm>
                      <a:off x="0" y="0"/>
                      <a:ext cx="4039831" cy="4014216"/>
                    </a:xfrm>
                    <a:prstGeom prst="rect">
                      <a:avLst/>
                    </a:prstGeom>
                  </pic:spPr>
                </pic:pic>
              </a:graphicData>
            </a:graphic>
          </wp:anchor>
        </w:drawing>
      </w:r>
    </w:p>
    <w:p>
      <w:pPr>
        <w:spacing w:before="217"/>
        <w:ind w:left="976" w:right="0" w:firstLine="0"/>
        <w:jc w:val="left"/>
        <w:rPr>
          <w:sz w:val="28"/>
        </w:rPr>
      </w:pPr>
      <w:r>
        <w:rPr>
          <w:b/>
          <w:sz w:val="28"/>
        </w:rPr>
        <w:t>Рис. 2. </w:t>
      </w:r>
      <w:r>
        <w:rPr>
          <w:sz w:val="28"/>
        </w:rPr>
        <w:t>Схема паливної системи.</w:t>
      </w:r>
    </w:p>
    <w:p>
      <w:pPr>
        <w:pStyle w:val="BodyText"/>
        <w:spacing w:before="10"/>
        <w:ind w:left="0"/>
        <w:jc w:val="left"/>
        <w:rPr>
          <w:sz w:val="27"/>
        </w:rPr>
      </w:pPr>
    </w:p>
    <w:p>
      <w:pPr>
        <w:pStyle w:val="BodyText"/>
        <w:ind w:right="607" w:firstLine="710"/>
      </w:pPr>
      <w:r>
        <w:rPr/>
        <w:t>Оцінка</w:t>
      </w:r>
      <w:r>
        <w:rPr>
          <w:spacing w:val="-14"/>
        </w:rPr>
        <w:t> </w:t>
      </w:r>
      <w:r>
        <w:rPr/>
        <w:t>нагароутворюючих</w:t>
      </w:r>
      <w:r>
        <w:rPr>
          <w:spacing w:val="-11"/>
        </w:rPr>
        <w:t> </w:t>
      </w:r>
      <w:r>
        <w:rPr/>
        <w:t>властивостей</w:t>
      </w:r>
      <w:r>
        <w:rPr>
          <w:spacing w:val="-11"/>
        </w:rPr>
        <w:t> </w:t>
      </w:r>
      <w:r>
        <w:rPr/>
        <w:t>палив,</w:t>
      </w:r>
      <w:r>
        <w:rPr>
          <w:spacing w:val="-12"/>
        </w:rPr>
        <w:t> </w:t>
      </w:r>
      <w:r>
        <w:rPr/>
        <w:t>оброблених</w:t>
      </w:r>
      <w:r>
        <w:rPr>
          <w:spacing w:val="-15"/>
        </w:rPr>
        <w:t> </w:t>
      </w:r>
      <w:r>
        <w:rPr/>
        <w:t>ультразвуком, виконувалася в лабораторних умовах за наступними показниками якості коксівності 10%-го залишку, змісту смолистих речовин. Крім того, визначалася фракційна сполука, кінематична в’язкість і щільність палива. Показники якості дизельного палива марки, що характеризують його нагароутворюючі властивості, змінюються залежно від часу гідродинамічної обробки. Найбільш істотного зниження фактичних смол відбувається після 15 </w:t>
      </w:r>
      <w:r>
        <w:rPr>
          <w:spacing w:val="-3"/>
        </w:rPr>
        <w:t>хв. </w:t>
      </w:r>
      <w:r>
        <w:rPr/>
        <w:t>обробки палива (з 11,82 по 6,37 мг на 100 мл палива, тобто на 46%). При подальшому збільшенні часу обробки палива ультразвуком зміст фактичних смол зростає, досягаючи після 60хв. відпрацьовування 9,88мг на 100мл</w:t>
      </w:r>
      <w:r>
        <w:rPr>
          <w:spacing w:val="9"/>
        </w:rPr>
        <w:t> </w:t>
      </w:r>
      <w:r>
        <w:rPr/>
        <w:t>палива.</w:t>
      </w:r>
    </w:p>
    <w:p>
      <w:pPr>
        <w:spacing w:after="0"/>
        <w:sectPr>
          <w:pgSz w:w="11910" w:h="16840"/>
          <w:pgMar w:header="713" w:footer="778" w:top="1140" w:bottom="960" w:left="940" w:right="520"/>
        </w:sectPr>
      </w:pPr>
    </w:p>
    <w:p>
      <w:pPr>
        <w:pStyle w:val="BodyText"/>
        <w:spacing w:before="92"/>
        <w:ind w:right="607" w:firstLine="710"/>
      </w:pPr>
      <w:r>
        <w:rPr>
          <w:b/>
        </w:rPr>
        <w:t>Висновки. </w:t>
      </w:r>
      <w:r>
        <w:rPr/>
        <w:t>Коксівність 10%-го залишку палива перші 45хв обробки практично не змінюється й тільки при обробці протягом 60 хв. збільшується з 0,30 до 0,46%, тобто на 53%. Зміст смолистих речовин у перші 15 хв. не змінюється, а при подальшому збільшенні часу гідродинамічної обробки до 45 хв. зростає до 1% і потім залишається постійним. Кінематична в’язкість дизельного палива незначно зростає з 2,82 сСт до 2,92 сСт при часі обробки 60 хв. Щільність і фракційна сполука практично не змінюються. У такий спосіб гідродинамічна обробка дизельних палив у плині 15 </w:t>
      </w:r>
      <w:r>
        <w:rPr>
          <w:spacing w:val="-3"/>
        </w:rPr>
        <w:t>хв. із </w:t>
      </w:r>
      <w:r>
        <w:rPr/>
        <w:t>частотою </w:t>
      </w:r>
      <w:r>
        <w:rPr>
          <w:spacing w:val="2"/>
        </w:rPr>
        <w:t>18-26 </w:t>
      </w:r>
      <w:r>
        <w:rPr/>
        <w:t>кГц найбільше істотно знижує нагароутворення на деталях циліндро-поршневої групи</w:t>
      </w:r>
      <w:r>
        <w:rPr>
          <w:spacing w:val="-13"/>
        </w:rPr>
        <w:t> </w:t>
      </w:r>
      <w:r>
        <w:rPr/>
        <w:t>й</w:t>
      </w:r>
      <w:r>
        <w:rPr>
          <w:spacing w:val="-12"/>
        </w:rPr>
        <w:t> </w:t>
      </w:r>
      <w:r>
        <w:rPr/>
        <w:t>коксування</w:t>
      </w:r>
      <w:r>
        <w:rPr>
          <w:spacing w:val="-12"/>
        </w:rPr>
        <w:t> </w:t>
      </w:r>
      <w:r>
        <w:rPr/>
        <w:t>розпилювачів</w:t>
      </w:r>
      <w:r>
        <w:rPr>
          <w:spacing w:val="-15"/>
        </w:rPr>
        <w:t> </w:t>
      </w:r>
      <w:r>
        <w:rPr/>
        <w:t>форсунок</w:t>
      </w:r>
      <w:r>
        <w:rPr>
          <w:spacing w:val="-10"/>
        </w:rPr>
        <w:t> </w:t>
      </w:r>
      <w:r>
        <w:rPr/>
        <w:t>і</w:t>
      </w:r>
      <w:r>
        <w:rPr>
          <w:spacing w:val="-17"/>
        </w:rPr>
        <w:t> </w:t>
      </w:r>
      <w:r>
        <w:rPr/>
        <w:t>може</w:t>
      </w:r>
      <w:r>
        <w:rPr>
          <w:spacing w:val="-12"/>
        </w:rPr>
        <w:t> </w:t>
      </w:r>
      <w:r>
        <w:rPr/>
        <w:t>бути</w:t>
      </w:r>
      <w:r>
        <w:rPr>
          <w:spacing w:val="-12"/>
        </w:rPr>
        <w:t> </w:t>
      </w:r>
      <w:r>
        <w:rPr/>
        <w:t>прийнята</w:t>
      </w:r>
      <w:r>
        <w:rPr>
          <w:spacing w:val="-12"/>
        </w:rPr>
        <w:t> </w:t>
      </w:r>
      <w:r>
        <w:rPr/>
        <w:t>оптимальною. За результатами випробувань паливна система з диспергуючою камерою може бути використана при модернізації дизелів мобільної агротехніки й транспортних</w:t>
      </w:r>
      <w:r>
        <w:rPr>
          <w:spacing w:val="-4"/>
        </w:rPr>
        <w:t> </w:t>
      </w:r>
      <w:r>
        <w:rPr/>
        <w:t>засобів.</w:t>
      </w:r>
    </w:p>
    <w:p>
      <w:pPr>
        <w:pStyle w:val="BodyText"/>
        <w:spacing w:before="5"/>
        <w:ind w:left="0"/>
        <w:jc w:val="left"/>
      </w:pPr>
    </w:p>
    <w:p>
      <w:pPr>
        <w:pStyle w:val="Heading1"/>
        <w:spacing w:line="320" w:lineRule="exact"/>
        <w:ind w:left="894"/>
      </w:pPr>
      <w:r>
        <w:rPr/>
        <w:t>ЛІТЕРАТУРА</w:t>
      </w:r>
    </w:p>
    <w:p>
      <w:pPr>
        <w:pStyle w:val="ListParagraph"/>
        <w:numPr>
          <w:ilvl w:val="0"/>
          <w:numId w:val="40"/>
        </w:numPr>
        <w:tabs>
          <w:tab w:pos="1245" w:val="left" w:leader="none"/>
        </w:tabs>
        <w:spacing w:line="240" w:lineRule="auto" w:before="0" w:after="0"/>
        <w:ind w:left="193" w:right="614" w:firstLine="710"/>
        <w:jc w:val="both"/>
        <w:rPr>
          <w:sz w:val="28"/>
        </w:rPr>
      </w:pPr>
      <w:r>
        <w:rPr>
          <w:sz w:val="28"/>
        </w:rPr>
        <w:t>Зуев В.П., Кряжков Г.И. и др. Ультразвуковая обработка дизельных топлив как средство борьбы с нагарообразованием. – Научные труды Ленинградского с.-х. ин-та, т. 41, 1981,</w:t>
      </w:r>
      <w:r>
        <w:rPr>
          <w:spacing w:val="17"/>
          <w:sz w:val="28"/>
        </w:rPr>
        <w:t> </w:t>
      </w:r>
      <w:r>
        <w:rPr>
          <w:sz w:val="28"/>
        </w:rPr>
        <w:t>с.46-50.</w:t>
      </w:r>
    </w:p>
    <w:p>
      <w:pPr>
        <w:pStyle w:val="ListParagraph"/>
        <w:numPr>
          <w:ilvl w:val="0"/>
          <w:numId w:val="40"/>
        </w:numPr>
        <w:tabs>
          <w:tab w:pos="1196" w:val="left" w:leader="none"/>
        </w:tabs>
        <w:spacing w:line="240" w:lineRule="auto" w:before="1" w:after="0"/>
        <w:ind w:left="1196" w:right="0" w:hanging="293"/>
        <w:jc w:val="both"/>
        <w:rPr>
          <w:sz w:val="28"/>
        </w:rPr>
      </w:pPr>
      <w:r>
        <w:rPr>
          <w:sz w:val="28"/>
        </w:rPr>
        <w:t>Кнепп Р., Дейли Дж., Хеммит Ф., Кавітація, пер. З _нгл.., М., 1974,</w:t>
      </w:r>
      <w:r>
        <w:rPr>
          <w:spacing w:val="57"/>
          <w:sz w:val="28"/>
        </w:rPr>
        <w:t> </w:t>
      </w:r>
      <w:r>
        <w:rPr>
          <w:sz w:val="28"/>
        </w:rPr>
        <w:t>274</w:t>
      </w:r>
    </w:p>
    <w:p>
      <w:pPr>
        <w:pStyle w:val="BodyText"/>
        <w:spacing w:line="322" w:lineRule="exact"/>
        <w:jc w:val="left"/>
      </w:pPr>
      <w:r>
        <w:rPr/>
        <w:t>с.</w:t>
      </w:r>
    </w:p>
    <w:p>
      <w:pPr>
        <w:pStyle w:val="ListParagraph"/>
        <w:numPr>
          <w:ilvl w:val="0"/>
          <w:numId w:val="40"/>
        </w:numPr>
        <w:tabs>
          <w:tab w:pos="1289" w:val="left" w:leader="none"/>
        </w:tabs>
        <w:spacing w:line="240" w:lineRule="auto" w:before="0" w:after="0"/>
        <w:ind w:left="1288" w:right="0" w:hanging="386"/>
        <w:jc w:val="left"/>
        <w:rPr>
          <w:sz w:val="28"/>
        </w:rPr>
      </w:pPr>
      <w:r>
        <w:rPr>
          <w:color w:val="333333"/>
          <w:sz w:val="28"/>
        </w:rPr>
        <w:t>Чанкин</w:t>
      </w:r>
      <w:r>
        <w:rPr>
          <w:color w:val="333333"/>
          <w:spacing w:val="27"/>
          <w:sz w:val="28"/>
        </w:rPr>
        <w:t> </w:t>
      </w:r>
      <w:r>
        <w:rPr>
          <w:color w:val="333333"/>
          <w:sz w:val="28"/>
        </w:rPr>
        <w:t>В.В.,</w:t>
      </w:r>
      <w:r>
        <w:rPr>
          <w:color w:val="333333"/>
          <w:spacing w:val="29"/>
          <w:sz w:val="28"/>
        </w:rPr>
        <w:t> </w:t>
      </w:r>
      <w:r>
        <w:rPr>
          <w:color w:val="333333"/>
          <w:sz w:val="28"/>
        </w:rPr>
        <w:t>Тайц</w:t>
      </w:r>
      <w:r>
        <w:rPr>
          <w:color w:val="333333"/>
          <w:spacing w:val="32"/>
          <w:sz w:val="28"/>
        </w:rPr>
        <w:t> </w:t>
      </w:r>
      <w:r>
        <w:rPr>
          <w:color w:val="333333"/>
          <w:sz w:val="28"/>
        </w:rPr>
        <w:t>В.В.</w:t>
      </w:r>
      <w:r>
        <w:rPr>
          <w:color w:val="333333"/>
          <w:spacing w:val="29"/>
          <w:sz w:val="28"/>
        </w:rPr>
        <w:t> </w:t>
      </w:r>
      <w:r>
        <w:rPr>
          <w:color w:val="333333"/>
          <w:sz w:val="28"/>
        </w:rPr>
        <w:t>Способ</w:t>
      </w:r>
      <w:r>
        <w:rPr>
          <w:color w:val="333333"/>
          <w:spacing w:val="29"/>
          <w:sz w:val="28"/>
        </w:rPr>
        <w:t> </w:t>
      </w:r>
      <w:r>
        <w:rPr>
          <w:color w:val="333333"/>
          <w:sz w:val="28"/>
        </w:rPr>
        <w:t>комплексной</w:t>
      </w:r>
      <w:r>
        <w:rPr>
          <w:color w:val="333333"/>
          <w:spacing w:val="28"/>
          <w:sz w:val="28"/>
        </w:rPr>
        <w:t> </w:t>
      </w:r>
      <w:r>
        <w:rPr>
          <w:color w:val="333333"/>
          <w:sz w:val="28"/>
        </w:rPr>
        <w:t>очистки</w:t>
      </w:r>
      <w:r>
        <w:rPr>
          <w:color w:val="333333"/>
          <w:spacing w:val="27"/>
          <w:sz w:val="28"/>
        </w:rPr>
        <w:t> </w:t>
      </w:r>
      <w:r>
        <w:rPr>
          <w:color w:val="333333"/>
          <w:sz w:val="28"/>
        </w:rPr>
        <w:t>дизельного</w:t>
      </w:r>
    </w:p>
    <w:p>
      <w:pPr>
        <w:pStyle w:val="BodyText"/>
        <w:spacing w:line="322" w:lineRule="exact"/>
      </w:pPr>
      <w:r>
        <w:rPr>
          <w:color w:val="333333"/>
        </w:rPr>
        <w:t>топлива и установка для комплексной очистки дизельного топлива </w:t>
      </w:r>
      <w:r>
        <w:rPr/>
        <w:t>. -</w:t>
      </w:r>
    </w:p>
    <w:p>
      <w:pPr>
        <w:pStyle w:val="BodyText"/>
        <w:spacing w:line="322" w:lineRule="exact"/>
      </w:pPr>
      <w:r>
        <w:rPr/>
        <w:t>«Роспатент», </w:t>
      </w:r>
      <w:r>
        <w:rPr>
          <w:color w:val="333333"/>
        </w:rPr>
        <w:t>(RU 2245452 С1, F 02 M 27/00, 1996).</w:t>
      </w:r>
    </w:p>
    <w:p>
      <w:pPr>
        <w:pStyle w:val="ListParagraph"/>
        <w:numPr>
          <w:ilvl w:val="0"/>
          <w:numId w:val="40"/>
        </w:numPr>
        <w:tabs>
          <w:tab w:pos="1116" w:val="left" w:leader="none"/>
        </w:tabs>
        <w:spacing w:line="240" w:lineRule="auto" w:before="0" w:after="0"/>
        <w:ind w:left="193" w:right="610" w:firstLine="710"/>
        <w:jc w:val="both"/>
        <w:rPr>
          <w:color w:val="333333"/>
          <w:sz w:val="26"/>
        </w:rPr>
      </w:pPr>
      <w:r>
        <w:rPr>
          <w:sz w:val="28"/>
        </w:rPr>
        <w:t>Уминський С.М. Паливна система з гідродинамічним диспергуванням. Патент на корисну модель </w:t>
      </w:r>
      <w:r>
        <w:rPr>
          <w:spacing w:val="2"/>
          <w:sz w:val="28"/>
        </w:rPr>
        <w:t>UA </w:t>
      </w:r>
      <w:r>
        <w:rPr>
          <w:sz w:val="28"/>
        </w:rPr>
        <w:t>134835U А 23К Заявлено 11.12.2018р. Опубл.10.06.2019. Бюл</w:t>
      </w:r>
      <w:r>
        <w:rPr>
          <w:spacing w:val="7"/>
          <w:sz w:val="28"/>
        </w:rPr>
        <w:t> </w:t>
      </w:r>
      <w:r>
        <w:rPr>
          <w:sz w:val="28"/>
        </w:rPr>
        <w:t>.№11.</w:t>
      </w:r>
    </w:p>
    <w:p>
      <w:pPr>
        <w:pStyle w:val="BodyText"/>
        <w:spacing w:before="3"/>
        <w:ind w:left="0"/>
        <w:jc w:val="left"/>
      </w:pPr>
    </w:p>
    <w:p>
      <w:pPr>
        <w:pStyle w:val="Heading1"/>
        <w:spacing w:line="322" w:lineRule="exact"/>
        <w:ind w:left="890"/>
      </w:pPr>
      <w:r>
        <w:rPr/>
        <w:t>ГИДИНАМИЧЕСКОЕ ДИСПЕРГИРОВАНИЕ ДИЗЕЛЬНОГО</w:t>
      </w:r>
    </w:p>
    <w:p>
      <w:pPr>
        <w:spacing w:line="319" w:lineRule="exact" w:before="0"/>
        <w:ind w:left="179" w:right="603" w:firstLine="0"/>
        <w:jc w:val="center"/>
        <w:rPr>
          <w:b/>
          <w:sz w:val="28"/>
        </w:rPr>
      </w:pPr>
      <w:r>
        <w:rPr>
          <w:b/>
          <w:sz w:val="28"/>
        </w:rPr>
        <w:t>ТОПЛИВА</w:t>
      </w:r>
    </w:p>
    <w:p>
      <w:pPr>
        <w:pStyle w:val="BodyText"/>
        <w:spacing w:line="319" w:lineRule="exact"/>
        <w:ind w:left="1139"/>
      </w:pPr>
      <w:r>
        <w:rPr/>
        <w:t>С. Уминський, В. Макарчук, М. Королькова, С. Дмитриева, С. Житков</w:t>
      </w:r>
    </w:p>
    <w:p>
      <w:pPr>
        <w:spacing w:line="240" w:lineRule="auto" w:before="0"/>
        <w:ind w:left="193" w:right="613" w:firstLine="710"/>
        <w:jc w:val="both"/>
        <w:rPr>
          <w:i/>
          <w:sz w:val="28"/>
        </w:rPr>
      </w:pPr>
      <w:r>
        <w:rPr>
          <w:i/>
          <w:sz w:val="28"/>
        </w:rPr>
        <w:t>Обоснована и разработана методика использования гидродинамических </w:t>
      </w:r>
      <w:r>
        <w:rPr>
          <w:i/>
          <w:sz w:val="28"/>
        </w:rPr>
        <w:t>излучателей для диспергирования дизельных топлив с целью снижения нагарообразования. Топливная система снабжена диспергирующией и сборной камерами равного объема, связанными между собой трубопроводом с двухпозиционным краном, расположенным в сборной камере в виде поплавка, связанного через двойной цепной рычаг с двухпозиционным краном, а ультразвуковой излучатель, установлен в диспергирующих камере , расположенной ниже топливного бака, соединенной с ним трубопроводом, выведенным</w:t>
      </w:r>
      <w:r>
        <w:rPr>
          <w:i/>
          <w:spacing w:val="-12"/>
          <w:sz w:val="28"/>
        </w:rPr>
        <w:t> </w:t>
      </w:r>
      <w:r>
        <w:rPr>
          <w:i/>
          <w:sz w:val="28"/>
        </w:rPr>
        <w:t>выше</w:t>
      </w:r>
      <w:r>
        <w:rPr>
          <w:i/>
          <w:spacing w:val="-13"/>
          <w:sz w:val="28"/>
        </w:rPr>
        <w:t> </w:t>
      </w:r>
      <w:r>
        <w:rPr>
          <w:i/>
          <w:sz w:val="28"/>
        </w:rPr>
        <w:t>уровня</w:t>
      </w:r>
      <w:r>
        <w:rPr>
          <w:i/>
          <w:spacing w:val="-14"/>
          <w:sz w:val="28"/>
        </w:rPr>
        <w:t> </w:t>
      </w:r>
      <w:r>
        <w:rPr>
          <w:i/>
          <w:sz w:val="28"/>
        </w:rPr>
        <w:t>отстоя</w:t>
      </w:r>
      <w:r>
        <w:rPr>
          <w:i/>
          <w:spacing w:val="-13"/>
          <w:sz w:val="28"/>
        </w:rPr>
        <w:t> </w:t>
      </w:r>
      <w:r>
        <w:rPr>
          <w:i/>
          <w:sz w:val="28"/>
        </w:rPr>
        <w:t>в</w:t>
      </w:r>
      <w:r>
        <w:rPr>
          <w:i/>
          <w:spacing w:val="-15"/>
          <w:sz w:val="28"/>
        </w:rPr>
        <w:t> </w:t>
      </w:r>
      <w:r>
        <w:rPr>
          <w:i/>
          <w:sz w:val="28"/>
        </w:rPr>
        <w:t>топливном</w:t>
      </w:r>
      <w:r>
        <w:rPr>
          <w:i/>
          <w:spacing w:val="-14"/>
          <w:sz w:val="28"/>
        </w:rPr>
        <w:t> </w:t>
      </w:r>
      <w:r>
        <w:rPr>
          <w:i/>
          <w:sz w:val="28"/>
        </w:rPr>
        <w:t>баке,</w:t>
      </w:r>
      <w:r>
        <w:rPr>
          <w:i/>
          <w:spacing w:val="-12"/>
          <w:sz w:val="28"/>
        </w:rPr>
        <w:t> </w:t>
      </w:r>
      <w:r>
        <w:rPr>
          <w:i/>
          <w:sz w:val="28"/>
        </w:rPr>
        <w:t>и</w:t>
      </w:r>
      <w:r>
        <w:rPr>
          <w:i/>
          <w:spacing w:val="-13"/>
          <w:sz w:val="28"/>
        </w:rPr>
        <w:t> </w:t>
      </w:r>
      <w:r>
        <w:rPr>
          <w:i/>
          <w:sz w:val="28"/>
        </w:rPr>
        <w:t>сборная</w:t>
      </w:r>
      <w:r>
        <w:rPr>
          <w:i/>
          <w:spacing w:val="-14"/>
          <w:sz w:val="28"/>
        </w:rPr>
        <w:t> </w:t>
      </w:r>
      <w:r>
        <w:rPr>
          <w:i/>
          <w:sz w:val="28"/>
        </w:rPr>
        <w:t>камера</w:t>
      </w:r>
      <w:r>
        <w:rPr>
          <w:i/>
          <w:spacing w:val="-13"/>
          <w:sz w:val="28"/>
        </w:rPr>
        <w:t> </w:t>
      </w:r>
      <w:r>
        <w:rPr>
          <w:i/>
          <w:sz w:val="28"/>
        </w:rPr>
        <w:t>по</w:t>
      </w:r>
      <w:r>
        <w:rPr>
          <w:i/>
          <w:spacing w:val="-14"/>
          <w:sz w:val="28"/>
        </w:rPr>
        <w:t> </w:t>
      </w:r>
      <w:r>
        <w:rPr>
          <w:i/>
          <w:sz w:val="28"/>
        </w:rPr>
        <w:t>объему равна объему топлива, потребляемого дизелем при максимальном расходе за время диспергирования, расположена ниже диспергирующей камеры соединенной</w:t>
      </w:r>
      <w:r>
        <w:rPr>
          <w:i/>
          <w:spacing w:val="-10"/>
          <w:sz w:val="28"/>
        </w:rPr>
        <w:t> </w:t>
      </w:r>
      <w:r>
        <w:rPr>
          <w:i/>
          <w:sz w:val="28"/>
        </w:rPr>
        <w:t>с</w:t>
      </w:r>
      <w:r>
        <w:rPr>
          <w:i/>
          <w:spacing w:val="-9"/>
          <w:sz w:val="28"/>
        </w:rPr>
        <w:t> </w:t>
      </w:r>
      <w:r>
        <w:rPr>
          <w:i/>
          <w:sz w:val="28"/>
        </w:rPr>
        <w:t>воздушной</w:t>
      </w:r>
      <w:r>
        <w:rPr>
          <w:i/>
          <w:spacing w:val="-9"/>
          <w:sz w:val="28"/>
        </w:rPr>
        <w:t> </w:t>
      </w:r>
      <w:r>
        <w:rPr>
          <w:i/>
          <w:sz w:val="28"/>
        </w:rPr>
        <w:t>полостью</w:t>
      </w:r>
      <w:r>
        <w:rPr>
          <w:i/>
          <w:spacing w:val="-10"/>
          <w:sz w:val="28"/>
        </w:rPr>
        <w:t> </w:t>
      </w:r>
      <w:r>
        <w:rPr>
          <w:i/>
          <w:sz w:val="28"/>
        </w:rPr>
        <w:t>топливного</w:t>
      </w:r>
      <w:r>
        <w:rPr>
          <w:i/>
          <w:spacing w:val="-9"/>
          <w:sz w:val="28"/>
        </w:rPr>
        <w:t> </w:t>
      </w:r>
      <w:r>
        <w:rPr>
          <w:i/>
          <w:sz w:val="28"/>
        </w:rPr>
        <w:t>бака.</w:t>
      </w:r>
      <w:r>
        <w:rPr>
          <w:i/>
          <w:spacing w:val="-8"/>
          <w:sz w:val="28"/>
        </w:rPr>
        <w:t> </w:t>
      </w:r>
      <w:r>
        <w:rPr>
          <w:i/>
          <w:sz w:val="28"/>
        </w:rPr>
        <w:t>Топливная</w:t>
      </w:r>
      <w:r>
        <w:rPr>
          <w:i/>
          <w:spacing w:val="-10"/>
          <w:sz w:val="28"/>
        </w:rPr>
        <w:t> </w:t>
      </w:r>
      <w:r>
        <w:rPr>
          <w:i/>
          <w:sz w:val="28"/>
        </w:rPr>
        <w:t>система</w:t>
      </w:r>
      <w:r>
        <w:rPr>
          <w:i/>
          <w:spacing w:val="-9"/>
          <w:sz w:val="28"/>
        </w:rPr>
        <w:t> </w:t>
      </w:r>
      <w:r>
        <w:rPr>
          <w:i/>
          <w:sz w:val="28"/>
        </w:rPr>
        <w:t>дизеля с гидродинамическим излучателем диспергирующей камеры позволяет эффективно снижать нагарообразование на деталях</w:t>
      </w:r>
      <w:r>
        <w:rPr>
          <w:i/>
          <w:spacing w:val="10"/>
          <w:sz w:val="28"/>
        </w:rPr>
        <w:t> </w:t>
      </w:r>
      <w:r>
        <w:rPr>
          <w:i/>
          <w:sz w:val="28"/>
        </w:rPr>
        <w:t>цилиндро-поршневой</w:t>
      </w:r>
    </w:p>
    <w:p>
      <w:pPr>
        <w:spacing w:after="0" w:line="240" w:lineRule="auto"/>
        <w:jc w:val="both"/>
        <w:rPr>
          <w:sz w:val="28"/>
        </w:rPr>
        <w:sectPr>
          <w:pgSz w:w="11910" w:h="16840"/>
          <w:pgMar w:header="713" w:footer="778" w:top="1140" w:bottom="960" w:left="940" w:right="520"/>
        </w:sectPr>
      </w:pPr>
    </w:p>
    <w:p>
      <w:pPr>
        <w:spacing w:before="92"/>
        <w:ind w:left="193" w:right="616" w:firstLine="0"/>
        <w:jc w:val="both"/>
        <w:rPr>
          <w:i/>
          <w:sz w:val="28"/>
        </w:rPr>
      </w:pPr>
      <w:r>
        <w:rPr>
          <w:i/>
          <w:sz w:val="28"/>
        </w:rPr>
        <w:t>группы и коксование распылителей форсунок. По результатам испытаний </w:t>
      </w:r>
      <w:r>
        <w:rPr>
          <w:i/>
          <w:sz w:val="28"/>
        </w:rPr>
        <w:t>топливная система с диспергирующей камерой может быть использована при модернизации дизелей мобильной агротехники и транспортных средств.</w:t>
      </w:r>
    </w:p>
    <w:p>
      <w:pPr>
        <w:spacing w:before="0"/>
        <w:ind w:left="193" w:right="621" w:firstLine="710"/>
        <w:jc w:val="both"/>
        <w:rPr>
          <w:i/>
          <w:sz w:val="28"/>
        </w:rPr>
      </w:pPr>
      <w:r>
        <w:rPr>
          <w:b/>
          <w:i/>
          <w:sz w:val="28"/>
        </w:rPr>
        <w:t>Ключевые слова: </w:t>
      </w:r>
      <w:r>
        <w:rPr>
          <w:i/>
          <w:sz w:val="28"/>
        </w:rPr>
        <w:t>гидродинамический излучатель, акустическая волна, </w:t>
      </w:r>
      <w:r>
        <w:rPr>
          <w:i/>
          <w:sz w:val="28"/>
        </w:rPr>
        <w:t>отражатель, диспергирования, дизельное топливо.</w:t>
      </w:r>
    </w:p>
    <w:p>
      <w:pPr>
        <w:pStyle w:val="BodyText"/>
        <w:spacing w:before="7"/>
        <w:ind w:left="0"/>
        <w:jc w:val="left"/>
        <w:rPr>
          <w:i/>
        </w:rPr>
      </w:pPr>
    </w:p>
    <w:p>
      <w:pPr>
        <w:pStyle w:val="Heading1"/>
        <w:spacing w:line="319" w:lineRule="exact" w:before="1"/>
        <w:ind w:left="895"/>
      </w:pPr>
      <w:r>
        <w:rPr/>
        <w:t>HYDROLYNAMIC DISPERSION OF DIESEL FUEL</w:t>
      </w:r>
    </w:p>
    <w:p>
      <w:pPr>
        <w:pStyle w:val="BodyText"/>
        <w:spacing w:line="319" w:lineRule="exact"/>
        <w:ind w:left="1552"/>
      </w:pPr>
      <w:r>
        <w:rPr/>
        <w:t>S.Uminsky, V. Makarchuk, M. Korolkova, S. Dmitrieva, S. Zhitkov</w:t>
      </w:r>
    </w:p>
    <w:p>
      <w:pPr>
        <w:spacing w:line="240" w:lineRule="auto" w:before="0"/>
        <w:ind w:left="193" w:right="610" w:firstLine="710"/>
        <w:jc w:val="both"/>
        <w:rPr>
          <w:i/>
          <w:sz w:val="28"/>
        </w:rPr>
      </w:pPr>
      <w:r>
        <w:rPr>
          <w:i/>
          <w:sz w:val="28"/>
        </w:rPr>
        <w:t>The</w:t>
      </w:r>
      <w:r>
        <w:rPr>
          <w:i/>
          <w:spacing w:val="-7"/>
          <w:sz w:val="28"/>
        </w:rPr>
        <w:t> </w:t>
      </w:r>
      <w:r>
        <w:rPr>
          <w:i/>
          <w:sz w:val="28"/>
        </w:rPr>
        <w:t>technique</w:t>
      </w:r>
      <w:r>
        <w:rPr>
          <w:i/>
          <w:spacing w:val="-7"/>
          <w:sz w:val="28"/>
        </w:rPr>
        <w:t> </w:t>
      </w:r>
      <w:r>
        <w:rPr>
          <w:i/>
          <w:sz w:val="28"/>
        </w:rPr>
        <w:t>of</w:t>
      </w:r>
      <w:r>
        <w:rPr>
          <w:i/>
          <w:spacing w:val="-8"/>
          <w:sz w:val="28"/>
        </w:rPr>
        <w:t> </w:t>
      </w:r>
      <w:r>
        <w:rPr>
          <w:i/>
          <w:sz w:val="28"/>
        </w:rPr>
        <w:t>using</w:t>
      </w:r>
      <w:r>
        <w:rPr>
          <w:i/>
          <w:spacing w:val="-8"/>
          <w:sz w:val="28"/>
        </w:rPr>
        <w:t> </w:t>
      </w:r>
      <w:r>
        <w:rPr>
          <w:i/>
          <w:sz w:val="28"/>
        </w:rPr>
        <w:t>hydrodynamic</w:t>
      </w:r>
      <w:r>
        <w:rPr>
          <w:i/>
          <w:spacing w:val="-6"/>
          <w:sz w:val="28"/>
        </w:rPr>
        <w:t> </w:t>
      </w:r>
      <w:r>
        <w:rPr>
          <w:i/>
          <w:sz w:val="28"/>
        </w:rPr>
        <w:t>emitters</w:t>
      </w:r>
      <w:r>
        <w:rPr>
          <w:i/>
          <w:spacing w:val="-5"/>
          <w:sz w:val="28"/>
        </w:rPr>
        <w:t> </w:t>
      </w:r>
      <w:r>
        <w:rPr>
          <w:i/>
          <w:sz w:val="28"/>
        </w:rPr>
        <w:t>for</w:t>
      </w:r>
      <w:r>
        <w:rPr>
          <w:i/>
          <w:spacing w:val="-11"/>
          <w:sz w:val="28"/>
        </w:rPr>
        <w:t> </w:t>
      </w:r>
      <w:r>
        <w:rPr>
          <w:i/>
          <w:sz w:val="28"/>
        </w:rPr>
        <w:t>dispersion</w:t>
      </w:r>
      <w:r>
        <w:rPr>
          <w:i/>
          <w:spacing w:val="-8"/>
          <w:sz w:val="28"/>
        </w:rPr>
        <w:t> </w:t>
      </w:r>
      <w:r>
        <w:rPr>
          <w:i/>
          <w:sz w:val="28"/>
        </w:rPr>
        <w:t>of</w:t>
      </w:r>
      <w:r>
        <w:rPr>
          <w:i/>
          <w:spacing w:val="-7"/>
          <w:sz w:val="28"/>
        </w:rPr>
        <w:t> </w:t>
      </w:r>
      <w:r>
        <w:rPr>
          <w:i/>
          <w:sz w:val="28"/>
        </w:rPr>
        <w:t>diesel</w:t>
      </w:r>
      <w:r>
        <w:rPr>
          <w:i/>
          <w:spacing w:val="-8"/>
          <w:sz w:val="28"/>
        </w:rPr>
        <w:t> </w:t>
      </w:r>
      <w:r>
        <w:rPr>
          <w:i/>
          <w:sz w:val="28"/>
        </w:rPr>
        <w:t>fuels</w:t>
      </w:r>
      <w:r>
        <w:rPr>
          <w:i/>
          <w:spacing w:val="-10"/>
          <w:sz w:val="28"/>
        </w:rPr>
        <w:t> </w:t>
      </w:r>
      <w:r>
        <w:rPr>
          <w:i/>
          <w:sz w:val="28"/>
        </w:rPr>
        <w:t>with </w:t>
      </w:r>
      <w:r>
        <w:rPr>
          <w:i/>
          <w:sz w:val="28"/>
        </w:rPr>
        <w:t>the purpose of reducing the buildup is substantiated and developed. The fuel system is provided </w:t>
      </w:r>
      <w:r>
        <w:rPr>
          <w:i/>
          <w:spacing w:val="-3"/>
          <w:sz w:val="28"/>
        </w:rPr>
        <w:t>with </w:t>
      </w:r>
      <w:r>
        <w:rPr>
          <w:i/>
          <w:sz w:val="28"/>
        </w:rPr>
        <w:t>dispersing and collecting chambers of equal volume, interconnected by a pipeline with, a two-position crane located in the collecting chamber in the form of a</w:t>
      </w:r>
      <w:r>
        <w:rPr>
          <w:i/>
          <w:spacing w:val="-17"/>
          <w:sz w:val="28"/>
        </w:rPr>
        <w:t> </w:t>
      </w:r>
      <w:r>
        <w:rPr>
          <w:i/>
          <w:sz w:val="28"/>
        </w:rPr>
        <w:t>float</w:t>
      </w:r>
      <w:r>
        <w:rPr>
          <w:i/>
          <w:spacing w:val="-17"/>
          <w:sz w:val="28"/>
        </w:rPr>
        <w:t> </w:t>
      </w:r>
      <w:r>
        <w:rPr>
          <w:i/>
          <w:sz w:val="28"/>
        </w:rPr>
        <w:t>connected</w:t>
      </w:r>
      <w:r>
        <w:rPr>
          <w:i/>
          <w:spacing w:val="-16"/>
          <w:sz w:val="28"/>
        </w:rPr>
        <w:t> </w:t>
      </w:r>
      <w:r>
        <w:rPr>
          <w:i/>
          <w:sz w:val="28"/>
        </w:rPr>
        <w:t>through</w:t>
      </w:r>
      <w:r>
        <w:rPr>
          <w:i/>
          <w:spacing w:val="-17"/>
          <w:sz w:val="28"/>
        </w:rPr>
        <w:t> </w:t>
      </w:r>
      <w:r>
        <w:rPr>
          <w:i/>
          <w:spacing w:val="-3"/>
          <w:sz w:val="28"/>
        </w:rPr>
        <w:t>two</w:t>
      </w:r>
      <w:r>
        <w:rPr>
          <w:i/>
          <w:spacing w:val="-17"/>
          <w:sz w:val="28"/>
        </w:rPr>
        <w:t> </w:t>
      </w:r>
      <w:r>
        <w:rPr>
          <w:i/>
          <w:sz w:val="28"/>
        </w:rPr>
        <w:t>chain</w:t>
      </w:r>
      <w:r>
        <w:rPr>
          <w:i/>
          <w:spacing w:val="-16"/>
          <w:sz w:val="28"/>
        </w:rPr>
        <w:t> </w:t>
      </w:r>
      <w:r>
        <w:rPr>
          <w:i/>
          <w:sz w:val="28"/>
        </w:rPr>
        <w:t>levers</w:t>
      </w:r>
      <w:r>
        <w:rPr>
          <w:i/>
          <w:spacing w:val="-20"/>
          <w:sz w:val="28"/>
        </w:rPr>
        <w:t> </w:t>
      </w:r>
      <w:r>
        <w:rPr>
          <w:i/>
          <w:sz w:val="28"/>
        </w:rPr>
        <w:t>with</w:t>
      </w:r>
      <w:r>
        <w:rPr>
          <w:i/>
          <w:spacing w:val="-17"/>
          <w:sz w:val="28"/>
        </w:rPr>
        <w:t> </w:t>
      </w:r>
      <w:r>
        <w:rPr>
          <w:i/>
          <w:sz w:val="28"/>
        </w:rPr>
        <w:t>a</w:t>
      </w:r>
      <w:r>
        <w:rPr>
          <w:i/>
          <w:spacing w:val="-16"/>
          <w:sz w:val="28"/>
        </w:rPr>
        <w:t> </w:t>
      </w:r>
      <w:r>
        <w:rPr>
          <w:i/>
          <w:sz w:val="28"/>
        </w:rPr>
        <w:t>two-position</w:t>
      </w:r>
      <w:r>
        <w:rPr>
          <w:i/>
          <w:spacing w:val="-17"/>
          <w:sz w:val="28"/>
        </w:rPr>
        <w:t> </w:t>
      </w:r>
      <w:r>
        <w:rPr>
          <w:i/>
          <w:sz w:val="28"/>
        </w:rPr>
        <w:t>crane,</w:t>
      </w:r>
      <w:r>
        <w:rPr>
          <w:i/>
          <w:spacing w:val="-15"/>
          <w:sz w:val="28"/>
        </w:rPr>
        <w:t> </w:t>
      </w:r>
      <w:r>
        <w:rPr>
          <w:i/>
          <w:sz w:val="28"/>
        </w:rPr>
        <w:t>and</w:t>
      </w:r>
      <w:r>
        <w:rPr>
          <w:i/>
          <w:spacing w:val="-22"/>
          <w:sz w:val="28"/>
        </w:rPr>
        <w:t> </w:t>
      </w:r>
      <w:r>
        <w:rPr>
          <w:i/>
          <w:sz w:val="28"/>
        </w:rPr>
        <w:t>an</w:t>
      </w:r>
      <w:r>
        <w:rPr>
          <w:i/>
          <w:spacing w:val="-16"/>
          <w:sz w:val="28"/>
        </w:rPr>
        <w:t> </w:t>
      </w:r>
      <w:r>
        <w:rPr>
          <w:i/>
          <w:sz w:val="28"/>
        </w:rPr>
        <w:t>ultrasonic emitter installed in the dispersing chamber located below the connected to it by a pipeline above the level of sedimentation in the fuel tank, and the collecting chamber by volume equals the volume of fuel consumed by the diesel engine at the maximum flow</w:t>
      </w:r>
      <w:r>
        <w:rPr>
          <w:i/>
          <w:spacing w:val="-18"/>
          <w:sz w:val="28"/>
        </w:rPr>
        <w:t> </w:t>
      </w:r>
      <w:r>
        <w:rPr>
          <w:i/>
          <w:sz w:val="28"/>
        </w:rPr>
        <w:t>rate</w:t>
      </w:r>
      <w:r>
        <w:rPr>
          <w:i/>
          <w:spacing w:val="-10"/>
          <w:sz w:val="28"/>
        </w:rPr>
        <w:t> </w:t>
      </w:r>
      <w:r>
        <w:rPr>
          <w:i/>
          <w:sz w:val="28"/>
        </w:rPr>
        <w:t>during</w:t>
      </w:r>
      <w:r>
        <w:rPr>
          <w:i/>
          <w:spacing w:val="-11"/>
          <w:sz w:val="28"/>
        </w:rPr>
        <w:t> </w:t>
      </w:r>
      <w:r>
        <w:rPr>
          <w:i/>
          <w:sz w:val="28"/>
        </w:rPr>
        <w:t>the</w:t>
      </w:r>
      <w:r>
        <w:rPr>
          <w:i/>
          <w:spacing w:val="-9"/>
          <w:sz w:val="28"/>
        </w:rPr>
        <w:t> </w:t>
      </w:r>
      <w:r>
        <w:rPr>
          <w:i/>
          <w:sz w:val="28"/>
        </w:rPr>
        <w:t>dis</w:t>
      </w:r>
      <w:r>
        <w:rPr>
          <w:i/>
          <w:spacing w:val="-9"/>
          <w:sz w:val="28"/>
        </w:rPr>
        <w:t> </w:t>
      </w:r>
      <w:r>
        <w:rPr>
          <w:i/>
          <w:sz w:val="28"/>
        </w:rPr>
        <w:t>It</w:t>
      </w:r>
      <w:r>
        <w:rPr>
          <w:i/>
          <w:spacing w:val="-11"/>
          <w:sz w:val="28"/>
        </w:rPr>
        <w:t> </w:t>
      </w:r>
      <w:r>
        <w:rPr>
          <w:i/>
          <w:sz w:val="28"/>
        </w:rPr>
        <w:t>is</w:t>
      </w:r>
      <w:r>
        <w:rPr>
          <w:i/>
          <w:spacing w:val="-8"/>
          <w:sz w:val="28"/>
        </w:rPr>
        <w:t> </w:t>
      </w:r>
      <w:r>
        <w:rPr>
          <w:i/>
          <w:sz w:val="28"/>
        </w:rPr>
        <w:t>located</w:t>
      </w:r>
      <w:r>
        <w:rPr>
          <w:i/>
          <w:spacing w:val="-10"/>
          <w:sz w:val="28"/>
        </w:rPr>
        <w:t> </w:t>
      </w:r>
      <w:r>
        <w:rPr>
          <w:i/>
          <w:sz w:val="28"/>
        </w:rPr>
        <w:t>below</w:t>
      </w:r>
      <w:r>
        <w:rPr>
          <w:i/>
          <w:spacing w:val="-12"/>
          <w:sz w:val="28"/>
        </w:rPr>
        <w:t> </w:t>
      </w:r>
      <w:r>
        <w:rPr>
          <w:i/>
          <w:sz w:val="28"/>
        </w:rPr>
        <w:t>the</w:t>
      </w:r>
      <w:r>
        <w:rPr>
          <w:i/>
          <w:spacing w:val="-9"/>
          <w:sz w:val="28"/>
        </w:rPr>
        <w:t> </w:t>
      </w:r>
      <w:r>
        <w:rPr>
          <w:i/>
          <w:sz w:val="28"/>
        </w:rPr>
        <w:t>dispersion</w:t>
      </w:r>
      <w:r>
        <w:rPr>
          <w:i/>
          <w:spacing w:val="-11"/>
          <w:sz w:val="28"/>
        </w:rPr>
        <w:t> </w:t>
      </w:r>
      <w:r>
        <w:rPr>
          <w:i/>
          <w:sz w:val="28"/>
        </w:rPr>
        <w:t>chamber</w:t>
      </w:r>
      <w:r>
        <w:rPr>
          <w:i/>
          <w:spacing w:val="-8"/>
          <w:sz w:val="28"/>
        </w:rPr>
        <w:t> </w:t>
      </w:r>
      <w:r>
        <w:rPr>
          <w:i/>
          <w:sz w:val="28"/>
        </w:rPr>
        <w:t>connected</w:t>
      </w:r>
      <w:r>
        <w:rPr>
          <w:i/>
          <w:spacing w:val="-10"/>
          <w:sz w:val="28"/>
        </w:rPr>
        <w:t> </w:t>
      </w:r>
      <w:r>
        <w:rPr>
          <w:i/>
          <w:sz w:val="28"/>
        </w:rPr>
        <w:t>to</w:t>
      </w:r>
      <w:r>
        <w:rPr>
          <w:i/>
          <w:spacing w:val="-11"/>
          <w:sz w:val="28"/>
        </w:rPr>
        <w:t> </w:t>
      </w:r>
      <w:r>
        <w:rPr>
          <w:i/>
          <w:sz w:val="28"/>
        </w:rPr>
        <w:t>the</w:t>
      </w:r>
      <w:r>
        <w:rPr>
          <w:i/>
          <w:spacing w:val="-9"/>
          <w:sz w:val="28"/>
        </w:rPr>
        <w:t> </w:t>
      </w:r>
      <w:r>
        <w:rPr>
          <w:i/>
          <w:sz w:val="28"/>
        </w:rPr>
        <w:t>air cavity</w:t>
      </w:r>
      <w:r>
        <w:rPr>
          <w:i/>
          <w:spacing w:val="-11"/>
          <w:sz w:val="28"/>
        </w:rPr>
        <w:t> </w:t>
      </w:r>
      <w:r>
        <w:rPr>
          <w:i/>
          <w:sz w:val="28"/>
        </w:rPr>
        <w:t>of</w:t>
      </w:r>
      <w:r>
        <w:rPr>
          <w:i/>
          <w:spacing w:val="-12"/>
          <w:sz w:val="28"/>
        </w:rPr>
        <w:t> </w:t>
      </w:r>
      <w:r>
        <w:rPr>
          <w:i/>
          <w:sz w:val="28"/>
        </w:rPr>
        <w:t>the</w:t>
      </w:r>
      <w:r>
        <w:rPr>
          <w:i/>
          <w:spacing w:val="-11"/>
          <w:sz w:val="28"/>
        </w:rPr>
        <w:t> </w:t>
      </w:r>
      <w:r>
        <w:rPr>
          <w:i/>
          <w:sz w:val="28"/>
        </w:rPr>
        <w:t>fuel</w:t>
      </w:r>
      <w:r>
        <w:rPr>
          <w:i/>
          <w:spacing w:val="-12"/>
          <w:sz w:val="28"/>
        </w:rPr>
        <w:t> </w:t>
      </w:r>
      <w:r>
        <w:rPr>
          <w:i/>
          <w:sz w:val="28"/>
        </w:rPr>
        <w:t>tank.</w:t>
      </w:r>
      <w:r>
        <w:rPr>
          <w:i/>
          <w:spacing w:val="-8"/>
          <w:sz w:val="28"/>
        </w:rPr>
        <w:t> </w:t>
      </w:r>
      <w:r>
        <w:rPr>
          <w:i/>
          <w:sz w:val="28"/>
        </w:rPr>
        <w:t>A</w:t>
      </w:r>
      <w:r>
        <w:rPr>
          <w:i/>
          <w:spacing w:val="-13"/>
          <w:sz w:val="28"/>
        </w:rPr>
        <w:t> </w:t>
      </w:r>
      <w:r>
        <w:rPr>
          <w:i/>
          <w:sz w:val="28"/>
        </w:rPr>
        <w:t>diesel</w:t>
      </w:r>
      <w:r>
        <w:rPr>
          <w:i/>
          <w:spacing w:val="-13"/>
          <w:sz w:val="28"/>
        </w:rPr>
        <w:t> </w:t>
      </w:r>
      <w:r>
        <w:rPr>
          <w:i/>
          <w:sz w:val="28"/>
        </w:rPr>
        <w:t>fuel</w:t>
      </w:r>
      <w:r>
        <w:rPr>
          <w:i/>
          <w:spacing w:val="-11"/>
          <w:sz w:val="28"/>
        </w:rPr>
        <w:t> </w:t>
      </w:r>
      <w:r>
        <w:rPr>
          <w:i/>
          <w:sz w:val="28"/>
        </w:rPr>
        <w:t>system</w:t>
      </w:r>
      <w:r>
        <w:rPr>
          <w:i/>
          <w:spacing w:val="-15"/>
          <w:sz w:val="28"/>
        </w:rPr>
        <w:t> </w:t>
      </w:r>
      <w:r>
        <w:rPr>
          <w:i/>
          <w:sz w:val="28"/>
        </w:rPr>
        <w:t>with</w:t>
      </w:r>
      <w:r>
        <w:rPr>
          <w:i/>
          <w:spacing w:val="-11"/>
          <w:sz w:val="28"/>
        </w:rPr>
        <w:t> </w:t>
      </w:r>
      <w:r>
        <w:rPr>
          <w:i/>
          <w:sz w:val="28"/>
        </w:rPr>
        <w:t>a</w:t>
      </w:r>
      <w:r>
        <w:rPr>
          <w:i/>
          <w:spacing w:val="-12"/>
          <w:sz w:val="28"/>
        </w:rPr>
        <w:t> </w:t>
      </w:r>
      <w:r>
        <w:rPr>
          <w:i/>
          <w:sz w:val="28"/>
        </w:rPr>
        <w:t>hydrodynamic</w:t>
      </w:r>
      <w:r>
        <w:rPr>
          <w:i/>
          <w:spacing w:val="-11"/>
          <w:sz w:val="28"/>
        </w:rPr>
        <w:t> </w:t>
      </w:r>
      <w:r>
        <w:rPr>
          <w:i/>
          <w:sz w:val="28"/>
        </w:rPr>
        <w:t>emitter</w:t>
      </w:r>
      <w:r>
        <w:rPr>
          <w:i/>
          <w:spacing w:val="-9"/>
          <w:sz w:val="28"/>
        </w:rPr>
        <w:t> </w:t>
      </w:r>
      <w:r>
        <w:rPr>
          <w:i/>
          <w:sz w:val="28"/>
        </w:rPr>
        <w:t>of</w:t>
      </w:r>
      <w:r>
        <w:rPr>
          <w:i/>
          <w:spacing w:val="-13"/>
          <w:sz w:val="28"/>
        </w:rPr>
        <w:t> </w:t>
      </w:r>
      <w:r>
        <w:rPr>
          <w:i/>
          <w:sz w:val="28"/>
        </w:rPr>
        <w:t>a</w:t>
      </w:r>
      <w:r>
        <w:rPr>
          <w:i/>
          <w:spacing w:val="-11"/>
          <w:sz w:val="28"/>
        </w:rPr>
        <w:t> </w:t>
      </w:r>
      <w:r>
        <w:rPr>
          <w:i/>
          <w:sz w:val="28"/>
        </w:rPr>
        <w:t>dispersing chamber can effectively reduce the buildup on the details of the cylinder-piston group and</w:t>
      </w:r>
      <w:r>
        <w:rPr>
          <w:i/>
          <w:spacing w:val="-7"/>
          <w:sz w:val="28"/>
        </w:rPr>
        <w:t> </w:t>
      </w:r>
      <w:r>
        <w:rPr>
          <w:i/>
          <w:sz w:val="28"/>
        </w:rPr>
        <w:t>the</w:t>
      </w:r>
      <w:r>
        <w:rPr>
          <w:i/>
          <w:spacing w:val="-6"/>
          <w:sz w:val="28"/>
        </w:rPr>
        <w:t> </w:t>
      </w:r>
      <w:r>
        <w:rPr>
          <w:i/>
          <w:sz w:val="28"/>
        </w:rPr>
        <w:t>coking</w:t>
      </w:r>
      <w:r>
        <w:rPr>
          <w:i/>
          <w:spacing w:val="-7"/>
          <w:sz w:val="28"/>
        </w:rPr>
        <w:t> </w:t>
      </w:r>
      <w:r>
        <w:rPr>
          <w:i/>
          <w:sz w:val="28"/>
        </w:rPr>
        <w:t>of</w:t>
      </w:r>
      <w:r>
        <w:rPr>
          <w:i/>
          <w:spacing w:val="-7"/>
          <w:sz w:val="28"/>
        </w:rPr>
        <w:t> </w:t>
      </w:r>
      <w:r>
        <w:rPr>
          <w:i/>
          <w:sz w:val="28"/>
        </w:rPr>
        <w:t>the</w:t>
      </w:r>
      <w:r>
        <w:rPr>
          <w:i/>
          <w:spacing w:val="-7"/>
          <w:sz w:val="28"/>
        </w:rPr>
        <w:t> </w:t>
      </w:r>
      <w:r>
        <w:rPr>
          <w:i/>
          <w:sz w:val="28"/>
        </w:rPr>
        <w:t>atomizer</w:t>
      </w:r>
      <w:r>
        <w:rPr>
          <w:i/>
          <w:spacing w:val="-4"/>
          <w:sz w:val="28"/>
        </w:rPr>
        <w:t> </w:t>
      </w:r>
      <w:r>
        <w:rPr>
          <w:i/>
          <w:sz w:val="28"/>
        </w:rPr>
        <w:t>nozzles.</w:t>
      </w:r>
      <w:r>
        <w:rPr>
          <w:i/>
          <w:spacing w:val="-4"/>
          <w:sz w:val="28"/>
        </w:rPr>
        <w:t> </w:t>
      </w:r>
      <w:r>
        <w:rPr>
          <w:i/>
          <w:sz w:val="28"/>
        </w:rPr>
        <w:t>According</w:t>
      </w:r>
      <w:r>
        <w:rPr>
          <w:i/>
          <w:spacing w:val="-8"/>
          <w:sz w:val="28"/>
        </w:rPr>
        <w:t> </w:t>
      </w:r>
      <w:r>
        <w:rPr>
          <w:i/>
          <w:sz w:val="28"/>
        </w:rPr>
        <w:t>to</w:t>
      </w:r>
      <w:r>
        <w:rPr>
          <w:i/>
          <w:spacing w:val="-7"/>
          <w:sz w:val="28"/>
        </w:rPr>
        <w:t> </w:t>
      </w:r>
      <w:r>
        <w:rPr>
          <w:i/>
          <w:sz w:val="28"/>
        </w:rPr>
        <w:t>the</w:t>
      </w:r>
      <w:r>
        <w:rPr>
          <w:i/>
          <w:spacing w:val="-6"/>
          <w:sz w:val="28"/>
        </w:rPr>
        <w:t> </w:t>
      </w:r>
      <w:r>
        <w:rPr>
          <w:i/>
          <w:sz w:val="28"/>
        </w:rPr>
        <w:t>test</w:t>
      </w:r>
      <w:r>
        <w:rPr>
          <w:i/>
          <w:spacing w:val="-7"/>
          <w:sz w:val="28"/>
        </w:rPr>
        <w:t> </w:t>
      </w:r>
      <w:r>
        <w:rPr>
          <w:i/>
          <w:sz w:val="28"/>
        </w:rPr>
        <w:t>results,</w:t>
      </w:r>
      <w:r>
        <w:rPr>
          <w:i/>
          <w:spacing w:val="-5"/>
          <w:sz w:val="28"/>
        </w:rPr>
        <w:t> </w:t>
      </w:r>
      <w:r>
        <w:rPr>
          <w:i/>
          <w:sz w:val="28"/>
        </w:rPr>
        <w:t>a</w:t>
      </w:r>
      <w:r>
        <w:rPr>
          <w:i/>
          <w:spacing w:val="-6"/>
          <w:sz w:val="28"/>
        </w:rPr>
        <w:t> </w:t>
      </w:r>
      <w:r>
        <w:rPr>
          <w:i/>
          <w:sz w:val="28"/>
        </w:rPr>
        <w:t>fuel</w:t>
      </w:r>
      <w:r>
        <w:rPr>
          <w:i/>
          <w:spacing w:val="-6"/>
          <w:sz w:val="28"/>
        </w:rPr>
        <w:t> </w:t>
      </w:r>
      <w:r>
        <w:rPr>
          <w:i/>
          <w:sz w:val="28"/>
        </w:rPr>
        <w:t>system</w:t>
      </w:r>
      <w:r>
        <w:rPr>
          <w:i/>
          <w:spacing w:val="-6"/>
          <w:sz w:val="28"/>
        </w:rPr>
        <w:t> </w:t>
      </w:r>
      <w:r>
        <w:rPr>
          <w:i/>
          <w:sz w:val="28"/>
        </w:rPr>
        <w:t>with a</w:t>
      </w:r>
      <w:r>
        <w:rPr>
          <w:i/>
          <w:spacing w:val="-8"/>
          <w:sz w:val="28"/>
        </w:rPr>
        <w:t> </w:t>
      </w:r>
      <w:r>
        <w:rPr>
          <w:i/>
          <w:sz w:val="28"/>
        </w:rPr>
        <w:t>dispersing</w:t>
      </w:r>
      <w:r>
        <w:rPr>
          <w:i/>
          <w:spacing w:val="-12"/>
          <w:sz w:val="28"/>
        </w:rPr>
        <w:t> </w:t>
      </w:r>
      <w:r>
        <w:rPr>
          <w:i/>
          <w:sz w:val="28"/>
        </w:rPr>
        <w:t>chamber</w:t>
      </w:r>
      <w:r>
        <w:rPr>
          <w:i/>
          <w:spacing w:val="-5"/>
          <w:sz w:val="28"/>
        </w:rPr>
        <w:t> </w:t>
      </w:r>
      <w:r>
        <w:rPr>
          <w:i/>
          <w:sz w:val="28"/>
        </w:rPr>
        <w:t>can</w:t>
      </w:r>
      <w:r>
        <w:rPr>
          <w:i/>
          <w:spacing w:val="-12"/>
          <w:sz w:val="28"/>
        </w:rPr>
        <w:t> </w:t>
      </w:r>
      <w:r>
        <w:rPr>
          <w:i/>
          <w:sz w:val="28"/>
        </w:rPr>
        <w:t>be</w:t>
      </w:r>
      <w:r>
        <w:rPr>
          <w:i/>
          <w:spacing w:val="-11"/>
          <w:sz w:val="28"/>
        </w:rPr>
        <w:t> </w:t>
      </w:r>
      <w:r>
        <w:rPr>
          <w:i/>
          <w:sz w:val="28"/>
        </w:rPr>
        <w:t>used</w:t>
      </w:r>
      <w:r>
        <w:rPr>
          <w:i/>
          <w:spacing w:val="-12"/>
          <w:sz w:val="28"/>
        </w:rPr>
        <w:t> </w:t>
      </w:r>
      <w:r>
        <w:rPr>
          <w:i/>
          <w:sz w:val="28"/>
        </w:rPr>
        <w:t>in</w:t>
      </w:r>
      <w:r>
        <w:rPr>
          <w:i/>
          <w:spacing w:val="-8"/>
          <w:sz w:val="28"/>
        </w:rPr>
        <w:t> </w:t>
      </w:r>
      <w:r>
        <w:rPr>
          <w:i/>
          <w:sz w:val="28"/>
        </w:rPr>
        <w:t>the</w:t>
      </w:r>
      <w:r>
        <w:rPr>
          <w:i/>
          <w:spacing w:val="-11"/>
          <w:sz w:val="28"/>
        </w:rPr>
        <w:t> </w:t>
      </w:r>
      <w:r>
        <w:rPr>
          <w:i/>
          <w:sz w:val="28"/>
        </w:rPr>
        <w:t>modernization</w:t>
      </w:r>
      <w:r>
        <w:rPr>
          <w:i/>
          <w:spacing w:val="-7"/>
          <w:sz w:val="28"/>
        </w:rPr>
        <w:t> </w:t>
      </w:r>
      <w:r>
        <w:rPr>
          <w:i/>
          <w:sz w:val="28"/>
        </w:rPr>
        <w:t>of</w:t>
      </w:r>
      <w:r>
        <w:rPr>
          <w:i/>
          <w:spacing w:val="-8"/>
          <w:sz w:val="28"/>
        </w:rPr>
        <w:t> </w:t>
      </w:r>
      <w:r>
        <w:rPr>
          <w:i/>
          <w:sz w:val="28"/>
        </w:rPr>
        <w:t>mobile</w:t>
      </w:r>
      <w:r>
        <w:rPr>
          <w:i/>
          <w:spacing w:val="-8"/>
          <w:sz w:val="28"/>
        </w:rPr>
        <w:t> </w:t>
      </w:r>
      <w:r>
        <w:rPr>
          <w:i/>
          <w:sz w:val="28"/>
        </w:rPr>
        <w:t>agricultural</w:t>
      </w:r>
      <w:r>
        <w:rPr>
          <w:i/>
          <w:spacing w:val="-8"/>
          <w:sz w:val="28"/>
        </w:rPr>
        <w:t> </w:t>
      </w:r>
      <w:r>
        <w:rPr>
          <w:i/>
          <w:sz w:val="28"/>
        </w:rPr>
        <w:t>vehicles and vehicles.</w:t>
      </w:r>
    </w:p>
    <w:p>
      <w:pPr>
        <w:spacing w:before="0"/>
        <w:ind w:left="903" w:right="0" w:firstLine="0"/>
        <w:jc w:val="both"/>
        <w:rPr>
          <w:i/>
          <w:sz w:val="28"/>
        </w:rPr>
      </w:pPr>
      <w:r>
        <w:rPr>
          <w:b/>
          <w:i/>
          <w:sz w:val="28"/>
        </w:rPr>
        <w:t>Key words: </w:t>
      </w:r>
      <w:r>
        <w:rPr>
          <w:i/>
          <w:sz w:val="28"/>
        </w:rPr>
        <w:t>hydrodynamic emitter, acoustic wave, reflector, dispersions, diesel</w:t>
      </w:r>
    </w:p>
    <w:p>
      <w:pPr>
        <w:spacing w:before="0"/>
        <w:ind w:left="193" w:right="0" w:firstLine="0"/>
        <w:jc w:val="left"/>
        <w:rPr>
          <w:i/>
          <w:sz w:val="28"/>
        </w:rPr>
      </w:pPr>
      <w:r>
        <w:rPr>
          <w:i/>
          <w:sz w:val="28"/>
        </w:rPr>
        <w:t>fuel.</w:t>
      </w:r>
    </w:p>
    <w:p>
      <w:pPr>
        <w:spacing w:after="0"/>
        <w:jc w:val="left"/>
        <w:rPr>
          <w:sz w:val="28"/>
        </w:rPr>
        <w:sectPr>
          <w:pgSz w:w="11910" w:h="16840"/>
          <w:pgMar w:header="713" w:footer="778" w:top="1140" w:bottom="960" w:left="940" w:right="520"/>
        </w:sectPr>
      </w:pPr>
    </w:p>
    <w:p>
      <w:pPr>
        <w:pStyle w:val="Heading1"/>
        <w:tabs>
          <w:tab w:pos="5859" w:val="left" w:leader="none"/>
        </w:tabs>
        <w:spacing w:before="96"/>
        <w:ind w:right="0"/>
        <w:jc w:val="both"/>
      </w:pPr>
      <w:r>
        <w:rPr/>
        <w:t>УДК</w:t>
      </w:r>
      <w:r>
        <w:rPr>
          <w:spacing w:val="-1"/>
        </w:rPr>
        <w:t> </w:t>
      </w:r>
      <w:r>
        <w:rPr/>
        <w:t>632.57</w:t>
        <w:tab/>
        <w:t>DOI:</w:t>
      </w:r>
      <w:r>
        <w:rPr>
          <w:spacing w:val="-1"/>
        </w:rPr>
        <w:t> </w:t>
      </w:r>
      <w:r>
        <w:rPr/>
        <w:t>10.37000/abbsl.2020.96.25</w:t>
      </w:r>
    </w:p>
    <w:p>
      <w:pPr>
        <w:pStyle w:val="BodyText"/>
        <w:spacing w:before="11"/>
        <w:ind w:left="0"/>
        <w:jc w:val="left"/>
        <w:rPr>
          <w:b/>
          <w:sz w:val="27"/>
        </w:rPr>
      </w:pPr>
    </w:p>
    <w:p>
      <w:pPr>
        <w:spacing w:before="0"/>
        <w:ind w:left="3079" w:right="1181" w:hanging="1599"/>
        <w:jc w:val="left"/>
        <w:rPr>
          <w:b/>
          <w:sz w:val="28"/>
        </w:rPr>
      </w:pPr>
      <w:r>
        <w:rPr>
          <w:b/>
          <w:sz w:val="28"/>
        </w:rPr>
        <w:t>МОДЕЛЮВАННЯ БАЛАНСУ БІОГЕННИХ ЕЛЕМЕНТІВ В УМОВАХ ПІВДНЯ УКРАЇНИ</w:t>
      </w:r>
    </w:p>
    <w:p>
      <w:pPr>
        <w:spacing w:line="322" w:lineRule="exact" w:before="0"/>
        <w:ind w:left="888" w:right="603" w:firstLine="0"/>
        <w:jc w:val="center"/>
        <w:rPr>
          <w:b/>
          <w:sz w:val="28"/>
        </w:rPr>
      </w:pPr>
      <w:r>
        <w:rPr>
          <w:b/>
          <w:sz w:val="28"/>
        </w:rPr>
        <w:t>В. Ільіна, Г. Вовкодав</w:t>
      </w:r>
    </w:p>
    <w:p>
      <w:pPr>
        <w:spacing w:before="0"/>
        <w:ind w:left="886" w:right="603" w:firstLine="0"/>
        <w:jc w:val="center"/>
        <w:rPr>
          <w:i/>
          <w:sz w:val="28"/>
        </w:rPr>
      </w:pPr>
      <w:r>
        <w:rPr>
          <w:i/>
          <w:sz w:val="28"/>
        </w:rPr>
        <w:t>Одеський державний екологічний університет</w:t>
      </w:r>
    </w:p>
    <w:p>
      <w:pPr>
        <w:pStyle w:val="BodyText"/>
        <w:spacing w:before="11"/>
        <w:ind w:left="0"/>
        <w:jc w:val="left"/>
        <w:rPr>
          <w:i/>
          <w:sz w:val="27"/>
        </w:rPr>
      </w:pPr>
    </w:p>
    <w:p>
      <w:pPr>
        <w:spacing w:line="240" w:lineRule="auto" w:before="0"/>
        <w:ind w:left="193" w:right="613" w:firstLine="705"/>
        <w:jc w:val="both"/>
        <w:rPr>
          <w:i/>
          <w:sz w:val="28"/>
        </w:rPr>
      </w:pPr>
      <w:r>
        <w:rPr>
          <w:i/>
          <w:sz w:val="28"/>
        </w:rPr>
        <w:t>Південь України відноситься до зони із сприятливими для вирощування </w:t>
      </w:r>
      <w:r>
        <w:rPr>
          <w:i/>
          <w:sz w:val="28"/>
        </w:rPr>
        <w:t>великого набору сільськогосподарських культур( зернових, технічних, кормових, овочевих, бахчевих та інших) кліматичними умовами, за винятком умов зволоження. Незважаючи на це, для отримання високих та стійких врожаїв на цій території необхідно використання мінеральних та органічних добрив, у зв`язку із недостатнім вмістом органічної речовини у грунті. До складу мінеральних добрив входить велика кількість біогенних елементів, основними з яких є азот та фосфор. Моделювання, як сучасний метод оцінки та прогнозу можливих змін стану довкілля, зазнає все більшого розповсюдження. В рамках роботи, за допомогою методики оцінки балансу біогенних елементів та математичної моделі, яка дозволяє спрогнозувати рівень врожайності, виконано моделювання балансу біогенних елементів на території Півдня України. Розрахунки проводилися за даними 2010 -2015 років по всій території, з урахуванням площі сільськогосподарських рослин, норм внесення мінеральних та органічних добрив та площ, на які вносилися окремі види добрив, при цьому виконано аналіз внесення мінеральних та органічних добрив за останні 25 років</w:t>
      </w:r>
    </w:p>
    <w:p>
      <w:pPr>
        <w:spacing w:before="0"/>
        <w:ind w:left="193" w:right="624" w:firstLine="0"/>
        <w:jc w:val="both"/>
        <w:rPr>
          <w:i/>
          <w:sz w:val="28"/>
        </w:rPr>
      </w:pPr>
      <w:r>
        <w:rPr>
          <w:i/>
          <w:sz w:val="28"/>
        </w:rPr>
        <w:t>. Баланс складався за рахунок внесення біогенів з добривами( прихідна частина </w:t>
      </w:r>
      <w:r>
        <w:rPr>
          <w:i/>
          <w:sz w:val="28"/>
        </w:rPr>
        <w:t>балансу) та поглинанням біогенів кореневою системою рослин для формування врожаю ( розхідна частина балансу).</w:t>
      </w:r>
    </w:p>
    <w:p>
      <w:pPr>
        <w:spacing w:before="0"/>
        <w:ind w:left="193" w:right="623" w:firstLine="705"/>
        <w:jc w:val="both"/>
        <w:rPr>
          <w:i/>
          <w:sz w:val="28"/>
        </w:rPr>
      </w:pPr>
      <w:r>
        <w:rPr>
          <w:b/>
          <w:i/>
          <w:sz w:val="28"/>
        </w:rPr>
        <w:t>Ключові слова: </w:t>
      </w:r>
      <w:r>
        <w:rPr>
          <w:i/>
          <w:sz w:val="28"/>
        </w:rPr>
        <w:t>моделювання, біогенні елементи, математична модель, </w:t>
      </w:r>
      <w:r>
        <w:rPr>
          <w:i/>
          <w:sz w:val="28"/>
        </w:rPr>
        <w:t>мінеральні та органічні добрива, врожай.</w:t>
      </w:r>
    </w:p>
    <w:p>
      <w:pPr>
        <w:pStyle w:val="BodyText"/>
        <w:spacing w:before="9"/>
        <w:ind w:left="0"/>
        <w:jc w:val="left"/>
        <w:rPr>
          <w:i/>
          <w:sz w:val="27"/>
        </w:rPr>
      </w:pPr>
    </w:p>
    <w:p>
      <w:pPr>
        <w:pStyle w:val="BodyText"/>
        <w:spacing w:before="1"/>
        <w:ind w:right="603" w:firstLine="705"/>
      </w:pPr>
      <w:r>
        <w:rPr>
          <w:b/>
        </w:rPr>
        <w:t>Вступ.</w:t>
      </w:r>
      <w:r>
        <w:rPr>
          <w:b/>
          <w:spacing w:val="-1"/>
        </w:rPr>
        <w:t> </w:t>
      </w:r>
      <w:r>
        <w:rPr/>
        <w:t>У</w:t>
      </w:r>
      <w:r>
        <w:rPr>
          <w:spacing w:val="-7"/>
        </w:rPr>
        <w:t> </w:t>
      </w:r>
      <w:r>
        <w:rPr/>
        <w:t>зв`язку</w:t>
      </w:r>
      <w:r>
        <w:rPr>
          <w:spacing w:val="-12"/>
        </w:rPr>
        <w:t> </w:t>
      </w:r>
      <w:r>
        <w:rPr>
          <w:spacing w:val="-3"/>
        </w:rPr>
        <w:t>із</w:t>
      </w:r>
      <w:r>
        <w:rPr>
          <w:spacing w:val="-8"/>
        </w:rPr>
        <w:t> </w:t>
      </w:r>
      <w:r>
        <w:rPr/>
        <w:t>зміною</w:t>
      </w:r>
      <w:r>
        <w:rPr>
          <w:spacing w:val="-9"/>
        </w:rPr>
        <w:t> </w:t>
      </w:r>
      <w:r>
        <w:rPr/>
        <w:t>кліматичних,</w:t>
      </w:r>
      <w:r>
        <w:rPr>
          <w:spacing w:val="-13"/>
        </w:rPr>
        <w:t> </w:t>
      </w:r>
      <w:r>
        <w:rPr/>
        <w:t>грунтових</w:t>
      </w:r>
      <w:r>
        <w:rPr>
          <w:spacing w:val="-8"/>
        </w:rPr>
        <w:t> </w:t>
      </w:r>
      <w:r>
        <w:rPr/>
        <w:t>та</w:t>
      </w:r>
      <w:r>
        <w:rPr>
          <w:spacing w:val="-11"/>
        </w:rPr>
        <w:t> </w:t>
      </w:r>
      <w:r>
        <w:rPr/>
        <w:t>антропогенних</w:t>
      </w:r>
      <w:r>
        <w:rPr>
          <w:spacing w:val="-7"/>
        </w:rPr>
        <w:t> </w:t>
      </w:r>
      <w:r>
        <w:rPr/>
        <w:t>умов навантаження на агроценози актуальною є </w:t>
      </w:r>
      <w:r>
        <w:rPr>
          <w:spacing w:val="-3"/>
        </w:rPr>
        <w:t>проблема </w:t>
      </w:r>
      <w:r>
        <w:rPr/>
        <w:t>забезпечення населення високоякісними</w:t>
      </w:r>
      <w:r>
        <w:rPr>
          <w:spacing w:val="-18"/>
        </w:rPr>
        <w:t> </w:t>
      </w:r>
      <w:r>
        <w:rPr/>
        <w:t>продуктами</w:t>
      </w:r>
      <w:r>
        <w:rPr>
          <w:spacing w:val="-15"/>
        </w:rPr>
        <w:t> </w:t>
      </w:r>
      <w:r>
        <w:rPr/>
        <w:t>харчування</w:t>
      </w:r>
      <w:r>
        <w:rPr>
          <w:spacing w:val="-20"/>
        </w:rPr>
        <w:t> </w:t>
      </w:r>
      <w:r>
        <w:rPr/>
        <w:t>у</w:t>
      </w:r>
      <w:r>
        <w:rPr>
          <w:spacing w:val="-18"/>
        </w:rPr>
        <w:t> </w:t>
      </w:r>
      <w:r>
        <w:rPr/>
        <w:t>достатніх</w:t>
      </w:r>
      <w:r>
        <w:rPr>
          <w:spacing w:val="-17"/>
        </w:rPr>
        <w:t> </w:t>
      </w:r>
      <w:r>
        <w:rPr/>
        <w:t>кількостях.</w:t>
      </w:r>
      <w:r>
        <w:rPr>
          <w:spacing w:val="-16"/>
        </w:rPr>
        <w:t> </w:t>
      </w:r>
      <w:r>
        <w:rPr/>
        <w:t>Південь</w:t>
      </w:r>
      <w:r>
        <w:rPr>
          <w:spacing w:val="-19"/>
        </w:rPr>
        <w:t> </w:t>
      </w:r>
      <w:r>
        <w:rPr>
          <w:spacing w:val="-3"/>
        </w:rPr>
        <w:t>України </w:t>
      </w:r>
      <w:r>
        <w:rPr/>
        <w:t>має досить високий потенціал у цьому питання при умові раціонального використання</w:t>
      </w:r>
      <w:r>
        <w:rPr>
          <w:spacing w:val="-3"/>
        </w:rPr>
        <w:t> земель.</w:t>
      </w:r>
    </w:p>
    <w:p>
      <w:pPr>
        <w:pStyle w:val="BodyText"/>
        <w:spacing w:before="3"/>
        <w:ind w:right="622" w:firstLine="705"/>
      </w:pPr>
      <w:r>
        <w:rPr>
          <w:b/>
        </w:rPr>
        <w:t>Проблема. </w:t>
      </w:r>
      <w:r>
        <w:rPr/>
        <w:t>Грунти Півдня України мало забезпечені гумусом, тому для раціонального використання земель необхідне застосування сучасних методів виробництва, які передбачають використання мінерального живлення для сільськогосподарських рослин, тому проблема біогенного навантаження є досить актуальною.</w:t>
      </w:r>
    </w:p>
    <w:p>
      <w:pPr>
        <w:pStyle w:val="BodyText"/>
        <w:ind w:right="610" w:firstLine="705"/>
      </w:pPr>
      <w:r>
        <w:rPr>
          <w:b/>
        </w:rPr>
        <w:t>Аналіз останніх досліджень і публікацій. </w:t>
      </w:r>
      <w:r>
        <w:rPr/>
        <w:t>Питанням оцінки стану сільськогосподарських угідь займалась досить велика кількість науковців [1]. При цьому були ураховані основні ґрунтоутворюючі характеристики [2].</w:t>
      </w:r>
    </w:p>
    <w:p>
      <w:pPr>
        <w:pStyle w:val="BodyText"/>
        <w:ind w:right="617" w:firstLine="705"/>
      </w:pPr>
      <w:r>
        <w:rPr>
          <w:b/>
        </w:rPr>
        <w:t>Мета досліджень. </w:t>
      </w:r>
      <w:r>
        <w:rPr/>
        <w:t>Виконати оцінку біогенного навантаження на грунтовий покрив сільськогосподарських території Півдня України за</w:t>
      </w:r>
    </w:p>
    <w:p>
      <w:pPr>
        <w:spacing w:after="0"/>
        <w:sectPr>
          <w:pgSz w:w="11910" w:h="16840"/>
          <w:pgMar w:header="713" w:footer="778" w:top="1140" w:bottom="960" w:left="940" w:right="520"/>
        </w:sectPr>
      </w:pPr>
    </w:p>
    <w:p>
      <w:pPr>
        <w:pStyle w:val="BodyText"/>
        <w:spacing w:before="92"/>
        <w:ind w:right="617"/>
      </w:pPr>
      <w:r>
        <w:rPr/>
        <w:t>допомогою математичного моделювання, що дозволить надати практичні рекомендації що до зменшення негативного впливу на останній .</w:t>
      </w:r>
    </w:p>
    <w:p>
      <w:pPr>
        <w:pStyle w:val="BodyText"/>
        <w:ind w:right="606" w:firstLine="705"/>
      </w:pPr>
      <w:r>
        <w:rPr>
          <w:b/>
        </w:rPr>
        <w:t>Результати досліджень. </w:t>
      </w:r>
      <w:r>
        <w:rPr/>
        <w:t>Південь України відноситься до зони ризикованого землеробства. </w:t>
      </w:r>
      <w:r>
        <w:rPr>
          <w:spacing w:val="-3"/>
        </w:rPr>
        <w:t>Не </w:t>
      </w:r>
      <w:r>
        <w:rPr/>
        <w:t>зважаючи на тут можна отримувати достаньо високі врожаї сільськогосподарських рослин при умові оптимізації та раціонального використання мінерального живлення. Грунтово-технічні умови на території трьох областей характеризуються неоднорідністю. </w:t>
      </w:r>
      <w:r>
        <w:rPr>
          <w:spacing w:val="-3"/>
        </w:rPr>
        <w:t>На </w:t>
      </w:r>
      <w:r>
        <w:rPr/>
        <w:t>території Одеської області умови середні, середньоважкі та важкі. </w:t>
      </w:r>
      <w:r>
        <w:rPr>
          <w:spacing w:val="-3"/>
        </w:rPr>
        <w:t>На </w:t>
      </w:r>
      <w:r>
        <w:rPr/>
        <w:t>території Миколаївської</w:t>
      </w:r>
      <w:r>
        <w:rPr>
          <w:spacing w:val="-25"/>
        </w:rPr>
        <w:t> </w:t>
      </w:r>
      <w:r>
        <w:rPr/>
        <w:t>області</w:t>
      </w:r>
      <w:r>
        <w:rPr>
          <w:spacing w:val="-28"/>
        </w:rPr>
        <w:t> </w:t>
      </w:r>
      <w:r>
        <w:rPr/>
        <w:t>переважають</w:t>
      </w:r>
      <w:r>
        <w:rPr>
          <w:spacing w:val="-22"/>
        </w:rPr>
        <w:t> </w:t>
      </w:r>
      <w:r>
        <w:rPr/>
        <w:t>важкі</w:t>
      </w:r>
      <w:r>
        <w:rPr>
          <w:spacing w:val="-24"/>
        </w:rPr>
        <w:t> </w:t>
      </w:r>
      <w:r>
        <w:rPr/>
        <w:t>умови,</w:t>
      </w:r>
      <w:r>
        <w:rPr>
          <w:spacing w:val="-22"/>
        </w:rPr>
        <w:t> </w:t>
      </w:r>
      <w:r>
        <w:rPr/>
        <w:t>однак</w:t>
      </w:r>
      <w:r>
        <w:rPr>
          <w:spacing w:val="-24"/>
        </w:rPr>
        <w:t> </w:t>
      </w:r>
      <w:r>
        <w:rPr/>
        <w:t>спостерігаються</w:t>
      </w:r>
      <w:r>
        <w:rPr>
          <w:spacing w:val="-23"/>
        </w:rPr>
        <w:t> </w:t>
      </w:r>
      <w:r>
        <w:rPr/>
        <w:t>середні, середньоважкі</w:t>
      </w:r>
      <w:r>
        <w:rPr>
          <w:spacing w:val="-22"/>
        </w:rPr>
        <w:t> </w:t>
      </w:r>
      <w:r>
        <w:rPr/>
        <w:t>та</w:t>
      </w:r>
      <w:r>
        <w:rPr>
          <w:spacing w:val="-16"/>
        </w:rPr>
        <w:t> </w:t>
      </w:r>
      <w:r>
        <w:rPr/>
        <w:t>дуже</w:t>
      </w:r>
      <w:r>
        <w:rPr>
          <w:spacing w:val="-15"/>
        </w:rPr>
        <w:t> </w:t>
      </w:r>
      <w:r>
        <w:rPr/>
        <w:t>важкі,</w:t>
      </w:r>
      <w:r>
        <w:rPr>
          <w:spacing w:val="-15"/>
        </w:rPr>
        <w:t> </w:t>
      </w:r>
      <w:r>
        <w:rPr/>
        <w:t>а</w:t>
      </w:r>
      <w:r>
        <w:rPr>
          <w:spacing w:val="-16"/>
        </w:rPr>
        <w:t> </w:t>
      </w:r>
      <w:r>
        <w:rPr/>
        <w:t>на</w:t>
      </w:r>
      <w:r>
        <w:rPr>
          <w:spacing w:val="-16"/>
        </w:rPr>
        <w:t> </w:t>
      </w:r>
      <w:r>
        <w:rPr/>
        <w:t>території</w:t>
      </w:r>
      <w:r>
        <w:rPr>
          <w:spacing w:val="-18"/>
        </w:rPr>
        <w:t> </w:t>
      </w:r>
      <w:r>
        <w:rPr/>
        <w:t>Херсонської</w:t>
      </w:r>
      <w:r>
        <w:rPr>
          <w:spacing w:val="-21"/>
        </w:rPr>
        <w:t> </w:t>
      </w:r>
      <w:r>
        <w:rPr/>
        <w:t>області</w:t>
      </w:r>
      <w:r>
        <w:rPr>
          <w:spacing w:val="-7"/>
        </w:rPr>
        <w:t> </w:t>
      </w:r>
      <w:r>
        <w:rPr/>
        <w:t>-</w:t>
      </w:r>
      <w:r>
        <w:rPr>
          <w:spacing w:val="-18"/>
        </w:rPr>
        <w:t> </w:t>
      </w:r>
      <w:r>
        <w:rPr/>
        <w:t>середньоважкі, важкі та дуже важкі умови [1]. Баланс гумусу на території України змінюється від 0 до більше 600 кг/га, а на території досліджуваних районів змінюється від 400</w:t>
      </w:r>
      <w:r>
        <w:rPr>
          <w:spacing w:val="-16"/>
        </w:rPr>
        <w:t> </w:t>
      </w:r>
      <w:r>
        <w:rPr/>
        <w:t>до</w:t>
      </w:r>
      <w:r>
        <w:rPr>
          <w:spacing w:val="-16"/>
        </w:rPr>
        <w:t> </w:t>
      </w:r>
      <w:r>
        <w:rPr/>
        <w:t>більше,</w:t>
      </w:r>
      <w:r>
        <w:rPr>
          <w:spacing w:val="-15"/>
        </w:rPr>
        <w:t> </w:t>
      </w:r>
      <w:r>
        <w:rPr/>
        <w:t>ніж</w:t>
      </w:r>
      <w:r>
        <w:rPr>
          <w:spacing w:val="-16"/>
        </w:rPr>
        <w:t> </w:t>
      </w:r>
      <w:r>
        <w:rPr/>
        <w:t>600</w:t>
      </w:r>
      <w:r>
        <w:rPr>
          <w:spacing w:val="-16"/>
        </w:rPr>
        <w:t> </w:t>
      </w:r>
      <w:r>
        <w:rPr/>
        <w:t>кг/га.</w:t>
      </w:r>
      <w:r>
        <w:rPr>
          <w:spacing w:val="-10"/>
        </w:rPr>
        <w:t> </w:t>
      </w:r>
      <w:r>
        <w:rPr/>
        <w:t>Баланс</w:t>
      </w:r>
      <w:r>
        <w:rPr>
          <w:spacing w:val="-15"/>
        </w:rPr>
        <w:t> </w:t>
      </w:r>
      <w:r>
        <w:rPr/>
        <w:t>гумусу</w:t>
      </w:r>
      <w:r>
        <w:rPr>
          <w:spacing w:val="-21"/>
        </w:rPr>
        <w:t> </w:t>
      </w:r>
      <w:r>
        <w:rPr/>
        <w:t>на</w:t>
      </w:r>
      <w:r>
        <w:rPr>
          <w:spacing w:val="-15"/>
        </w:rPr>
        <w:t> </w:t>
      </w:r>
      <w:r>
        <w:rPr/>
        <w:t>території</w:t>
      </w:r>
      <w:r>
        <w:rPr>
          <w:spacing w:val="-21"/>
        </w:rPr>
        <w:t> </w:t>
      </w:r>
      <w:r>
        <w:rPr/>
        <w:t>Одеської</w:t>
      </w:r>
      <w:r>
        <w:rPr>
          <w:spacing w:val="-21"/>
        </w:rPr>
        <w:t> </w:t>
      </w:r>
      <w:r>
        <w:rPr/>
        <w:t>області</w:t>
      </w:r>
      <w:r>
        <w:rPr>
          <w:spacing w:val="-21"/>
        </w:rPr>
        <w:t> </w:t>
      </w:r>
      <w:r>
        <w:rPr/>
        <w:t>складає 401-500 кг/га, а на території Миколаївської та Херсонської областей більше 600 кг/га. </w:t>
      </w:r>
      <w:r>
        <w:rPr>
          <w:spacing w:val="-3"/>
        </w:rPr>
        <w:t>На </w:t>
      </w:r>
      <w:r>
        <w:rPr/>
        <w:t>території Одеської, Миколаївської та Херсонської областей небезпека переущільнення змінюється від слабкої до високої загрози. При моделюванні балансу біогенних елементів в агросистемах Півдня України необхідна інформація про кількісні та якісні характеристики внесення мінеральних та органічних добрив, які наведені на рисунках</w:t>
      </w:r>
      <w:r>
        <w:rPr>
          <w:spacing w:val="-10"/>
        </w:rPr>
        <w:t> </w:t>
      </w:r>
      <w:r>
        <w:rPr/>
        <w:t>1-2.</w:t>
      </w:r>
    </w:p>
    <w:p>
      <w:pPr>
        <w:pStyle w:val="BodyText"/>
        <w:spacing w:before="4"/>
        <w:ind w:left="0"/>
        <w:jc w:val="left"/>
        <w:rPr>
          <w:sz w:val="25"/>
        </w:rPr>
      </w:pPr>
      <w:r>
        <w:rPr/>
        <w:drawing>
          <wp:anchor distT="0" distB="0" distL="0" distR="0" allowOverlap="1" layoutInCell="1" locked="0" behindDoc="0" simplePos="0" relativeHeight="109">
            <wp:simplePos x="0" y="0"/>
            <wp:positionH relativeFrom="page">
              <wp:posOffset>1169669</wp:posOffset>
            </wp:positionH>
            <wp:positionV relativeFrom="paragraph">
              <wp:posOffset>209968</wp:posOffset>
            </wp:positionV>
            <wp:extent cx="4798706" cy="2365248"/>
            <wp:effectExtent l="0" t="0" r="0" b="0"/>
            <wp:wrapTopAndBottom/>
            <wp:docPr id="53" name="image81.png"/>
            <wp:cNvGraphicFramePr>
              <a:graphicFrameLocks noChangeAspect="1"/>
            </wp:cNvGraphicFramePr>
            <a:graphic>
              <a:graphicData uri="http://schemas.openxmlformats.org/drawingml/2006/picture">
                <pic:pic>
                  <pic:nvPicPr>
                    <pic:cNvPr id="54" name="image81.png"/>
                    <pic:cNvPicPr/>
                  </pic:nvPicPr>
                  <pic:blipFill>
                    <a:blip r:embed="rId132" cstate="print"/>
                    <a:stretch>
                      <a:fillRect/>
                    </a:stretch>
                  </pic:blipFill>
                  <pic:spPr>
                    <a:xfrm>
                      <a:off x="0" y="0"/>
                      <a:ext cx="4798706" cy="2365248"/>
                    </a:xfrm>
                    <a:prstGeom prst="rect">
                      <a:avLst/>
                    </a:prstGeom>
                  </pic:spPr>
                </pic:pic>
              </a:graphicData>
            </a:graphic>
          </wp:anchor>
        </w:drawing>
      </w:r>
    </w:p>
    <w:p>
      <w:pPr>
        <w:pStyle w:val="BodyText"/>
        <w:ind w:left="754"/>
        <w:jc w:val="left"/>
      </w:pPr>
      <w:r>
        <w:rPr/>
        <w:t>Рис. 1. Внесення органічних добрив</w:t>
      </w:r>
    </w:p>
    <w:p>
      <w:pPr>
        <w:pStyle w:val="BodyText"/>
        <w:spacing w:before="10"/>
        <w:ind w:left="0"/>
        <w:jc w:val="left"/>
        <w:rPr>
          <w:sz w:val="27"/>
        </w:rPr>
      </w:pPr>
    </w:p>
    <w:p>
      <w:pPr>
        <w:pStyle w:val="BodyText"/>
        <w:ind w:right="615" w:firstLine="561"/>
      </w:pPr>
      <w:r>
        <w:rPr/>
        <w:t>Максимальна кількість внесення мінерального та органічного добрив спостерігалось в 1985 році, однак розпочинаючи з 1995 року внесення добрив почало знижуватись. В 2000-х роках спостерігається незначне внесення добрив в порівнянні з 1985 року, але кількість внесення мінеральних добрив значно перевищує внесення органічними в 2005-2009 рр. Кількість внесення органічного добрива рівномірно знижується з 1985 року, а внесення мінерального - знижувалось з 1985 року до 2005, а з 2005 року до 2008 кількість внесення зросла та в 2008-2009 рр. залишається майже незмінною в досліджуваних областях.</w:t>
      </w:r>
    </w:p>
    <w:p>
      <w:pPr>
        <w:spacing w:after="0"/>
        <w:sectPr>
          <w:pgSz w:w="11910" w:h="16840"/>
          <w:pgMar w:header="713" w:footer="778" w:top="1140" w:bottom="960" w:left="940" w:right="520"/>
        </w:sectPr>
      </w:pPr>
    </w:p>
    <w:p>
      <w:pPr>
        <w:pStyle w:val="BodyText"/>
        <w:spacing w:before="7"/>
        <w:ind w:left="0"/>
        <w:jc w:val="left"/>
        <w:rPr>
          <w:sz w:val="8"/>
        </w:rPr>
      </w:pPr>
    </w:p>
    <w:p>
      <w:pPr>
        <w:pStyle w:val="BodyText"/>
        <w:ind w:left="902"/>
        <w:jc w:val="left"/>
        <w:rPr>
          <w:sz w:val="20"/>
        </w:rPr>
      </w:pPr>
      <w:r>
        <w:rPr>
          <w:sz w:val="20"/>
        </w:rPr>
        <w:drawing>
          <wp:inline distT="0" distB="0" distL="0" distR="0">
            <wp:extent cx="4792644" cy="2752725"/>
            <wp:effectExtent l="0" t="0" r="0" b="0"/>
            <wp:docPr id="55" name="image82.png"/>
            <wp:cNvGraphicFramePr>
              <a:graphicFrameLocks noChangeAspect="1"/>
            </wp:cNvGraphicFramePr>
            <a:graphic>
              <a:graphicData uri="http://schemas.openxmlformats.org/drawingml/2006/picture">
                <pic:pic>
                  <pic:nvPicPr>
                    <pic:cNvPr id="56" name="image82.png"/>
                    <pic:cNvPicPr/>
                  </pic:nvPicPr>
                  <pic:blipFill>
                    <a:blip r:embed="rId133" cstate="print"/>
                    <a:stretch>
                      <a:fillRect/>
                    </a:stretch>
                  </pic:blipFill>
                  <pic:spPr>
                    <a:xfrm>
                      <a:off x="0" y="0"/>
                      <a:ext cx="4792644" cy="2752725"/>
                    </a:xfrm>
                    <a:prstGeom prst="rect">
                      <a:avLst/>
                    </a:prstGeom>
                  </pic:spPr>
                </pic:pic>
              </a:graphicData>
            </a:graphic>
          </wp:inline>
        </w:drawing>
      </w:r>
      <w:r>
        <w:rPr>
          <w:sz w:val="20"/>
        </w:rPr>
      </w:r>
    </w:p>
    <w:p>
      <w:pPr>
        <w:pStyle w:val="BodyText"/>
        <w:spacing w:before="7"/>
        <w:ind w:left="898"/>
        <w:jc w:val="left"/>
      </w:pPr>
      <w:r>
        <w:rPr/>
        <w:t>Рис. 2. Внесення мінеральних добрив</w:t>
      </w:r>
    </w:p>
    <w:p>
      <w:pPr>
        <w:pStyle w:val="BodyText"/>
        <w:spacing w:before="5"/>
        <w:ind w:left="0"/>
        <w:jc w:val="left"/>
      </w:pPr>
    </w:p>
    <w:p>
      <w:pPr>
        <w:pStyle w:val="BodyText"/>
        <w:ind w:right="612" w:firstLine="705"/>
      </w:pPr>
      <w:r>
        <w:rPr/>
        <w:t>Розрахунок виносу біогенних елементів з сільськогосподарських угідь проводять на основі відомих агрохімічних залежностей, які зв’язують кількість речовин, що виносяться з властивостями ґрунту, видами та врожайністю сільськогосподарських культур [2]. Розрахункове рівняння для визначення виносу біогенів з ґрунту базується на врожайності сільськогосподарських культур</w:t>
      </w:r>
      <w:r>
        <w:rPr>
          <w:spacing w:val="-11"/>
        </w:rPr>
        <w:t> </w:t>
      </w:r>
      <w:r>
        <w:rPr/>
        <w:t>як</w:t>
      </w:r>
      <w:r>
        <w:rPr>
          <w:spacing w:val="-12"/>
        </w:rPr>
        <w:t> </w:t>
      </w:r>
      <w:r>
        <w:rPr/>
        <w:t>на</w:t>
      </w:r>
      <w:r>
        <w:rPr>
          <w:spacing w:val="-6"/>
        </w:rPr>
        <w:t> </w:t>
      </w:r>
      <w:r>
        <w:rPr/>
        <w:t>інтегральному</w:t>
      </w:r>
      <w:r>
        <w:rPr>
          <w:spacing w:val="-16"/>
        </w:rPr>
        <w:t> </w:t>
      </w:r>
      <w:r>
        <w:rPr/>
        <w:t>показнику</w:t>
      </w:r>
      <w:r>
        <w:rPr>
          <w:spacing w:val="-15"/>
        </w:rPr>
        <w:t> </w:t>
      </w:r>
      <w:r>
        <w:rPr/>
        <w:t>стану</w:t>
      </w:r>
      <w:r>
        <w:rPr>
          <w:spacing w:val="-16"/>
        </w:rPr>
        <w:t> </w:t>
      </w:r>
      <w:r>
        <w:rPr/>
        <w:t>декількох</w:t>
      </w:r>
      <w:r>
        <w:rPr>
          <w:spacing w:val="-15"/>
        </w:rPr>
        <w:t> </w:t>
      </w:r>
      <w:r>
        <w:rPr/>
        <w:t>базових</w:t>
      </w:r>
      <w:r>
        <w:rPr>
          <w:spacing w:val="-16"/>
        </w:rPr>
        <w:t> </w:t>
      </w:r>
      <w:r>
        <w:rPr/>
        <w:t>факторів</w:t>
      </w:r>
      <w:r>
        <w:rPr>
          <w:spacing w:val="-14"/>
        </w:rPr>
        <w:t> </w:t>
      </w:r>
      <w:r>
        <w:rPr/>
        <w:t>(ґрунт, метеорологічні умови, тривалість вегетаційного періоду, кількість добрив, які використовуються, засобів їх внесення та ін.) [2]. Питомий винос біогенів з площі, зайнятою </w:t>
      </w:r>
      <w:r>
        <w:rPr>
          <w:i/>
        </w:rPr>
        <w:t>і</w:t>
      </w:r>
      <w:r>
        <w:rPr/>
        <w:t>–ю сільськогосподарською культурою (</w:t>
      </w:r>
      <w:r>
        <w:rPr>
          <w:i/>
        </w:rPr>
        <w:t>R</w:t>
      </w:r>
      <w:r>
        <w:rPr>
          <w:i/>
          <w:vertAlign w:val="subscript"/>
        </w:rPr>
        <w:t>i</w:t>
      </w:r>
      <w:r>
        <w:rPr>
          <w:i/>
          <w:vertAlign w:val="baseline"/>
        </w:rPr>
        <w:t>)</w:t>
      </w:r>
      <w:r>
        <w:rPr>
          <w:vertAlign w:val="baseline"/>
        </w:rPr>
        <w:t>, визначають </w:t>
      </w:r>
      <w:r>
        <w:rPr>
          <w:spacing w:val="2"/>
          <w:vertAlign w:val="baseline"/>
        </w:rPr>
        <w:t>за </w:t>
      </w:r>
      <w:r>
        <w:rPr>
          <w:vertAlign w:val="baseline"/>
        </w:rPr>
        <w:t>формулою</w:t>
      </w:r>
      <w:r>
        <w:rPr>
          <w:spacing w:val="-1"/>
          <w:vertAlign w:val="baseline"/>
        </w:rPr>
        <w:t> </w:t>
      </w:r>
      <w:r>
        <w:rPr>
          <w:vertAlign w:val="baseline"/>
        </w:rPr>
        <w:t>[2]:</w:t>
      </w:r>
    </w:p>
    <w:p>
      <w:pPr>
        <w:spacing w:after="0"/>
        <w:sectPr>
          <w:pgSz w:w="11910" w:h="16840"/>
          <w:pgMar w:header="713" w:footer="778" w:top="1140" w:bottom="960" w:left="940" w:right="520"/>
        </w:sectPr>
      </w:pPr>
    </w:p>
    <w:p>
      <w:pPr>
        <w:spacing w:line="396" w:lineRule="exact" w:before="0"/>
        <w:ind w:left="1023" w:right="0" w:firstLine="0"/>
        <w:jc w:val="left"/>
        <w:rPr>
          <w:i/>
          <w:sz w:val="16"/>
        </w:rPr>
      </w:pPr>
      <w:r>
        <w:rPr>
          <w:i/>
          <w:sz w:val="28"/>
        </w:rPr>
        <w:t>R</w:t>
      </w:r>
      <w:r>
        <w:rPr>
          <w:i/>
          <w:position w:val="-6"/>
          <w:sz w:val="16"/>
        </w:rPr>
        <w:t>i </w:t>
      </w:r>
      <w:r>
        <w:rPr>
          <w:rFonts w:ascii="Symbol" w:hAnsi="Symbol"/>
          <w:sz w:val="28"/>
        </w:rPr>
        <w:t></w:t>
      </w:r>
      <w:r>
        <w:rPr>
          <w:sz w:val="28"/>
        </w:rPr>
        <w:t> </w:t>
      </w:r>
      <w:r>
        <w:rPr>
          <w:rFonts w:ascii="Symbol" w:hAnsi="Symbol"/>
          <w:i/>
          <w:sz w:val="30"/>
        </w:rPr>
        <w:t></w:t>
      </w:r>
      <w:r>
        <w:rPr>
          <w:i/>
          <w:sz w:val="30"/>
        </w:rPr>
        <w:t> </w:t>
      </w:r>
      <w:r>
        <w:rPr>
          <w:i/>
          <w:position w:val="-6"/>
          <w:sz w:val="16"/>
        </w:rPr>
        <w:t>N </w:t>
      </w:r>
      <w:r>
        <w:rPr>
          <w:i/>
          <w:sz w:val="28"/>
        </w:rPr>
        <w:t>k</w:t>
      </w:r>
      <w:r>
        <w:rPr>
          <w:i/>
          <w:position w:val="-6"/>
          <w:sz w:val="16"/>
        </w:rPr>
        <w:t>i </w:t>
      </w:r>
      <w:r>
        <w:rPr>
          <w:i/>
          <w:sz w:val="28"/>
        </w:rPr>
        <w:t>y</w:t>
      </w:r>
      <w:r>
        <w:rPr>
          <w:i/>
          <w:position w:val="-6"/>
          <w:sz w:val="16"/>
        </w:rPr>
        <w:t>i </w:t>
      </w:r>
      <w:r>
        <w:rPr>
          <w:rFonts w:ascii="Symbol" w:hAnsi="Symbol"/>
          <w:sz w:val="28"/>
        </w:rPr>
        <w:t></w:t>
      </w:r>
      <w:r>
        <w:rPr>
          <w:sz w:val="28"/>
        </w:rPr>
        <w:t> </w:t>
      </w:r>
      <w:r>
        <w:rPr>
          <w:rFonts w:ascii="Symbol" w:hAnsi="Symbol"/>
          <w:i/>
          <w:sz w:val="30"/>
        </w:rPr>
        <w:t></w:t>
      </w:r>
      <w:r>
        <w:rPr>
          <w:i/>
          <w:sz w:val="30"/>
        </w:rPr>
        <w:t> </w:t>
      </w:r>
      <w:r>
        <w:rPr>
          <w:i/>
          <w:position w:val="-6"/>
          <w:sz w:val="16"/>
        </w:rPr>
        <w:t>p</w:t>
      </w:r>
      <w:r>
        <w:rPr>
          <w:i/>
          <w:sz w:val="28"/>
        </w:rPr>
        <w:t>k</w:t>
      </w:r>
      <w:r>
        <w:rPr>
          <w:i/>
          <w:position w:val="-6"/>
          <w:sz w:val="16"/>
        </w:rPr>
        <w:t>i </w:t>
      </w:r>
      <w:r>
        <w:rPr>
          <w:i/>
          <w:sz w:val="28"/>
        </w:rPr>
        <w:t>y</w:t>
      </w:r>
      <w:r>
        <w:rPr>
          <w:i/>
          <w:position w:val="-6"/>
          <w:sz w:val="16"/>
        </w:rPr>
        <w:t>i </w:t>
      </w:r>
      <w:r>
        <w:rPr>
          <w:rFonts w:ascii="Symbol" w:hAnsi="Symbol"/>
          <w:sz w:val="28"/>
        </w:rPr>
        <w:t></w:t>
      </w:r>
      <w:r>
        <w:rPr>
          <w:sz w:val="28"/>
        </w:rPr>
        <w:t> </w:t>
      </w:r>
      <w:r>
        <w:rPr>
          <w:rFonts w:ascii="Symbol" w:hAnsi="Symbol"/>
          <w:i/>
          <w:sz w:val="30"/>
        </w:rPr>
        <w:t></w:t>
      </w:r>
      <w:r>
        <w:rPr>
          <w:i/>
          <w:position w:val="-6"/>
          <w:sz w:val="16"/>
        </w:rPr>
        <w:t>K </w:t>
      </w:r>
      <w:r>
        <w:rPr>
          <w:i/>
          <w:sz w:val="28"/>
        </w:rPr>
        <w:t>k</w:t>
      </w:r>
      <w:r>
        <w:rPr>
          <w:i/>
          <w:position w:val="-6"/>
          <w:sz w:val="16"/>
        </w:rPr>
        <w:t>i </w:t>
      </w:r>
      <w:r>
        <w:rPr>
          <w:i/>
          <w:sz w:val="28"/>
        </w:rPr>
        <w:t>y</w:t>
      </w:r>
      <w:r>
        <w:rPr>
          <w:i/>
          <w:position w:val="-6"/>
          <w:sz w:val="16"/>
        </w:rPr>
        <w:t>i</w:t>
      </w:r>
    </w:p>
    <w:p>
      <w:pPr>
        <w:spacing w:before="64"/>
        <w:ind w:left="80" w:right="0" w:firstLine="0"/>
        <w:jc w:val="left"/>
        <w:rPr>
          <w:sz w:val="28"/>
        </w:rPr>
      </w:pPr>
      <w:r>
        <w:rPr/>
        <w:br w:type="column"/>
      </w:r>
      <w:r>
        <w:rPr>
          <w:sz w:val="28"/>
        </w:rPr>
        <w:t>(1)</w:t>
      </w:r>
    </w:p>
    <w:p>
      <w:pPr>
        <w:spacing w:after="0"/>
        <w:jc w:val="left"/>
        <w:rPr>
          <w:sz w:val="28"/>
        </w:rPr>
        <w:sectPr>
          <w:type w:val="continuous"/>
          <w:pgSz w:w="11910" w:h="16840"/>
          <w:pgMar w:top="1140" w:bottom="280" w:left="940" w:right="520"/>
          <w:cols w:num="2" w:equalWidth="0">
            <w:col w:w="4265" w:space="40"/>
            <w:col w:w="6145"/>
          </w:cols>
        </w:sectPr>
      </w:pPr>
    </w:p>
    <w:p>
      <w:pPr>
        <w:spacing w:before="61"/>
        <w:ind w:left="898" w:right="0" w:firstLine="0"/>
        <w:jc w:val="left"/>
        <w:rPr>
          <w:i/>
          <w:sz w:val="16"/>
        </w:rPr>
      </w:pPr>
      <w:r>
        <w:rPr>
          <w:position w:val="-2"/>
          <w:sz w:val="28"/>
        </w:rPr>
        <w:t>де </w:t>
      </w:r>
      <w:r>
        <w:rPr>
          <w:rFonts w:ascii="Symbol" w:hAnsi="Symbol"/>
          <w:i/>
          <w:spacing w:val="12"/>
          <w:sz w:val="29"/>
        </w:rPr>
        <w:t></w:t>
      </w:r>
      <w:r>
        <w:rPr>
          <w:i/>
          <w:spacing w:val="12"/>
          <w:position w:val="-6"/>
          <w:sz w:val="16"/>
        </w:rPr>
        <w:t>N </w:t>
      </w:r>
      <w:r>
        <w:rPr>
          <w:sz w:val="28"/>
        </w:rPr>
        <w:t>,</w:t>
      </w:r>
      <w:r>
        <w:rPr>
          <w:rFonts w:ascii="Symbol" w:hAnsi="Symbol"/>
          <w:i/>
          <w:sz w:val="29"/>
        </w:rPr>
        <w:t></w:t>
      </w:r>
      <w:r>
        <w:rPr>
          <w:i/>
          <w:spacing w:val="-61"/>
          <w:sz w:val="29"/>
        </w:rPr>
        <w:t> </w:t>
      </w:r>
      <w:r>
        <w:rPr>
          <w:i/>
          <w:position w:val="-6"/>
          <w:sz w:val="16"/>
        </w:rPr>
        <w:t>p </w:t>
      </w:r>
      <w:r>
        <w:rPr>
          <w:spacing w:val="2"/>
          <w:sz w:val="28"/>
        </w:rPr>
        <w:t>,</w:t>
      </w:r>
      <w:r>
        <w:rPr>
          <w:rFonts w:ascii="Symbol" w:hAnsi="Symbol"/>
          <w:i/>
          <w:spacing w:val="2"/>
          <w:sz w:val="29"/>
        </w:rPr>
        <w:t></w:t>
      </w:r>
      <w:r>
        <w:rPr>
          <w:i/>
          <w:spacing w:val="2"/>
          <w:position w:val="-6"/>
          <w:sz w:val="16"/>
        </w:rPr>
        <w:t>K</w:t>
      </w:r>
    </w:p>
    <w:p>
      <w:pPr>
        <w:pStyle w:val="ListParagraph"/>
        <w:numPr>
          <w:ilvl w:val="0"/>
          <w:numId w:val="35"/>
        </w:numPr>
        <w:tabs>
          <w:tab w:pos="301" w:val="left" w:leader="none"/>
        </w:tabs>
        <w:spacing w:line="240" w:lineRule="auto" w:before="120" w:after="0"/>
        <w:ind w:left="300" w:right="0" w:hanging="208"/>
        <w:jc w:val="left"/>
        <w:rPr>
          <w:sz w:val="28"/>
        </w:rPr>
      </w:pPr>
      <w:r>
        <w:rPr>
          <w:spacing w:val="2"/>
          <w:w w:val="99"/>
          <w:sz w:val="28"/>
        </w:rPr>
        <w:br w:type="column"/>
      </w:r>
      <w:r>
        <w:rPr>
          <w:sz w:val="28"/>
        </w:rPr>
        <w:t>відповідно коефіцієнти виносу азоту, фосфору та калію</w:t>
      </w:r>
      <w:r>
        <w:rPr>
          <w:spacing w:val="-37"/>
          <w:sz w:val="28"/>
        </w:rPr>
        <w:t> </w:t>
      </w:r>
      <w:r>
        <w:rPr>
          <w:spacing w:val="2"/>
          <w:sz w:val="28"/>
        </w:rPr>
        <w:t>для</w:t>
      </w:r>
    </w:p>
    <w:p>
      <w:pPr>
        <w:spacing w:after="0" w:line="240" w:lineRule="auto"/>
        <w:jc w:val="left"/>
        <w:rPr>
          <w:sz w:val="28"/>
        </w:rPr>
        <w:sectPr>
          <w:type w:val="continuous"/>
          <w:pgSz w:w="11910" w:h="16840"/>
          <w:pgMar w:top="1140" w:bottom="280" w:left="940" w:right="520"/>
          <w:cols w:num="2" w:equalWidth="0">
            <w:col w:w="2370" w:space="40"/>
            <w:col w:w="8040"/>
          </w:cols>
        </w:sectPr>
      </w:pPr>
    </w:p>
    <w:p>
      <w:pPr>
        <w:pStyle w:val="BodyText"/>
        <w:spacing w:before="56"/>
        <w:ind w:right="607"/>
      </w:pPr>
      <w:r>
        <w:rPr/>
        <w:t>різних ґрунтових умов та сільськогосподарських культур (таблиця 1); </w:t>
      </w:r>
      <w:r>
        <w:rPr>
          <w:i/>
        </w:rPr>
        <w:t>k</w:t>
      </w:r>
      <w:r>
        <w:rPr>
          <w:i/>
          <w:vertAlign w:val="subscript"/>
        </w:rPr>
        <w:t>i</w:t>
      </w:r>
      <w:r>
        <w:rPr>
          <w:i/>
          <w:vertAlign w:val="baseline"/>
        </w:rPr>
        <w:t> – </w:t>
      </w:r>
      <w:r>
        <w:rPr>
          <w:vertAlign w:val="baseline"/>
        </w:rPr>
        <w:t>винос біогенів з ґрунту з урожаєм, кг/т ( таблиця 2); </w:t>
      </w:r>
      <w:r>
        <w:rPr>
          <w:i/>
          <w:vertAlign w:val="baseline"/>
        </w:rPr>
        <w:t>у</w:t>
      </w:r>
      <w:r>
        <w:rPr>
          <w:i/>
          <w:vertAlign w:val="subscript"/>
        </w:rPr>
        <w:t>і</w:t>
      </w:r>
      <w:r>
        <w:rPr>
          <w:i/>
          <w:vertAlign w:val="baseline"/>
        </w:rPr>
        <w:t> </w:t>
      </w:r>
      <w:r>
        <w:rPr>
          <w:vertAlign w:val="baseline"/>
        </w:rPr>
        <w:t>– фактична врожайність сільськогосподарської культури.</w:t>
      </w:r>
    </w:p>
    <w:p>
      <w:pPr>
        <w:pStyle w:val="BodyText"/>
        <w:ind w:right="617" w:firstLine="705"/>
      </w:pPr>
      <w:r>
        <w:rPr/>
        <w:t>Відповідно</w:t>
      </w:r>
      <w:r>
        <w:rPr>
          <w:spacing w:val="-17"/>
        </w:rPr>
        <w:t> </w:t>
      </w:r>
      <w:r>
        <w:rPr/>
        <w:t>загальний</w:t>
      </w:r>
      <w:r>
        <w:rPr>
          <w:spacing w:val="-13"/>
        </w:rPr>
        <w:t> </w:t>
      </w:r>
      <w:r>
        <w:rPr/>
        <w:t>винос</w:t>
      </w:r>
      <w:r>
        <w:rPr>
          <w:spacing w:val="-17"/>
        </w:rPr>
        <w:t> </w:t>
      </w:r>
      <w:r>
        <w:rPr/>
        <w:t>біогенних</w:t>
      </w:r>
      <w:r>
        <w:rPr>
          <w:spacing w:val="-18"/>
        </w:rPr>
        <w:t> </w:t>
      </w:r>
      <w:r>
        <w:rPr/>
        <w:t>речовин</w:t>
      </w:r>
      <w:r>
        <w:rPr>
          <w:spacing w:val="-18"/>
        </w:rPr>
        <w:t> </w:t>
      </w:r>
      <w:r>
        <w:rPr/>
        <w:t>з</w:t>
      </w:r>
      <w:r>
        <w:rPr>
          <w:spacing w:val="-13"/>
        </w:rPr>
        <w:t> </w:t>
      </w:r>
      <w:r>
        <w:rPr/>
        <w:t>водоохоронної</w:t>
      </w:r>
      <w:r>
        <w:rPr>
          <w:spacing w:val="-18"/>
        </w:rPr>
        <w:t> </w:t>
      </w:r>
      <w:r>
        <w:rPr/>
        <w:t>зони</w:t>
      </w:r>
      <w:r>
        <w:rPr>
          <w:spacing w:val="-18"/>
        </w:rPr>
        <w:t> </w:t>
      </w:r>
      <w:r>
        <w:rPr/>
        <w:t>річки або іншого водного об’єкту визначають за</w:t>
      </w:r>
      <w:r>
        <w:rPr>
          <w:spacing w:val="-2"/>
        </w:rPr>
        <w:t> </w:t>
      </w:r>
      <w:r>
        <w:rPr/>
        <w:t>формулою:</w:t>
      </w:r>
    </w:p>
    <w:p>
      <w:pPr>
        <w:spacing w:line="69" w:lineRule="exact" w:before="38"/>
        <w:ind w:left="2166" w:right="0" w:firstLine="0"/>
        <w:jc w:val="left"/>
        <w:rPr>
          <w:i/>
          <w:sz w:val="15"/>
        </w:rPr>
      </w:pPr>
      <w:r>
        <w:rPr>
          <w:i/>
          <w:w w:val="103"/>
          <w:sz w:val="15"/>
        </w:rPr>
        <w:t>n</w:t>
      </w:r>
    </w:p>
    <w:p>
      <w:pPr>
        <w:spacing w:after="0" w:line="69" w:lineRule="exact"/>
        <w:jc w:val="left"/>
        <w:rPr>
          <w:sz w:val="15"/>
        </w:rPr>
        <w:sectPr>
          <w:type w:val="continuous"/>
          <w:pgSz w:w="11910" w:h="16840"/>
          <w:pgMar w:top="1140" w:bottom="280" w:left="940" w:right="520"/>
        </w:sectPr>
      </w:pPr>
    </w:p>
    <w:p>
      <w:pPr>
        <w:spacing w:line="486" w:lineRule="exact" w:before="0"/>
        <w:ind w:left="1009" w:right="0" w:firstLine="0"/>
        <w:jc w:val="left"/>
        <w:rPr>
          <w:i/>
          <w:sz w:val="15"/>
        </w:rPr>
      </w:pPr>
      <w:r>
        <w:rPr>
          <w:rFonts w:ascii="Symbol" w:hAnsi="Symbol"/>
          <w:spacing w:val="1"/>
          <w:w w:val="99"/>
          <w:position w:val="1"/>
          <w:sz w:val="40"/>
        </w:rPr>
        <w:t></w:t>
      </w:r>
      <w:r>
        <w:rPr>
          <w:i/>
          <w:spacing w:val="-4"/>
          <w:w w:val="102"/>
          <w:position w:val="7"/>
          <w:sz w:val="26"/>
        </w:rPr>
        <w:t>W</w:t>
      </w:r>
      <w:r>
        <w:rPr>
          <w:i/>
          <w:spacing w:val="-1"/>
          <w:w w:val="103"/>
          <w:sz w:val="15"/>
        </w:rPr>
        <w:t>ПЛ</w:t>
      </w:r>
    </w:p>
    <w:p>
      <w:pPr>
        <w:spacing w:line="467" w:lineRule="exact" w:before="0"/>
        <w:ind w:left="76" w:right="0" w:firstLine="0"/>
        <w:jc w:val="left"/>
        <w:rPr>
          <w:i/>
          <w:sz w:val="15"/>
        </w:rPr>
      </w:pPr>
      <w:r>
        <w:rPr/>
        <w:br w:type="column"/>
      </w:r>
      <w:r>
        <w:rPr>
          <w:rFonts w:ascii="Symbol" w:hAnsi="Symbol"/>
          <w:sz w:val="26"/>
        </w:rPr>
        <w:t></w:t>
      </w:r>
      <w:r>
        <w:rPr>
          <w:sz w:val="26"/>
        </w:rPr>
        <w:t> </w:t>
      </w:r>
      <w:r>
        <w:rPr>
          <w:rFonts w:ascii="Symbol" w:hAnsi="Symbol"/>
          <w:position w:val="-5"/>
          <w:sz w:val="40"/>
        </w:rPr>
        <w:t></w:t>
      </w:r>
      <w:r>
        <w:rPr>
          <w:spacing w:val="-61"/>
          <w:position w:val="-5"/>
          <w:sz w:val="40"/>
        </w:rPr>
        <w:t> </w:t>
      </w:r>
      <w:r>
        <w:rPr>
          <w:i/>
          <w:spacing w:val="-7"/>
          <w:sz w:val="26"/>
        </w:rPr>
        <w:t>R</w:t>
      </w:r>
      <w:r>
        <w:rPr>
          <w:i/>
          <w:spacing w:val="-7"/>
          <w:position w:val="-6"/>
          <w:sz w:val="15"/>
        </w:rPr>
        <w:t>i </w:t>
      </w:r>
      <w:r>
        <w:rPr>
          <w:i/>
          <w:spacing w:val="-8"/>
          <w:sz w:val="26"/>
        </w:rPr>
        <w:t>S</w:t>
      </w:r>
      <w:r>
        <w:rPr>
          <w:i/>
          <w:spacing w:val="-8"/>
          <w:position w:val="-6"/>
          <w:sz w:val="15"/>
        </w:rPr>
        <w:t>i</w:t>
      </w:r>
    </w:p>
    <w:p>
      <w:pPr>
        <w:spacing w:line="130" w:lineRule="exact" w:before="0"/>
        <w:ind w:left="329" w:right="0" w:firstLine="0"/>
        <w:jc w:val="left"/>
        <w:rPr>
          <w:sz w:val="15"/>
        </w:rPr>
      </w:pPr>
      <w:r>
        <w:rPr>
          <w:i/>
          <w:w w:val="105"/>
          <w:sz w:val="15"/>
        </w:rPr>
        <w:t>i </w:t>
      </w:r>
      <w:r>
        <w:rPr>
          <w:rFonts w:ascii="Symbol" w:hAnsi="Symbol"/>
          <w:w w:val="105"/>
          <w:sz w:val="15"/>
        </w:rPr>
        <w:t></w:t>
      </w:r>
      <w:r>
        <w:rPr>
          <w:w w:val="105"/>
          <w:sz w:val="15"/>
        </w:rPr>
        <w:t>1</w:t>
      </w:r>
    </w:p>
    <w:p>
      <w:pPr>
        <w:spacing w:before="113"/>
        <w:ind w:left="96" w:right="0" w:firstLine="0"/>
        <w:jc w:val="left"/>
        <w:rPr>
          <w:sz w:val="28"/>
        </w:rPr>
      </w:pPr>
      <w:r>
        <w:rPr/>
        <w:br w:type="column"/>
      </w:r>
      <w:r>
        <w:rPr>
          <w:sz w:val="28"/>
        </w:rPr>
        <w:t>(2)</w:t>
      </w:r>
    </w:p>
    <w:p>
      <w:pPr>
        <w:spacing w:after="0"/>
        <w:jc w:val="left"/>
        <w:rPr>
          <w:sz w:val="28"/>
        </w:rPr>
        <w:sectPr>
          <w:type w:val="continuous"/>
          <w:pgSz w:w="11910" w:h="16840"/>
          <w:pgMar w:top="1140" w:bottom="280" w:left="940" w:right="520"/>
          <w:cols w:num="3" w:equalWidth="0">
            <w:col w:w="1732" w:space="40"/>
            <w:col w:w="1004" w:space="39"/>
            <w:col w:w="7635"/>
          </w:cols>
        </w:sectPr>
      </w:pPr>
    </w:p>
    <w:p>
      <w:pPr>
        <w:spacing w:before="3"/>
        <w:ind w:left="898" w:right="0" w:firstLine="0"/>
        <w:jc w:val="left"/>
        <w:rPr>
          <w:i/>
          <w:sz w:val="16"/>
        </w:rPr>
      </w:pPr>
      <w:r>
        <w:rPr>
          <w:spacing w:val="2"/>
          <w:w w:val="99"/>
          <w:position w:val="4"/>
          <w:sz w:val="28"/>
        </w:rPr>
        <w:t>д</w:t>
      </w:r>
      <w:r>
        <w:rPr>
          <w:w w:val="99"/>
          <w:position w:val="4"/>
          <w:sz w:val="28"/>
        </w:rPr>
        <w:t>е</w:t>
      </w:r>
      <w:r>
        <w:rPr>
          <w:spacing w:val="-26"/>
          <w:position w:val="4"/>
          <w:sz w:val="28"/>
        </w:rPr>
        <w:t> </w:t>
      </w:r>
      <w:r>
        <w:rPr>
          <w:rFonts w:ascii="Symbol" w:hAnsi="Symbol"/>
          <w:spacing w:val="5"/>
          <w:w w:val="102"/>
          <w:position w:val="1"/>
          <w:sz w:val="42"/>
        </w:rPr>
        <w:t></w:t>
      </w:r>
      <w:r>
        <w:rPr>
          <w:i/>
          <w:spacing w:val="-3"/>
          <w:w w:val="102"/>
          <w:position w:val="7"/>
          <w:sz w:val="28"/>
        </w:rPr>
        <w:t>W</w:t>
      </w:r>
      <w:r>
        <w:rPr>
          <w:i/>
          <w:spacing w:val="-4"/>
          <w:w w:val="104"/>
          <w:sz w:val="16"/>
        </w:rPr>
        <w:t>ПЛ</w:t>
      </w:r>
    </w:p>
    <w:p>
      <w:pPr>
        <w:pStyle w:val="ListParagraph"/>
        <w:numPr>
          <w:ilvl w:val="0"/>
          <w:numId w:val="35"/>
        </w:numPr>
        <w:tabs>
          <w:tab w:pos="281" w:val="left" w:leader="none"/>
        </w:tabs>
        <w:spacing w:line="240" w:lineRule="auto" w:before="136" w:after="0"/>
        <w:ind w:left="280" w:right="0" w:hanging="217"/>
        <w:jc w:val="left"/>
        <w:rPr>
          <w:sz w:val="28"/>
        </w:rPr>
      </w:pPr>
      <w:r>
        <w:rPr>
          <w:w w:val="99"/>
          <w:sz w:val="28"/>
        </w:rPr>
        <w:br w:type="column"/>
      </w:r>
      <w:r>
        <w:rPr>
          <w:sz w:val="28"/>
        </w:rPr>
        <w:t>загальний виніс біогенів з площі водоохоронної зони, кг/у</w:t>
      </w:r>
      <w:r>
        <w:rPr>
          <w:spacing w:val="19"/>
          <w:sz w:val="28"/>
        </w:rPr>
        <w:t> </w:t>
      </w:r>
      <w:r>
        <w:rPr>
          <w:sz w:val="28"/>
        </w:rPr>
        <w:t>рік;</w:t>
      </w:r>
    </w:p>
    <w:p>
      <w:pPr>
        <w:spacing w:after="0" w:line="240" w:lineRule="auto"/>
        <w:jc w:val="left"/>
        <w:rPr>
          <w:sz w:val="28"/>
        </w:rPr>
        <w:sectPr>
          <w:type w:val="continuous"/>
          <w:pgSz w:w="11910" w:h="16840"/>
          <w:pgMar w:top="1140" w:bottom="280" w:left="940" w:right="520"/>
          <w:cols w:num="2" w:equalWidth="0">
            <w:col w:w="2005" w:space="40"/>
            <w:col w:w="8405"/>
          </w:cols>
        </w:sectPr>
      </w:pPr>
    </w:p>
    <w:p>
      <w:pPr>
        <w:pStyle w:val="BodyText"/>
        <w:spacing w:before="13"/>
        <w:ind w:right="607"/>
      </w:pPr>
      <w:r>
        <w:rPr>
          <w:i/>
        </w:rPr>
        <w:t>R</w:t>
      </w:r>
      <w:r>
        <w:rPr>
          <w:i/>
          <w:vertAlign w:val="subscript"/>
        </w:rPr>
        <w:t>i</w:t>
      </w:r>
      <w:r>
        <w:rPr>
          <w:i/>
          <w:spacing w:val="-11"/>
          <w:vertAlign w:val="baseline"/>
        </w:rPr>
        <w:t> </w:t>
      </w:r>
      <w:r>
        <w:rPr>
          <w:vertAlign w:val="baseline"/>
        </w:rPr>
        <w:t>–</w:t>
      </w:r>
      <w:r>
        <w:rPr>
          <w:spacing w:val="-13"/>
          <w:vertAlign w:val="baseline"/>
        </w:rPr>
        <w:t> </w:t>
      </w:r>
      <w:r>
        <w:rPr>
          <w:vertAlign w:val="baseline"/>
        </w:rPr>
        <w:t>питомий</w:t>
      </w:r>
      <w:r>
        <w:rPr>
          <w:spacing w:val="-9"/>
          <w:vertAlign w:val="baseline"/>
        </w:rPr>
        <w:t> </w:t>
      </w:r>
      <w:r>
        <w:rPr>
          <w:vertAlign w:val="baseline"/>
        </w:rPr>
        <w:t>виніс</w:t>
      </w:r>
      <w:r>
        <w:rPr>
          <w:spacing w:val="-11"/>
          <w:vertAlign w:val="baseline"/>
        </w:rPr>
        <w:t> </w:t>
      </w:r>
      <w:r>
        <w:rPr>
          <w:vertAlign w:val="baseline"/>
        </w:rPr>
        <w:t>біогенів</w:t>
      </w:r>
      <w:r>
        <w:rPr>
          <w:spacing w:val="-15"/>
          <w:vertAlign w:val="baseline"/>
        </w:rPr>
        <w:t> </w:t>
      </w:r>
      <w:r>
        <w:rPr>
          <w:vertAlign w:val="baseline"/>
        </w:rPr>
        <w:t>з</w:t>
      </w:r>
      <w:r>
        <w:rPr>
          <w:spacing w:val="-12"/>
          <w:vertAlign w:val="baseline"/>
        </w:rPr>
        <w:t> </w:t>
      </w:r>
      <w:r>
        <w:rPr>
          <w:vertAlign w:val="baseline"/>
        </w:rPr>
        <w:t>площі,</w:t>
      </w:r>
      <w:r>
        <w:rPr>
          <w:spacing w:val="-11"/>
          <w:vertAlign w:val="baseline"/>
        </w:rPr>
        <w:t> </w:t>
      </w:r>
      <w:r>
        <w:rPr>
          <w:vertAlign w:val="baseline"/>
        </w:rPr>
        <w:t>зайнятої</w:t>
      </w:r>
      <w:r>
        <w:rPr>
          <w:spacing w:val="-17"/>
          <w:vertAlign w:val="baseline"/>
        </w:rPr>
        <w:t> </w:t>
      </w:r>
      <w:r>
        <w:rPr>
          <w:vertAlign w:val="baseline"/>
        </w:rPr>
        <w:t>сільськогосподарською</w:t>
      </w:r>
      <w:r>
        <w:rPr>
          <w:spacing w:val="-15"/>
          <w:vertAlign w:val="baseline"/>
        </w:rPr>
        <w:t> </w:t>
      </w:r>
      <w:r>
        <w:rPr>
          <w:vertAlign w:val="baseline"/>
        </w:rPr>
        <w:t>культурою; </w:t>
      </w:r>
      <w:r>
        <w:rPr>
          <w:i/>
          <w:vertAlign w:val="baseline"/>
        </w:rPr>
        <w:t>n</w:t>
      </w:r>
      <w:r>
        <w:rPr>
          <w:vertAlign w:val="baseline"/>
        </w:rPr>
        <w:t>–кількість сільськогосподарських культур на площі водоохоронної зони; </w:t>
      </w:r>
      <w:r>
        <w:rPr>
          <w:i/>
          <w:vertAlign w:val="baseline"/>
        </w:rPr>
        <w:t>S</w:t>
      </w:r>
      <w:r>
        <w:rPr>
          <w:i/>
          <w:vertAlign w:val="subscript"/>
        </w:rPr>
        <w:t>i</w:t>
      </w:r>
      <w:r>
        <w:rPr>
          <w:i/>
          <w:vertAlign w:val="baseline"/>
        </w:rPr>
        <w:t> </w:t>
      </w:r>
      <w:r>
        <w:rPr>
          <w:vertAlign w:val="baseline"/>
        </w:rPr>
        <w:t>– площа, яка зайнята сільськогосподарською культурою,</w:t>
      </w:r>
      <w:r>
        <w:rPr>
          <w:spacing w:val="7"/>
          <w:vertAlign w:val="baseline"/>
        </w:rPr>
        <w:t> </w:t>
      </w:r>
      <w:r>
        <w:rPr>
          <w:vertAlign w:val="baseline"/>
        </w:rPr>
        <w:t>га.</w:t>
      </w:r>
    </w:p>
    <w:p>
      <w:pPr>
        <w:pStyle w:val="BodyText"/>
        <w:spacing w:line="242" w:lineRule="auto"/>
        <w:ind w:right="620" w:firstLine="705"/>
      </w:pPr>
      <w:r>
        <w:rPr/>
        <w:t>При розрахунках використовують значення врожайності культури за прогнозом. Площу, зайняту культурою, визначають за фактичними даними господарства про структуру посівів у водоохоронній зоні річки [16].</w:t>
      </w:r>
    </w:p>
    <w:p>
      <w:pPr>
        <w:spacing w:after="0" w:line="242" w:lineRule="auto"/>
        <w:sectPr>
          <w:type w:val="continuous"/>
          <w:pgSz w:w="11910" w:h="16840"/>
          <w:pgMar w:top="1140" w:bottom="280" w:left="940" w:right="520"/>
        </w:sectPr>
      </w:pPr>
    </w:p>
    <w:p>
      <w:pPr>
        <w:pStyle w:val="BodyText"/>
        <w:spacing w:before="4"/>
        <w:ind w:left="0"/>
        <w:jc w:val="left"/>
      </w:pPr>
    </w:p>
    <w:p>
      <w:pPr>
        <w:pStyle w:val="BodyText"/>
        <w:spacing w:before="87" w:after="7"/>
        <w:ind w:left="898"/>
        <w:jc w:val="left"/>
      </w:pPr>
      <w:r>
        <w:rPr/>
        <w:t>Таблиця 1. Коефіцієнти виносу біогенних речовин.</w:t>
      </w:r>
    </w:p>
    <w:tbl>
      <w:tblPr>
        <w:tblW w:w="0" w:type="auto"/>
        <w:jc w:val="left"/>
        <w:tblInd w:w="7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5"/>
        <w:gridCol w:w="2516"/>
        <w:gridCol w:w="1455"/>
        <w:gridCol w:w="1417"/>
        <w:gridCol w:w="1278"/>
      </w:tblGrid>
      <w:tr>
        <w:trPr>
          <w:trHeight w:val="277" w:hRule="atLeast"/>
        </w:trPr>
        <w:tc>
          <w:tcPr>
            <w:tcW w:w="1705" w:type="dxa"/>
          </w:tcPr>
          <w:p>
            <w:pPr>
              <w:pStyle w:val="TableParagraph"/>
              <w:spacing w:line="258" w:lineRule="exact"/>
              <w:ind w:left="110"/>
              <w:rPr>
                <w:sz w:val="24"/>
              </w:rPr>
            </w:pPr>
            <w:r>
              <w:rPr>
                <w:sz w:val="24"/>
              </w:rPr>
              <w:t>Культура</w:t>
            </w:r>
          </w:p>
        </w:tc>
        <w:tc>
          <w:tcPr>
            <w:tcW w:w="2516" w:type="dxa"/>
          </w:tcPr>
          <w:p>
            <w:pPr>
              <w:pStyle w:val="TableParagraph"/>
              <w:spacing w:line="258" w:lineRule="exact"/>
              <w:ind w:left="666"/>
              <w:rPr>
                <w:sz w:val="24"/>
              </w:rPr>
            </w:pPr>
            <w:r>
              <w:rPr>
                <w:sz w:val="24"/>
              </w:rPr>
              <w:t>Ґрунти</w:t>
            </w:r>
          </w:p>
        </w:tc>
        <w:tc>
          <w:tcPr>
            <w:tcW w:w="1455" w:type="dxa"/>
          </w:tcPr>
          <w:p>
            <w:pPr>
              <w:pStyle w:val="TableParagraph"/>
              <w:spacing w:line="258" w:lineRule="exact"/>
              <w:ind w:left="887"/>
              <w:rPr>
                <w:i/>
                <w:sz w:val="16"/>
              </w:rPr>
            </w:pPr>
            <w:r>
              <w:rPr>
                <w:i/>
                <w:position w:val="2"/>
                <w:sz w:val="24"/>
              </w:rPr>
              <w:t>α</w:t>
            </w:r>
            <w:r>
              <w:rPr>
                <w:i/>
                <w:sz w:val="16"/>
              </w:rPr>
              <w:t>N</w:t>
            </w:r>
          </w:p>
        </w:tc>
        <w:tc>
          <w:tcPr>
            <w:tcW w:w="1417" w:type="dxa"/>
          </w:tcPr>
          <w:p>
            <w:pPr>
              <w:pStyle w:val="TableParagraph"/>
              <w:spacing w:line="258" w:lineRule="exact"/>
              <w:ind w:left="873"/>
              <w:rPr>
                <w:i/>
                <w:sz w:val="16"/>
              </w:rPr>
            </w:pPr>
            <w:r>
              <w:rPr>
                <w:i/>
                <w:position w:val="2"/>
                <w:sz w:val="24"/>
              </w:rPr>
              <w:t>Α</w:t>
            </w:r>
            <w:r>
              <w:rPr>
                <w:i/>
                <w:sz w:val="16"/>
              </w:rPr>
              <w:t>p</w:t>
            </w:r>
          </w:p>
        </w:tc>
        <w:tc>
          <w:tcPr>
            <w:tcW w:w="1278" w:type="dxa"/>
          </w:tcPr>
          <w:p>
            <w:pPr>
              <w:pStyle w:val="TableParagraph"/>
              <w:spacing w:line="258" w:lineRule="exact"/>
              <w:ind w:left="806"/>
              <w:rPr>
                <w:i/>
                <w:sz w:val="16"/>
              </w:rPr>
            </w:pPr>
            <w:r>
              <w:rPr>
                <w:i/>
                <w:position w:val="2"/>
                <w:sz w:val="24"/>
              </w:rPr>
              <w:t>α</w:t>
            </w:r>
            <w:r>
              <w:rPr>
                <w:i/>
                <w:sz w:val="16"/>
              </w:rPr>
              <w:t>K</w:t>
            </w:r>
          </w:p>
        </w:tc>
      </w:tr>
      <w:tr>
        <w:trPr>
          <w:trHeight w:val="2266" w:hRule="atLeast"/>
        </w:trPr>
        <w:tc>
          <w:tcPr>
            <w:tcW w:w="1705" w:type="dxa"/>
          </w:tcPr>
          <w:p>
            <w:pPr>
              <w:pStyle w:val="TableParagraph"/>
              <w:ind w:left="110" w:right="408"/>
              <w:rPr>
                <w:sz w:val="24"/>
              </w:rPr>
            </w:pPr>
            <w:r>
              <w:rPr>
                <w:sz w:val="24"/>
              </w:rPr>
              <w:t>Озима пшениця Ярі зернові</w:t>
            </w:r>
          </w:p>
          <w:p>
            <w:pPr>
              <w:pStyle w:val="TableParagraph"/>
              <w:spacing w:before="3"/>
              <w:rPr>
                <w:sz w:val="23"/>
              </w:rPr>
            </w:pPr>
          </w:p>
          <w:p>
            <w:pPr>
              <w:pStyle w:val="TableParagraph"/>
              <w:spacing w:before="1"/>
              <w:ind w:left="110"/>
              <w:rPr>
                <w:sz w:val="24"/>
              </w:rPr>
            </w:pPr>
            <w:r>
              <w:rPr>
                <w:sz w:val="24"/>
              </w:rPr>
              <w:t>Картопля</w:t>
            </w:r>
          </w:p>
          <w:p>
            <w:pPr>
              <w:pStyle w:val="TableParagraph"/>
              <w:spacing w:before="2"/>
              <w:rPr>
                <w:sz w:val="24"/>
              </w:rPr>
            </w:pPr>
          </w:p>
          <w:p>
            <w:pPr>
              <w:pStyle w:val="TableParagraph"/>
              <w:spacing w:line="237" w:lineRule="auto"/>
              <w:ind w:left="110" w:right="388"/>
              <w:rPr>
                <w:sz w:val="24"/>
              </w:rPr>
            </w:pPr>
            <w:r>
              <w:rPr>
                <w:sz w:val="24"/>
              </w:rPr>
              <w:t>Багаторічні трави</w:t>
            </w:r>
          </w:p>
        </w:tc>
        <w:tc>
          <w:tcPr>
            <w:tcW w:w="2516" w:type="dxa"/>
          </w:tcPr>
          <w:p>
            <w:pPr>
              <w:pStyle w:val="TableParagraph"/>
              <w:spacing w:line="237" w:lineRule="auto"/>
              <w:ind w:left="710" w:right="307" w:hanging="605"/>
              <w:rPr>
                <w:sz w:val="24"/>
              </w:rPr>
            </w:pPr>
            <w:r>
              <w:rPr>
                <w:sz w:val="24"/>
              </w:rPr>
              <w:t>Чорноземи звичайні Усі ґрунти</w:t>
            </w:r>
          </w:p>
          <w:p>
            <w:pPr>
              <w:pStyle w:val="TableParagraph"/>
              <w:spacing w:before="7"/>
              <w:rPr>
                <w:sz w:val="23"/>
              </w:rPr>
            </w:pPr>
          </w:p>
          <w:p>
            <w:pPr>
              <w:pStyle w:val="TableParagraph"/>
              <w:spacing w:line="242" w:lineRule="auto"/>
              <w:ind w:left="105" w:right="307" w:firstLine="561"/>
              <w:rPr>
                <w:sz w:val="24"/>
              </w:rPr>
            </w:pPr>
            <w:r>
              <w:rPr>
                <w:sz w:val="24"/>
              </w:rPr>
              <w:t>Каштанові Чорноземи звичайні</w:t>
            </w:r>
          </w:p>
          <w:p>
            <w:pPr>
              <w:pStyle w:val="TableParagraph"/>
              <w:spacing w:before="8"/>
              <w:rPr>
                <w:sz w:val="23"/>
              </w:rPr>
            </w:pPr>
          </w:p>
          <w:p>
            <w:pPr>
              <w:pStyle w:val="TableParagraph"/>
              <w:ind w:left="666"/>
              <w:rPr>
                <w:sz w:val="24"/>
              </w:rPr>
            </w:pPr>
            <w:r>
              <w:rPr>
                <w:sz w:val="24"/>
              </w:rPr>
              <w:t>Усі ґрунти</w:t>
            </w:r>
          </w:p>
        </w:tc>
        <w:tc>
          <w:tcPr>
            <w:tcW w:w="1455" w:type="dxa"/>
          </w:tcPr>
          <w:p>
            <w:pPr>
              <w:pStyle w:val="TableParagraph"/>
              <w:spacing w:line="268" w:lineRule="exact"/>
              <w:ind w:left="105"/>
              <w:rPr>
                <w:sz w:val="24"/>
              </w:rPr>
            </w:pPr>
            <w:r>
              <w:rPr>
                <w:sz w:val="24"/>
              </w:rPr>
              <w:t>0,16</w:t>
            </w:r>
          </w:p>
          <w:p>
            <w:pPr>
              <w:pStyle w:val="TableParagraph"/>
              <w:rPr>
                <w:sz w:val="24"/>
              </w:rPr>
            </w:pPr>
          </w:p>
          <w:p>
            <w:pPr>
              <w:pStyle w:val="TableParagraph"/>
              <w:ind w:left="105"/>
              <w:rPr>
                <w:sz w:val="24"/>
              </w:rPr>
            </w:pPr>
            <w:r>
              <w:rPr>
                <w:sz w:val="24"/>
              </w:rPr>
              <w:t>0,24</w:t>
            </w:r>
          </w:p>
          <w:p>
            <w:pPr>
              <w:pStyle w:val="TableParagraph"/>
              <w:rPr>
                <w:sz w:val="24"/>
              </w:rPr>
            </w:pPr>
          </w:p>
          <w:p>
            <w:pPr>
              <w:pStyle w:val="TableParagraph"/>
              <w:spacing w:line="275" w:lineRule="exact"/>
              <w:ind w:left="105"/>
              <w:rPr>
                <w:sz w:val="24"/>
              </w:rPr>
            </w:pPr>
            <w:r>
              <w:rPr>
                <w:sz w:val="24"/>
              </w:rPr>
              <w:t>0,25</w:t>
            </w:r>
          </w:p>
          <w:p>
            <w:pPr>
              <w:pStyle w:val="TableParagraph"/>
              <w:spacing w:line="275" w:lineRule="exact"/>
              <w:ind w:left="105"/>
              <w:rPr>
                <w:sz w:val="24"/>
              </w:rPr>
            </w:pPr>
            <w:r>
              <w:rPr>
                <w:sz w:val="24"/>
              </w:rPr>
              <w:t>0,13</w:t>
            </w:r>
          </w:p>
          <w:p>
            <w:pPr>
              <w:pStyle w:val="TableParagraph"/>
              <w:rPr>
                <w:sz w:val="24"/>
              </w:rPr>
            </w:pPr>
          </w:p>
          <w:p>
            <w:pPr>
              <w:pStyle w:val="TableParagraph"/>
              <w:ind w:left="105"/>
              <w:rPr>
                <w:sz w:val="24"/>
              </w:rPr>
            </w:pPr>
            <w:r>
              <w:rPr>
                <w:sz w:val="24"/>
              </w:rPr>
              <w:t>0,55</w:t>
            </w:r>
          </w:p>
        </w:tc>
        <w:tc>
          <w:tcPr>
            <w:tcW w:w="1417" w:type="dxa"/>
          </w:tcPr>
          <w:p>
            <w:pPr>
              <w:pStyle w:val="TableParagraph"/>
              <w:spacing w:line="268" w:lineRule="exact"/>
              <w:ind w:left="105"/>
              <w:rPr>
                <w:sz w:val="24"/>
              </w:rPr>
            </w:pPr>
            <w:r>
              <w:rPr>
                <w:sz w:val="24"/>
              </w:rPr>
              <w:t>0,12</w:t>
            </w:r>
          </w:p>
          <w:p>
            <w:pPr>
              <w:pStyle w:val="TableParagraph"/>
              <w:rPr>
                <w:sz w:val="24"/>
              </w:rPr>
            </w:pPr>
          </w:p>
          <w:p>
            <w:pPr>
              <w:pStyle w:val="TableParagraph"/>
              <w:ind w:left="105"/>
              <w:rPr>
                <w:sz w:val="24"/>
              </w:rPr>
            </w:pPr>
            <w:r>
              <w:rPr>
                <w:sz w:val="24"/>
              </w:rPr>
              <w:t>0,09</w:t>
            </w:r>
          </w:p>
          <w:p>
            <w:pPr>
              <w:pStyle w:val="TableParagraph"/>
              <w:rPr>
                <w:sz w:val="24"/>
              </w:rPr>
            </w:pPr>
          </w:p>
          <w:p>
            <w:pPr>
              <w:pStyle w:val="TableParagraph"/>
              <w:spacing w:line="275" w:lineRule="exact"/>
              <w:ind w:left="105"/>
              <w:rPr>
                <w:sz w:val="24"/>
              </w:rPr>
            </w:pPr>
            <w:r>
              <w:rPr>
                <w:sz w:val="24"/>
              </w:rPr>
              <w:t>0,19</w:t>
            </w:r>
          </w:p>
          <w:p>
            <w:pPr>
              <w:pStyle w:val="TableParagraph"/>
              <w:spacing w:line="275" w:lineRule="exact"/>
              <w:ind w:left="105"/>
              <w:rPr>
                <w:sz w:val="24"/>
              </w:rPr>
            </w:pPr>
            <w:r>
              <w:rPr>
                <w:sz w:val="24"/>
              </w:rPr>
              <w:t>0,12</w:t>
            </w:r>
          </w:p>
          <w:p>
            <w:pPr>
              <w:pStyle w:val="TableParagraph"/>
              <w:spacing w:before="3"/>
              <w:ind w:left="729"/>
              <w:rPr>
                <w:sz w:val="24"/>
              </w:rPr>
            </w:pPr>
            <w:r>
              <w:rPr>
                <w:sz w:val="24"/>
              </w:rPr>
              <w:t>0,35</w:t>
            </w:r>
          </w:p>
        </w:tc>
        <w:tc>
          <w:tcPr>
            <w:tcW w:w="1278" w:type="dxa"/>
          </w:tcPr>
          <w:p>
            <w:pPr>
              <w:pStyle w:val="TableParagraph"/>
              <w:spacing w:line="268" w:lineRule="exact"/>
              <w:ind w:left="109"/>
              <w:rPr>
                <w:sz w:val="24"/>
              </w:rPr>
            </w:pPr>
            <w:r>
              <w:rPr>
                <w:sz w:val="24"/>
              </w:rPr>
              <w:t>0,07</w:t>
            </w:r>
          </w:p>
          <w:p>
            <w:pPr>
              <w:pStyle w:val="TableParagraph"/>
              <w:rPr>
                <w:sz w:val="24"/>
              </w:rPr>
            </w:pPr>
          </w:p>
          <w:p>
            <w:pPr>
              <w:pStyle w:val="TableParagraph"/>
              <w:ind w:left="109"/>
              <w:rPr>
                <w:sz w:val="24"/>
              </w:rPr>
            </w:pPr>
            <w:r>
              <w:rPr>
                <w:sz w:val="24"/>
              </w:rPr>
              <w:t>0,23</w:t>
            </w:r>
          </w:p>
          <w:p>
            <w:pPr>
              <w:pStyle w:val="TableParagraph"/>
              <w:rPr>
                <w:sz w:val="24"/>
              </w:rPr>
            </w:pPr>
          </w:p>
          <w:p>
            <w:pPr>
              <w:pStyle w:val="TableParagraph"/>
              <w:spacing w:line="275" w:lineRule="exact"/>
              <w:ind w:left="109"/>
              <w:rPr>
                <w:sz w:val="24"/>
              </w:rPr>
            </w:pPr>
            <w:r>
              <w:rPr>
                <w:sz w:val="24"/>
              </w:rPr>
              <w:t>0,32</w:t>
            </w:r>
          </w:p>
          <w:p>
            <w:pPr>
              <w:pStyle w:val="TableParagraph"/>
              <w:spacing w:line="275" w:lineRule="exact"/>
              <w:ind w:left="109"/>
              <w:rPr>
                <w:sz w:val="24"/>
              </w:rPr>
            </w:pPr>
            <w:r>
              <w:rPr>
                <w:sz w:val="24"/>
              </w:rPr>
              <w:t>0,21</w:t>
            </w:r>
          </w:p>
          <w:p>
            <w:pPr>
              <w:pStyle w:val="TableParagraph"/>
              <w:spacing w:before="3"/>
              <w:ind w:left="734"/>
              <w:rPr>
                <w:sz w:val="24"/>
              </w:rPr>
            </w:pPr>
            <w:r>
              <w:rPr>
                <w:sz w:val="24"/>
              </w:rPr>
              <w:t>0,45</w:t>
            </w:r>
          </w:p>
        </w:tc>
      </w:tr>
    </w:tbl>
    <w:p>
      <w:pPr>
        <w:pStyle w:val="BodyText"/>
        <w:spacing w:before="4"/>
        <w:ind w:left="0"/>
        <w:jc w:val="left"/>
        <w:rPr>
          <w:sz w:val="27"/>
        </w:rPr>
      </w:pPr>
    </w:p>
    <w:p>
      <w:pPr>
        <w:pStyle w:val="BodyText"/>
        <w:spacing w:after="6"/>
        <w:ind w:right="799" w:firstLine="710"/>
        <w:jc w:val="left"/>
      </w:pPr>
      <w:r>
        <w:rPr/>
        <w:t>Таблиця 2. Винос біогенів з ґрунту з врожаєм сільськогосподарських культур, кг/т.</w:t>
      </w:r>
    </w:p>
    <w:tbl>
      <w:tblPr>
        <w:tblW w:w="0" w:type="auto"/>
        <w:jc w:val="left"/>
        <w:tblInd w:w="4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5"/>
        <w:gridCol w:w="3385"/>
        <w:gridCol w:w="1114"/>
        <w:gridCol w:w="980"/>
        <w:gridCol w:w="980"/>
      </w:tblGrid>
      <w:tr>
        <w:trPr>
          <w:trHeight w:val="278" w:hRule="atLeast"/>
        </w:trPr>
        <w:tc>
          <w:tcPr>
            <w:tcW w:w="2065" w:type="dxa"/>
          </w:tcPr>
          <w:p>
            <w:pPr>
              <w:pStyle w:val="TableParagraph"/>
              <w:spacing w:line="258" w:lineRule="exact"/>
              <w:ind w:left="552"/>
              <w:rPr>
                <w:sz w:val="24"/>
              </w:rPr>
            </w:pPr>
            <w:r>
              <w:rPr>
                <w:sz w:val="24"/>
              </w:rPr>
              <w:t>Культура</w:t>
            </w:r>
          </w:p>
        </w:tc>
        <w:tc>
          <w:tcPr>
            <w:tcW w:w="3385" w:type="dxa"/>
          </w:tcPr>
          <w:p>
            <w:pPr>
              <w:pStyle w:val="TableParagraph"/>
              <w:spacing w:line="258" w:lineRule="exact"/>
              <w:ind w:left="1613"/>
              <w:rPr>
                <w:sz w:val="24"/>
              </w:rPr>
            </w:pPr>
            <w:r>
              <w:rPr>
                <w:sz w:val="24"/>
              </w:rPr>
              <w:t>Ґрунти</w:t>
            </w:r>
          </w:p>
        </w:tc>
        <w:tc>
          <w:tcPr>
            <w:tcW w:w="1114" w:type="dxa"/>
          </w:tcPr>
          <w:p>
            <w:pPr>
              <w:pStyle w:val="TableParagraph"/>
              <w:spacing w:line="258" w:lineRule="exact"/>
              <w:ind w:right="179"/>
              <w:jc w:val="right"/>
              <w:rPr>
                <w:sz w:val="24"/>
              </w:rPr>
            </w:pPr>
            <w:r>
              <w:rPr>
                <w:w w:val="99"/>
                <w:sz w:val="24"/>
              </w:rPr>
              <w:t>N</w:t>
            </w:r>
          </w:p>
        </w:tc>
        <w:tc>
          <w:tcPr>
            <w:tcW w:w="980" w:type="dxa"/>
          </w:tcPr>
          <w:p>
            <w:pPr>
              <w:pStyle w:val="TableParagraph"/>
              <w:spacing w:line="258" w:lineRule="exact"/>
              <w:ind w:right="128"/>
              <w:jc w:val="right"/>
              <w:rPr>
                <w:sz w:val="24"/>
              </w:rPr>
            </w:pPr>
            <w:r>
              <w:rPr>
                <w:w w:val="99"/>
                <w:sz w:val="24"/>
              </w:rPr>
              <w:t>P</w:t>
            </w:r>
          </w:p>
        </w:tc>
        <w:tc>
          <w:tcPr>
            <w:tcW w:w="980" w:type="dxa"/>
          </w:tcPr>
          <w:p>
            <w:pPr>
              <w:pStyle w:val="TableParagraph"/>
              <w:spacing w:line="258" w:lineRule="exact"/>
              <w:ind w:right="108"/>
              <w:jc w:val="right"/>
              <w:rPr>
                <w:sz w:val="24"/>
              </w:rPr>
            </w:pPr>
            <w:r>
              <w:rPr>
                <w:w w:val="99"/>
                <w:sz w:val="24"/>
              </w:rPr>
              <w:t>K</w:t>
            </w:r>
          </w:p>
        </w:tc>
      </w:tr>
      <w:tr>
        <w:trPr>
          <w:trHeight w:val="2482" w:hRule="atLeast"/>
        </w:trPr>
        <w:tc>
          <w:tcPr>
            <w:tcW w:w="2065" w:type="dxa"/>
          </w:tcPr>
          <w:p>
            <w:pPr>
              <w:pStyle w:val="TableParagraph"/>
              <w:rPr>
                <w:sz w:val="23"/>
              </w:rPr>
            </w:pPr>
          </w:p>
          <w:p>
            <w:pPr>
              <w:pStyle w:val="TableParagraph"/>
              <w:spacing w:before="1"/>
              <w:ind w:left="110"/>
              <w:rPr>
                <w:sz w:val="24"/>
              </w:rPr>
            </w:pPr>
            <w:r>
              <w:rPr>
                <w:sz w:val="24"/>
              </w:rPr>
              <w:t>Озима пшениця</w:t>
            </w:r>
          </w:p>
          <w:p>
            <w:pPr>
              <w:pStyle w:val="TableParagraph"/>
              <w:rPr>
                <w:sz w:val="24"/>
              </w:rPr>
            </w:pPr>
          </w:p>
          <w:p>
            <w:pPr>
              <w:pStyle w:val="TableParagraph"/>
              <w:spacing w:line="480" w:lineRule="auto"/>
              <w:ind w:left="672" w:right="206"/>
              <w:rPr>
                <w:sz w:val="24"/>
              </w:rPr>
            </w:pPr>
            <w:r>
              <w:rPr>
                <w:sz w:val="24"/>
              </w:rPr>
              <w:t>Ярі зернові Картопля</w:t>
            </w:r>
          </w:p>
          <w:p>
            <w:pPr>
              <w:pStyle w:val="TableParagraph"/>
              <w:ind w:left="110"/>
              <w:rPr>
                <w:sz w:val="24"/>
              </w:rPr>
            </w:pPr>
            <w:r>
              <w:rPr>
                <w:sz w:val="24"/>
              </w:rPr>
              <w:t>Багаторічні трави</w:t>
            </w:r>
          </w:p>
        </w:tc>
        <w:tc>
          <w:tcPr>
            <w:tcW w:w="3385" w:type="dxa"/>
          </w:tcPr>
          <w:p>
            <w:pPr>
              <w:pStyle w:val="TableParagraph"/>
              <w:rPr>
                <w:sz w:val="23"/>
              </w:rPr>
            </w:pPr>
          </w:p>
          <w:p>
            <w:pPr>
              <w:pStyle w:val="TableParagraph"/>
              <w:tabs>
                <w:tab w:pos="2326" w:val="left" w:leader="none"/>
              </w:tabs>
              <w:spacing w:line="242" w:lineRule="auto" w:before="1"/>
              <w:ind w:left="105" w:right="103"/>
              <w:rPr>
                <w:sz w:val="24"/>
              </w:rPr>
            </w:pPr>
            <w:r>
              <w:rPr>
                <w:sz w:val="24"/>
              </w:rPr>
              <w:t>Чорноземи</w:t>
              <w:tab/>
            </w:r>
            <w:r>
              <w:rPr>
                <w:spacing w:val="-4"/>
                <w:sz w:val="24"/>
              </w:rPr>
              <w:t>звичайні, </w:t>
            </w:r>
            <w:r>
              <w:rPr>
                <w:sz w:val="24"/>
              </w:rPr>
              <w:t>Каштанові</w:t>
            </w:r>
          </w:p>
          <w:p>
            <w:pPr>
              <w:pStyle w:val="TableParagraph"/>
              <w:tabs>
                <w:tab w:pos="2326" w:val="left" w:leader="none"/>
              </w:tabs>
              <w:spacing w:line="242" w:lineRule="auto"/>
              <w:ind w:left="105" w:right="103"/>
              <w:rPr>
                <w:sz w:val="24"/>
              </w:rPr>
            </w:pPr>
            <w:r>
              <w:rPr>
                <w:sz w:val="24"/>
              </w:rPr>
              <w:t>Чорноземи</w:t>
              <w:tab/>
            </w:r>
            <w:r>
              <w:rPr>
                <w:spacing w:val="-4"/>
                <w:sz w:val="24"/>
              </w:rPr>
              <w:t>звичайні, </w:t>
            </w:r>
            <w:r>
              <w:rPr>
                <w:sz w:val="24"/>
              </w:rPr>
              <w:t>Каштанові</w:t>
            </w:r>
          </w:p>
          <w:p>
            <w:pPr>
              <w:pStyle w:val="TableParagraph"/>
              <w:ind w:left="105" w:right="1176"/>
              <w:rPr>
                <w:sz w:val="24"/>
              </w:rPr>
            </w:pPr>
            <w:r>
              <w:rPr>
                <w:sz w:val="24"/>
              </w:rPr>
              <w:t>Чорноземи звичайні Каштанові Чорноземи південні</w:t>
            </w:r>
          </w:p>
        </w:tc>
        <w:tc>
          <w:tcPr>
            <w:tcW w:w="1114" w:type="dxa"/>
          </w:tcPr>
          <w:p>
            <w:pPr>
              <w:pStyle w:val="TableParagraph"/>
              <w:rPr>
                <w:sz w:val="23"/>
              </w:rPr>
            </w:pPr>
          </w:p>
          <w:p>
            <w:pPr>
              <w:pStyle w:val="TableParagraph"/>
              <w:spacing w:before="1"/>
              <w:ind w:left="105"/>
              <w:rPr>
                <w:sz w:val="24"/>
              </w:rPr>
            </w:pPr>
            <w:r>
              <w:rPr>
                <w:sz w:val="24"/>
              </w:rPr>
              <w:t>34,0</w:t>
            </w:r>
          </w:p>
          <w:p>
            <w:pPr>
              <w:pStyle w:val="TableParagraph"/>
              <w:spacing w:line="275" w:lineRule="exact" w:before="3"/>
              <w:ind w:left="105"/>
              <w:rPr>
                <w:sz w:val="24"/>
              </w:rPr>
            </w:pPr>
            <w:r>
              <w:rPr>
                <w:sz w:val="24"/>
              </w:rPr>
              <w:t>29,0</w:t>
            </w:r>
          </w:p>
          <w:p>
            <w:pPr>
              <w:pStyle w:val="TableParagraph"/>
              <w:spacing w:line="275" w:lineRule="exact"/>
              <w:ind w:left="105"/>
              <w:rPr>
                <w:sz w:val="24"/>
              </w:rPr>
            </w:pPr>
            <w:r>
              <w:rPr>
                <w:sz w:val="24"/>
              </w:rPr>
              <w:t>33,0</w:t>
            </w:r>
          </w:p>
          <w:p>
            <w:pPr>
              <w:pStyle w:val="TableParagraph"/>
              <w:spacing w:line="275" w:lineRule="exact" w:before="2"/>
              <w:ind w:left="105"/>
              <w:rPr>
                <w:sz w:val="24"/>
              </w:rPr>
            </w:pPr>
            <w:r>
              <w:rPr>
                <w:sz w:val="24"/>
              </w:rPr>
              <w:t>40,0</w:t>
            </w:r>
          </w:p>
          <w:p>
            <w:pPr>
              <w:pStyle w:val="TableParagraph"/>
              <w:spacing w:line="275" w:lineRule="exact"/>
              <w:ind w:left="105"/>
              <w:rPr>
                <w:sz w:val="24"/>
              </w:rPr>
            </w:pPr>
            <w:r>
              <w:rPr>
                <w:sz w:val="24"/>
              </w:rPr>
              <w:t>42,0</w:t>
            </w:r>
          </w:p>
          <w:p>
            <w:pPr>
              <w:pStyle w:val="TableParagraph"/>
              <w:spacing w:line="275" w:lineRule="exact" w:before="2"/>
              <w:ind w:left="105"/>
              <w:rPr>
                <w:sz w:val="24"/>
              </w:rPr>
            </w:pPr>
            <w:r>
              <w:rPr>
                <w:sz w:val="24"/>
              </w:rPr>
              <w:t>26,0</w:t>
            </w:r>
          </w:p>
          <w:p>
            <w:pPr>
              <w:pStyle w:val="TableParagraph"/>
              <w:spacing w:line="275" w:lineRule="exact"/>
              <w:ind w:left="105"/>
              <w:rPr>
                <w:sz w:val="24"/>
              </w:rPr>
            </w:pPr>
            <w:r>
              <w:rPr>
                <w:sz w:val="24"/>
              </w:rPr>
              <w:t>30,4</w:t>
            </w:r>
          </w:p>
        </w:tc>
        <w:tc>
          <w:tcPr>
            <w:tcW w:w="980" w:type="dxa"/>
          </w:tcPr>
          <w:p>
            <w:pPr>
              <w:pStyle w:val="TableParagraph"/>
              <w:rPr>
                <w:sz w:val="23"/>
              </w:rPr>
            </w:pPr>
          </w:p>
          <w:p>
            <w:pPr>
              <w:pStyle w:val="TableParagraph"/>
              <w:spacing w:before="1"/>
              <w:ind w:left="110"/>
              <w:rPr>
                <w:sz w:val="24"/>
              </w:rPr>
            </w:pPr>
            <w:r>
              <w:rPr>
                <w:sz w:val="24"/>
              </w:rPr>
              <w:t>9,0</w:t>
            </w:r>
          </w:p>
          <w:p>
            <w:pPr>
              <w:pStyle w:val="TableParagraph"/>
              <w:spacing w:line="275" w:lineRule="exact" w:before="3"/>
              <w:ind w:left="110"/>
              <w:rPr>
                <w:sz w:val="24"/>
              </w:rPr>
            </w:pPr>
            <w:r>
              <w:rPr>
                <w:sz w:val="24"/>
              </w:rPr>
              <w:t>10,0</w:t>
            </w:r>
          </w:p>
          <w:p>
            <w:pPr>
              <w:pStyle w:val="TableParagraph"/>
              <w:spacing w:line="275" w:lineRule="exact"/>
              <w:ind w:left="110"/>
              <w:rPr>
                <w:sz w:val="24"/>
              </w:rPr>
            </w:pPr>
            <w:r>
              <w:rPr>
                <w:sz w:val="24"/>
              </w:rPr>
              <w:t>14,0</w:t>
            </w:r>
          </w:p>
          <w:p>
            <w:pPr>
              <w:pStyle w:val="TableParagraph"/>
              <w:spacing w:line="275" w:lineRule="exact" w:before="2"/>
              <w:ind w:left="110"/>
              <w:rPr>
                <w:sz w:val="24"/>
              </w:rPr>
            </w:pPr>
            <w:r>
              <w:rPr>
                <w:sz w:val="24"/>
              </w:rPr>
              <w:t>11,0</w:t>
            </w:r>
          </w:p>
          <w:p>
            <w:pPr>
              <w:pStyle w:val="TableParagraph"/>
              <w:spacing w:line="275" w:lineRule="exact"/>
              <w:ind w:left="110"/>
              <w:rPr>
                <w:sz w:val="24"/>
              </w:rPr>
            </w:pPr>
            <w:r>
              <w:rPr>
                <w:sz w:val="24"/>
              </w:rPr>
              <w:t>10,0</w:t>
            </w:r>
          </w:p>
          <w:p>
            <w:pPr>
              <w:pStyle w:val="TableParagraph"/>
              <w:spacing w:line="275" w:lineRule="exact" w:before="2"/>
              <w:ind w:left="110"/>
              <w:rPr>
                <w:sz w:val="24"/>
              </w:rPr>
            </w:pPr>
            <w:r>
              <w:rPr>
                <w:sz w:val="24"/>
              </w:rPr>
              <w:t>10,4</w:t>
            </w:r>
          </w:p>
          <w:p>
            <w:pPr>
              <w:pStyle w:val="TableParagraph"/>
              <w:spacing w:line="275" w:lineRule="exact"/>
              <w:ind w:left="110"/>
              <w:rPr>
                <w:sz w:val="24"/>
              </w:rPr>
            </w:pPr>
            <w:r>
              <w:rPr>
                <w:sz w:val="24"/>
              </w:rPr>
              <w:t>11,4</w:t>
            </w:r>
          </w:p>
        </w:tc>
        <w:tc>
          <w:tcPr>
            <w:tcW w:w="980" w:type="dxa"/>
          </w:tcPr>
          <w:p>
            <w:pPr>
              <w:pStyle w:val="TableParagraph"/>
              <w:rPr>
                <w:sz w:val="23"/>
              </w:rPr>
            </w:pPr>
          </w:p>
          <w:p>
            <w:pPr>
              <w:pStyle w:val="TableParagraph"/>
              <w:spacing w:before="1"/>
              <w:ind w:left="109"/>
              <w:rPr>
                <w:sz w:val="24"/>
              </w:rPr>
            </w:pPr>
            <w:r>
              <w:rPr>
                <w:sz w:val="24"/>
              </w:rPr>
              <w:t>20,0</w:t>
            </w:r>
          </w:p>
          <w:p>
            <w:pPr>
              <w:pStyle w:val="TableParagraph"/>
              <w:spacing w:line="275" w:lineRule="exact" w:before="3"/>
              <w:ind w:left="109"/>
              <w:rPr>
                <w:sz w:val="24"/>
              </w:rPr>
            </w:pPr>
            <w:r>
              <w:rPr>
                <w:sz w:val="24"/>
              </w:rPr>
              <w:t>27,0</w:t>
            </w:r>
          </w:p>
          <w:p>
            <w:pPr>
              <w:pStyle w:val="TableParagraph"/>
              <w:spacing w:line="275" w:lineRule="exact"/>
              <w:ind w:left="109"/>
              <w:rPr>
                <w:sz w:val="24"/>
              </w:rPr>
            </w:pPr>
            <w:r>
              <w:rPr>
                <w:sz w:val="24"/>
              </w:rPr>
              <w:t>26,0</w:t>
            </w:r>
          </w:p>
          <w:p>
            <w:pPr>
              <w:pStyle w:val="TableParagraph"/>
              <w:spacing w:line="275" w:lineRule="exact" w:before="2"/>
              <w:ind w:left="109"/>
              <w:rPr>
                <w:sz w:val="24"/>
              </w:rPr>
            </w:pPr>
            <w:r>
              <w:rPr>
                <w:sz w:val="24"/>
              </w:rPr>
              <w:t>23,0</w:t>
            </w:r>
          </w:p>
          <w:p>
            <w:pPr>
              <w:pStyle w:val="TableParagraph"/>
              <w:spacing w:line="275" w:lineRule="exact"/>
              <w:ind w:left="109"/>
              <w:rPr>
                <w:sz w:val="24"/>
              </w:rPr>
            </w:pPr>
            <w:r>
              <w:rPr>
                <w:sz w:val="24"/>
              </w:rPr>
              <w:t>32,0</w:t>
            </w:r>
          </w:p>
          <w:p>
            <w:pPr>
              <w:pStyle w:val="TableParagraph"/>
              <w:spacing w:line="275" w:lineRule="exact" w:before="2"/>
              <w:ind w:left="109"/>
              <w:rPr>
                <w:sz w:val="24"/>
              </w:rPr>
            </w:pPr>
            <w:r>
              <w:rPr>
                <w:sz w:val="24"/>
              </w:rPr>
              <w:t>17,0</w:t>
            </w:r>
          </w:p>
          <w:p>
            <w:pPr>
              <w:pStyle w:val="TableParagraph"/>
              <w:spacing w:line="275" w:lineRule="exact"/>
              <w:ind w:left="109"/>
              <w:rPr>
                <w:sz w:val="24"/>
              </w:rPr>
            </w:pPr>
            <w:r>
              <w:rPr>
                <w:sz w:val="24"/>
              </w:rPr>
              <w:t>22,0</w:t>
            </w:r>
          </w:p>
        </w:tc>
      </w:tr>
    </w:tbl>
    <w:p>
      <w:pPr>
        <w:pStyle w:val="BodyText"/>
        <w:jc w:val="left"/>
      </w:pPr>
      <w:r>
        <w:rPr/>
        <w:t>Початкову кількість внесених біогенних елементів визначають за формулою :</w:t>
      </w:r>
    </w:p>
    <w:p>
      <w:pPr>
        <w:spacing w:line="70" w:lineRule="exact" w:before="39"/>
        <w:ind w:left="1934" w:right="0" w:firstLine="0"/>
        <w:jc w:val="left"/>
        <w:rPr>
          <w:i/>
          <w:sz w:val="15"/>
        </w:rPr>
      </w:pPr>
      <w:r>
        <w:rPr>
          <w:i/>
          <w:w w:val="102"/>
          <w:sz w:val="15"/>
        </w:rPr>
        <w:t>m</w:t>
      </w:r>
    </w:p>
    <w:p>
      <w:pPr>
        <w:spacing w:after="0" w:line="70" w:lineRule="exact"/>
        <w:jc w:val="left"/>
        <w:rPr>
          <w:sz w:val="15"/>
        </w:rPr>
        <w:sectPr>
          <w:pgSz w:w="11910" w:h="16840"/>
          <w:pgMar w:header="713" w:footer="778" w:top="1140" w:bottom="960" w:left="940" w:right="520"/>
        </w:sectPr>
      </w:pPr>
    </w:p>
    <w:p>
      <w:pPr>
        <w:spacing w:before="92"/>
        <w:ind w:left="992" w:right="0" w:firstLine="0"/>
        <w:jc w:val="left"/>
        <w:rPr>
          <w:i/>
          <w:sz w:val="15"/>
        </w:rPr>
      </w:pPr>
      <w:r>
        <w:rPr>
          <w:i/>
          <w:position w:val="7"/>
          <w:sz w:val="26"/>
        </w:rPr>
        <w:t>W</w:t>
      </w:r>
      <w:r>
        <w:rPr>
          <w:i/>
          <w:sz w:val="15"/>
        </w:rPr>
        <w:t>ИСХ</w:t>
      </w:r>
    </w:p>
    <w:p>
      <w:pPr>
        <w:spacing w:line="464" w:lineRule="exact" w:before="3"/>
        <w:ind w:left="83" w:right="0" w:firstLine="0"/>
        <w:jc w:val="left"/>
        <w:rPr>
          <w:i/>
          <w:sz w:val="11"/>
        </w:rPr>
      </w:pPr>
      <w:r>
        <w:rPr/>
        <w:br w:type="column"/>
      </w:r>
      <w:r>
        <w:rPr>
          <w:rFonts w:ascii="Symbol" w:hAnsi="Symbol"/>
          <w:w w:val="101"/>
          <w:position w:val="7"/>
          <w:sz w:val="26"/>
        </w:rPr>
        <w:t></w:t>
      </w:r>
      <w:r>
        <w:rPr>
          <w:spacing w:val="5"/>
          <w:position w:val="7"/>
          <w:sz w:val="26"/>
        </w:rPr>
        <w:t> </w:t>
      </w:r>
      <w:r>
        <w:rPr>
          <w:rFonts w:ascii="Symbol" w:hAnsi="Symbol"/>
          <w:spacing w:val="10"/>
          <w:w w:val="98"/>
          <w:sz w:val="40"/>
        </w:rPr>
        <w:t></w:t>
      </w:r>
      <w:r>
        <w:rPr>
          <w:i/>
          <w:spacing w:val="-9"/>
          <w:w w:val="101"/>
          <w:position w:val="7"/>
          <w:sz w:val="26"/>
        </w:rPr>
        <w:t>Ф</w:t>
      </w:r>
      <w:r>
        <w:rPr>
          <w:i/>
          <w:w w:val="102"/>
          <w:sz w:val="15"/>
        </w:rPr>
        <w:t>M</w:t>
      </w:r>
      <w:r>
        <w:rPr>
          <w:i/>
          <w:spacing w:val="6"/>
          <w:sz w:val="15"/>
        </w:rPr>
        <w:t> </w:t>
      </w:r>
      <w:r>
        <w:rPr>
          <w:i/>
          <w:position w:val="-3"/>
          <w:sz w:val="11"/>
        </w:rPr>
        <w:t>j</w:t>
      </w:r>
      <w:r>
        <w:rPr>
          <w:i/>
          <w:spacing w:val="-13"/>
          <w:position w:val="-3"/>
          <w:sz w:val="11"/>
        </w:rPr>
        <w:t> </w:t>
      </w:r>
      <w:r>
        <w:rPr>
          <w:i/>
          <w:spacing w:val="-16"/>
          <w:w w:val="101"/>
          <w:position w:val="7"/>
          <w:sz w:val="26"/>
        </w:rPr>
        <w:t>W</w:t>
      </w:r>
      <w:r>
        <w:rPr>
          <w:i/>
          <w:spacing w:val="-4"/>
          <w:w w:val="102"/>
          <w:sz w:val="15"/>
        </w:rPr>
        <w:t>С</w:t>
      </w:r>
      <w:r>
        <w:rPr>
          <w:i/>
          <w:w w:val="102"/>
          <w:sz w:val="15"/>
        </w:rPr>
        <w:t>Р</w:t>
      </w:r>
      <w:r>
        <w:rPr>
          <w:i/>
          <w:spacing w:val="-12"/>
          <w:sz w:val="15"/>
        </w:rPr>
        <w:t> </w:t>
      </w:r>
      <w:r>
        <w:rPr>
          <w:i/>
          <w:spacing w:val="-14"/>
          <w:position w:val="-3"/>
          <w:sz w:val="11"/>
        </w:rPr>
        <w:t>j</w:t>
      </w:r>
    </w:p>
    <w:p>
      <w:pPr>
        <w:spacing w:line="158" w:lineRule="exact" w:before="0"/>
        <w:ind w:left="349" w:right="0" w:firstLine="0"/>
        <w:jc w:val="left"/>
        <w:rPr>
          <w:sz w:val="15"/>
        </w:rPr>
      </w:pPr>
      <w:r>
        <w:rPr>
          <w:i/>
          <w:w w:val="105"/>
          <w:sz w:val="15"/>
        </w:rPr>
        <w:t>j </w:t>
      </w:r>
      <w:r>
        <w:rPr>
          <w:rFonts w:ascii="Symbol" w:hAnsi="Symbol"/>
          <w:w w:val="105"/>
          <w:sz w:val="15"/>
        </w:rPr>
        <w:t></w:t>
      </w:r>
      <w:r>
        <w:rPr>
          <w:w w:val="105"/>
          <w:sz w:val="15"/>
        </w:rPr>
        <w:t>1</w:t>
      </w:r>
    </w:p>
    <w:p>
      <w:pPr>
        <w:spacing w:before="106"/>
        <w:ind w:left="100" w:right="0" w:firstLine="0"/>
        <w:jc w:val="left"/>
        <w:rPr>
          <w:sz w:val="28"/>
        </w:rPr>
      </w:pPr>
      <w:r>
        <w:rPr/>
        <w:br w:type="column"/>
      </w:r>
      <w:r>
        <w:rPr>
          <w:sz w:val="28"/>
        </w:rPr>
        <w:t>(3)</w:t>
      </w:r>
    </w:p>
    <w:p>
      <w:pPr>
        <w:spacing w:after="0"/>
        <w:jc w:val="left"/>
        <w:rPr>
          <w:sz w:val="28"/>
        </w:rPr>
        <w:sectPr>
          <w:type w:val="continuous"/>
          <w:pgSz w:w="11910" w:h="16840"/>
          <w:pgMar w:top="1140" w:bottom="280" w:left="940" w:right="520"/>
          <w:cols w:num="3" w:equalWidth="0">
            <w:col w:w="1511" w:space="40"/>
            <w:col w:w="1470" w:space="39"/>
            <w:col w:w="7390"/>
          </w:cols>
        </w:sectPr>
      </w:pPr>
    </w:p>
    <w:p>
      <w:pPr>
        <w:pStyle w:val="BodyText"/>
        <w:spacing w:before="38"/>
        <w:ind w:left="903"/>
        <w:jc w:val="left"/>
      </w:pPr>
      <w:r>
        <w:rPr/>
        <w:t>де </w:t>
      </w:r>
      <w:r>
        <w:rPr>
          <w:i/>
        </w:rPr>
        <w:t>W</w:t>
      </w:r>
      <w:r>
        <w:rPr>
          <w:i/>
          <w:vertAlign w:val="subscript"/>
        </w:rPr>
        <w:t>исх</w:t>
      </w:r>
      <w:r>
        <w:rPr>
          <w:i/>
          <w:vertAlign w:val="baseline"/>
        </w:rPr>
        <w:t> </w:t>
      </w:r>
      <w:r>
        <w:rPr>
          <w:vertAlign w:val="baseline"/>
        </w:rPr>
        <w:t>– вихідна кількість внесених у ґрунт біогенів, кг/рік; </w:t>
      </w:r>
      <w:r>
        <w:rPr>
          <w:i/>
          <w:vertAlign w:val="baseline"/>
        </w:rPr>
        <w:t>m </w:t>
      </w:r>
      <w:r>
        <w:rPr>
          <w:vertAlign w:val="baseline"/>
        </w:rPr>
        <w:t>– кількість</w:t>
      </w:r>
    </w:p>
    <w:p>
      <w:pPr>
        <w:spacing w:after="0"/>
        <w:jc w:val="left"/>
        <w:sectPr>
          <w:type w:val="continuous"/>
          <w:pgSz w:w="11910" w:h="16840"/>
          <w:pgMar w:top="1140" w:bottom="280" w:left="940" w:right="520"/>
        </w:sectPr>
      </w:pPr>
    </w:p>
    <w:p>
      <w:pPr>
        <w:pStyle w:val="BodyText"/>
        <w:spacing w:before="134"/>
        <w:jc w:val="left"/>
      </w:pPr>
      <w:r>
        <w:rPr/>
        <w:t>видів</w:t>
      </w:r>
      <w:r>
        <w:rPr>
          <w:spacing w:val="52"/>
        </w:rPr>
        <w:t> </w:t>
      </w:r>
      <w:r>
        <w:rPr>
          <w:spacing w:val="-3"/>
        </w:rPr>
        <w:t>добрив;</w:t>
      </w:r>
    </w:p>
    <w:p>
      <w:pPr>
        <w:pStyle w:val="BodyText"/>
        <w:spacing w:before="113"/>
        <w:ind w:left="119"/>
        <w:jc w:val="left"/>
      </w:pPr>
      <w:r>
        <w:rPr/>
        <w:br w:type="column"/>
      </w:r>
      <w:r>
        <w:rPr>
          <w:i/>
          <w:position w:val="3"/>
          <w:sz w:val="27"/>
        </w:rPr>
        <w:t>Ф</w:t>
      </w:r>
      <w:r>
        <w:rPr>
          <w:i/>
          <w:position w:val="-3"/>
          <w:sz w:val="16"/>
        </w:rPr>
        <w:t>М </w:t>
      </w:r>
      <w:r>
        <w:rPr/>
        <w:t>– фізична маса </w:t>
      </w:r>
      <w:r>
        <w:rPr>
          <w:i/>
        </w:rPr>
        <w:t>j</w:t>
      </w:r>
      <w:r>
        <w:rPr/>
        <w:t>-го виду добрив, що вносяться, т;</w:t>
      </w:r>
    </w:p>
    <w:p>
      <w:pPr>
        <w:spacing w:before="34"/>
        <w:ind w:left="112" w:right="0" w:firstLine="0"/>
        <w:jc w:val="left"/>
        <w:rPr>
          <w:sz w:val="28"/>
        </w:rPr>
      </w:pPr>
      <w:r>
        <w:rPr/>
        <w:br w:type="column"/>
      </w:r>
      <w:r>
        <w:rPr>
          <w:i/>
          <w:position w:val="8"/>
          <w:sz w:val="32"/>
        </w:rPr>
        <w:t>W</w:t>
      </w:r>
      <w:r>
        <w:rPr>
          <w:i/>
          <w:sz w:val="19"/>
        </w:rPr>
        <w:t>СР </w:t>
      </w:r>
      <w:r>
        <w:rPr>
          <w:position w:val="2"/>
          <w:sz w:val="28"/>
        </w:rPr>
        <w:t>–</w:t>
      </w:r>
    </w:p>
    <w:p>
      <w:pPr>
        <w:spacing w:after="0"/>
        <w:jc w:val="left"/>
        <w:rPr>
          <w:sz w:val="28"/>
        </w:rPr>
        <w:sectPr>
          <w:type w:val="continuous"/>
          <w:pgSz w:w="11910" w:h="16840"/>
          <w:pgMar w:top="1140" w:bottom="280" w:left="940" w:right="520"/>
          <w:cols w:num="3" w:equalWidth="0">
            <w:col w:w="1874" w:space="40"/>
            <w:col w:w="6948" w:space="39"/>
            <w:col w:w="1549"/>
          </w:cols>
        </w:sectPr>
      </w:pPr>
    </w:p>
    <w:p>
      <w:pPr>
        <w:pStyle w:val="BodyText"/>
        <w:spacing w:before="77"/>
        <w:ind w:left="903" w:right="3527" w:hanging="711"/>
        <w:jc w:val="left"/>
      </w:pPr>
      <w:r>
        <w:rPr/>
        <w:pict>
          <v:shape style="position:absolute;margin-left:167.228531pt;margin-top:-4.976427pt;width:1.5pt;height:6.45pt;mso-position-horizontal-relative:page;mso-position-vertical-relative:paragraph;z-index:-267058176" type="#_x0000_t202" filled="false" stroked="false">
            <v:textbox inset="0,0,0,0">
              <w:txbxContent>
                <w:p>
                  <w:pPr>
                    <w:spacing w:before="0"/>
                    <w:ind w:left="0" w:right="0" w:firstLine="0"/>
                    <w:jc w:val="left"/>
                    <w:rPr>
                      <w:i/>
                      <w:sz w:val="11"/>
                    </w:rPr>
                  </w:pPr>
                  <w:r>
                    <w:rPr>
                      <w:i/>
                      <w:w w:val="97"/>
                      <w:sz w:val="11"/>
                    </w:rPr>
                    <w:t>j</w:t>
                  </w:r>
                </w:p>
              </w:txbxContent>
            </v:textbox>
            <w10:wrap type="none"/>
          </v:shape>
        </w:pict>
      </w:r>
      <w:r>
        <w:rPr/>
        <w:pict>
          <v:shape style="position:absolute;margin-left:524.876282pt;margin-top:-6.558507pt;width:1.95pt;height:7.55pt;mso-position-horizontal-relative:page;mso-position-vertical-relative:paragraph;z-index:-267057152" type="#_x0000_t202" filled="false" stroked="false">
            <v:textbox inset="0,0,0,0">
              <w:txbxContent>
                <w:p>
                  <w:pPr>
                    <w:spacing w:before="0"/>
                    <w:ind w:left="0" w:right="0" w:firstLine="0"/>
                    <w:jc w:val="left"/>
                    <w:rPr>
                      <w:i/>
                      <w:sz w:val="13"/>
                    </w:rPr>
                  </w:pPr>
                  <w:r>
                    <w:rPr>
                      <w:i/>
                      <w:w w:val="106"/>
                      <w:sz w:val="13"/>
                    </w:rPr>
                    <w:t>j</w:t>
                  </w:r>
                </w:p>
              </w:txbxContent>
            </v:textbox>
            <w10:wrap type="none"/>
          </v:shape>
        </w:pict>
      </w:r>
      <w:r>
        <w:rPr/>
        <w:t>середній вміст біогенних елементів у добриві </w:t>
      </w:r>
      <w:r>
        <w:rPr>
          <w:i/>
        </w:rPr>
        <w:t>j</w:t>
      </w:r>
      <w:r>
        <w:rPr/>
        <w:t>-го виду. Фізичну масу добрив розраховують за формулою:</w:t>
      </w:r>
    </w:p>
    <w:p>
      <w:pPr>
        <w:spacing w:line="81" w:lineRule="exact" w:before="39"/>
        <w:ind w:left="1950" w:right="0" w:firstLine="0"/>
        <w:jc w:val="left"/>
        <w:rPr>
          <w:i/>
          <w:sz w:val="17"/>
        </w:rPr>
      </w:pPr>
      <w:r>
        <w:rPr>
          <w:i/>
          <w:w w:val="102"/>
          <w:sz w:val="17"/>
        </w:rPr>
        <w:t>m</w:t>
      </w:r>
    </w:p>
    <w:p>
      <w:pPr>
        <w:spacing w:after="0" w:line="81" w:lineRule="exact"/>
        <w:jc w:val="left"/>
        <w:rPr>
          <w:sz w:val="17"/>
        </w:rPr>
        <w:sectPr>
          <w:type w:val="continuous"/>
          <w:pgSz w:w="11910" w:h="16840"/>
          <w:pgMar w:top="1140" w:bottom="280" w:left="940" w:right="520"/>
        </w:sectPr>
      </w:pPr>
    </w:p>
    <w:p>
      <w:pPr>
        <w:spacing w:line="511" w:lineRule="exact" w:before="4"/>
        <w:ind w:left="1003" w:right="0" w:firstLine="0"/>
        <w:jc w:val="left"/>
        <w:rPr>
          <w:i/>
          <w:sz w:val="17"/>
        </w:rPr>
      </w:pPr>
      <w:r>
        <w:rPr/>
        <w:pict>
          <v:shape style="position:absolute;margin-left:108.750046pt;margin-top:14.824655pt;width:7.3pt;height:9.550pt;mso-position-horizontal-relative:page;mso-position-vertical-relative:paragraph;z-index:-267056128" type="#_x0000_t202" filled="false" stroked="false">
            <v:textbox inset="0,0,0,0">
              <w:txbxContent>
                <w:p>
                  <w:pPr>
                    <w:spacing w:line="190" w:lineRule="exact" w:before="0"/>
                    <w:ind w:left="0" w:right="0" w:firstLine="0"/>
                    <w:jc w:val="left"/>
                    <w:rPr>
                      <w:i/>
                      <w:sz w:val="17"/>
                    </w:rPr>
                  </w:pPr>
                  <w:r>
                    <w:rPr>
                      <w:i/>
                      <w:w w:val="102"/>
                      <w:sz w:val="17"/>
                    </w:rPr>
                    <w:t>М</w:t>
                  </w:r>
                </w:p>
              </w:txbxContent>
            </v:textbox>
            <w10:wrap type="none"/>
          </v:shape>
        </w:pict>
      </w:r>
      <w:r>
        <w:rPr>
          <w:i/>
          <w:w w:val="102"/>
          <w:sz w:val="29"/>
        </w:rPr>
        <w:t>Ф</w:t>
      </w:r>
      <w:r>
        <w:rPr>
          <w:i/>
          <w:sz w:val="29"/>
        </w:rPr>
        <w:t>  </w:t>
      </w:r>
      <w:r>
        <w:rPr>
          <w:i/>
          <w:spacing w:val="-30"/>
          <w:sz w:val="29"/>
        </w:rPr>
        <w:t> </w:t>
      </w:r>
      <w:r>
        <w:rPr>
          <w:i/>
          <w:w w:val="103"/>
          <w:position w:val="-11"/>
          <w:sz w:val="12"/>
        </w:rPr>
        <w:t>j</w:t>
      </w:r>
      <w:r>
        <w:rPr>
          <w:i/>
          <w:position w:val="-11"/>
          <w:sz w:val="12"/>
        </w:rPr>
        <w:t>    </w:t>
      </w:r>
      <w:r>
        <w:rPr>
          <w:i/>
          <w:spacing w:val="-6"/>
          <w:position w:val="-11"/>
          <w:sz w:val="12"/>
        </w:rPr>
        <w:t> </w:t>
      </w:r>
      <w:r>
        <w:rPr>
          <w:rFonts w:ascii="Symbol" w:hAnsi="Symbol"/>
          <w:w w:val="102"/>
          <w:sz w:val="29"/>
        </w:rPr>
        <w:t></w:t>
      </w:r>
      <w:r>
        <w:rPr>
          <w:spacing w:val="8"/>
          <w:sz w:val="29"/>
        </w:rPr>
        <w:t> </w:t>
      </w:r>
      <w:r>
        <w:rPr>
          <w:rFonts w:ascii="Symbol" w:hAnsi="Symbol"/>
          <w:spacing w:val="37"/>
          <w:w w:val="101"/>
          <w:position w:val="-6"/>
          <w:sz w:val="44"/>
        </w:rPr>
        <w:t></w:t>
      </w:r>
      <w:r>
        <w:rPr>
          <w:i/>
          <w:spacing w:val="42"/>
          <w:w w:val="102"/>
          <w:sz w:val="29"/>
        </w:rPr>
        <w:t>S</w:t>
      </w:r>
      <w:r>
        <w:rPr>
          <w:i/>
          <w:w w:val="102"/>
          <w:position w:val="-6"/>
          <w:sz w:val="17"/>
        </w:rPr>
        <w:t>j</w:t>
      </w:r>
      <w:r>
        <w:rPr>
          <w:i/>
          <w:spacing w:val="-8"/>
          <w:position w:val="-6"/>
          <w:sz w:val="17"/>
        </w:rPr>
        <w:t> </w:t>
      </w:r>
      <w:r>
        <w:rPr>
          <w:i/>
          <w:w w:val="102"/>
          <w:sz w:val="29"/>
        </w:rPr>
        <w:t>N</w:t>
      </w:r>
      <w:r>
        <w:rPr>
          <w:i/>
          <w:spacing w:val="-25"/>
          <w:sz w:val="29"/>
        </w:rPr>
        <w:t> </w:t>
      </w:r>
      <w:r>
        <w:rPr>
          <w:i/>
          <w:spacing w:val="-18"/>
          <w:w w:val="102"/>
          <w:position w:val="-6"/>
          <w:sz w:val="17"/>
        </w:rPr>
        <w:t>j</w:t>
      </w:r>
    </w:p>
    <w:p>
      <w:pPr>
        <w:spacing w:line="180" w:lineRule="exact" w:before="0"/>
        <w:ind w:left="0" w:right="615" w:firstLine="0"/>
        <w:jc w:val="right"/>
        <w:rPr>
          <w:sz w:val="17"/>
        </w:rPr>
      </w:pPr>
      <w:r>
        <w:rPr>
          <w:i/>
          <w:sz w:val="17"/>
        </w:rPr>
        <w:t>j </w:t>
      </w:r>
      <w:r>
        <w:rPr>
          <w:rFonts w:ascii="Symbol" w:hAnsi="Symbol"/>
          <w:sz w:val="17"/>
        </w:rPr>
        <w:t></w:t>
      </w:r>
      <w:r>
        <w:rPr>
          <w:sz w:val="17"/>
        </w:rPr>
        <w:t>1</w:t>
      </w:r>
    </w:p>
    <w:p>
      <w:pPr>
        <w:spacing w:before="182"/>
        <w:ind w:left="80" w:right="0" w:firstLine="0"/>
        <w:jc w:val="left"/>
        <w:rPr>
          <w:sz w:val="28"/>
        </w:rPr>
      </w:pPr>
      <w:r>
        <w:rPr/>
        <w:br w:type="column"/>
      </w:r>
      <w:r>
        <w:rPr>
          <w:sz w:val="28"/>
        </w:rPr>
        <w:t>(4)</w:t>
      </w:r>
    </w:p>
    <w:p>
      <w:pPr>
        <w:spacing w:after="0"/>
        <w:jc w:val="left"/>
        <w:rPr>
          <w:sz w:val="28"/>
        </w:rPr>
        <w:sectPr>
          <w:type w:val="continuous"/>
          <w:pgSz w:w="11910" w:h="16840"/>
          <w:pgMar w:top="1140" w:bottom="280" w:left="940" w:right="520"/>
          <w:cols w:num="2" w:equalWidth="0">
            <w:col w:w="2781" w:space="40"/>
            <w:col w:w="7629"/>
          </w:cols>
        </w:sectPr>
      </w:pPr>
    </w:p>
    <w:p>
      <w:pPr>
        <w:pStyle w:val="BodyText"/>
        <w:spacing w:before="9"/>
        <w:ind w:left="0"/>
        <w:jc w:val="left"/>
        <w:rPr>
          <w:sz w:val="31"/>
        </w:rPr>
      </w:pPr>
    </w:p>
    <w:p>
      <w:pPr>
        <w:pStyle w:val="BodyText"/>
        <w:jc w:val="left"/>
      </w:pPr>
      <w:r>
        <w:rPr>
          <w:w w:val="95"/>
        </w:rPr>
        <w:t>т/га.</w:t>
      </w:r>
    </w:p>
    <w:p>
      <w:pPr>
        <w:pStyle w:val="BodyText"/>
        <w:spacing w:before="44"/>
        <w:ind w:left="164"/>
        <w:jc w:val="left"/>
      </w:pPr>
      <w:r>
        <w:rPr/>
        <w:br w:type="column"/>
      </w:r>
      <w:r>
        <w:rPr/>
        <w:t>де </w:t>
      </w:r>
      <w:r>
        <w:rPr>
          <w:i/>
        </w:rPr>
        <w:t>S</w:t>
      </w:r>
      <w:r>
        <w:rPr>
          <w:i/>
          <w:vertAlign w:val="subscript"/>
        </w:rPr>
        <w:t>j</w:t>
      </w:r>
      <w:r>
        <w:rPr>
          <w:i/>
          <w:vertAlign w:val="baseline"/>
        </w:rPr>
        <w:t> </w:t>
      </w:r>
      <w:r>
        <w:rPr>
          <w:vertAlign w:val="baseline"/>
        </w:rPr>
        <w:t>– площа внесення </w:t>
      </w:r>
      <w:r>
        <w:rPr>
          <w:i/>
          <w:vertAlign w:val="baseline"/>
        </w:rPr>
        <w:t>j </w:t>
      </w:r>
      <w:r>
        <w:rPr>
          <w:vertAlign w:val="baseline"/>
        </w:rPr>
        <w:t>-го добрива, га; </w:t>
      </w:r>
      <w:r>
        <w:rPr>
          <w:i/>
          <w:vertAlign w:val="baseline"/>
        </w:rPr>
        <w:t>N</w:t>
      </w:r>
      <w:r>
        <w:rPr>
          <w:i/>
          <w:vertAlign w:val="subscript"/>
        </w:rPr>
        <w:t>j</w:t>
      </w:r>
      <w:r>
        <w:rPr>
          <w:i/>
          <w:vertAlign w:val="baseline"/>
        </w:rPr>
        <w:t> </w:t>
      </w:r>
      <w:r>
        <w:rPr>
          <w:vertAlign w:val="baseline"/>
        </w:rPr>
        <w:t>– норма внесення </w:t>
      </w:r>
      <w:r>
        <w:rPr>
          <w:i/>
          <w:vertAlign w:val="baseline"/>
        </w:rPr>
        <w:t>j</w:t>
      </w:r>
      <w:r>
        <w:rPr>
          <w:vertAlign w:val="baseline"/>
        </w:rPr>
        <w:t>-го</w:t>
      </w:r>
      <w:r>
        <w:rPr>
          <w:spacing w:val="28"/>
          <w:vertAlign w:val="baseline"/>
        </w:rPr>
        <w:t> </w:t>
      </w:r>
      <w:r>
        <w:rPr>
          <w:vertAlign w:val="baseline"/>
        </w:rPr>
        <w:t>добрива,</w:t>
      </w:r>
    </w:p>
    <w:p>
      <w:pPr>
        <w:pStyle w:val="BodyText"/>
        <w:spacing w:before="11"/>
        <w:ind w:left="0"/>
        <w:jc w:val="left"/>
        <w:rPr>
          <w:sz w:val="27"/>
        </w:rPr>
      </w:pPr>
    </w:p>
    <w:p>
      <w:pPr>
        <w:pStyle w:val="BodyText"/>
        <w:ind w:left="164"/>
        <w:jc w:val="left"/>
      </w:pPr>
      <w:r>
        <w:rPr/>
        <w:t>Підвищенні  втрати  біогенів  можуть  спостерігатись  при  низьких</w:t>
      </w:r>
      <w:r>
        <w:rPr>
          <w:spacing w:val="-27"/>
        </w:rPr>
        <w:t> </w:t>
      </w:r>
      <w:r>
        <w:rPr/>
        <w:t>рівнях</w:t>
      </w:r>
    </w:p>
    <w:p>
      <w:pPr>
        <w:spacing w:after="0"/>
        <w:jc w:val="left"/>
        <w:sectPr>
          <w:type w:val="continuous"/>
          <w:pgSz w:w="11910" w:h="16840"/>
          <w:pgMar w:top="1140" w:bottom="280" w:left="940" w:right="520"/>
          <w:cols w:num="2" w:equalWidth="0">
            <w:col w:w="700" w:space="40"/>
            <w:col w:w="9710"/>
          </w:cols>
        </w:sectPr>
      </w:pPr>
    </w:p>
    <w:p>
      <w:pPr>
        <w:pStyle w:val="BodyText"/>
        <w:ind w:right="614"/>
      </w:pPr>
      <w:r>
        <w:rPr/>
        <w:t>технологій використовування добрив (від 2 до 20 одиниць). Використовуючи дані</w:t>
      </w:r>
      <w:r>
        <w:rPr>
          <w:spacing w:val="-12"/>
        </w:rPr>
        <w:t> </w:t>
      </w:r>
      <w:r>
        <w:rPr/>
        <w:t>таблиці</w:t>
      </w:r>
      <w:r>
        <w:rPr>
          <w:spacing w:val="-11"/>
        </w:rPr>
        <w:t> </w:t>
      </w:r>
      <w:r>
        <w:rPr/>
        <w:t>3,</w:t>
      </w:r>
      <w:r>
        <w:rPr>
          <w:spacing w:val="-3"/>
        </w:rPr>
        <w:t> </w:t>
      </w:r>
      <w:r>
        <w:rPr/>
        <w:t>можна</w:t>
      </w:r>
      <w:r>
        <w:rPr>
          <w:spacing w:val="-5"/>
        </w:rPr>
        <w:t> </w:t>
      </w:r>
      <w:r>
        <w:rPr/>
        <w:t>визначити</w:t>
      </w:r>
      <w:r>
        <w:rPr>
          <w:spacing w:val="-5"/>
        </w:rPr>
        <w:t> </w:t>
      </w:r>
      <w:r>
        <w:rPr/>
        <w:t>долю</w:t>
      </w:r>
      <w:r>
        <w:rPr>
          <w:spacing w:val="-3"/>
        </w:rPr>
        <w:t> </w:t>
      </w:r>
      <w:r>
        <w:rPr/>
        <w:t>втрат</w:t>
      </w:r>
      <w:r>
        <w:rPr>
          <w:spacing w:val="-7"/>
        </w:rPr>
        <w:t> </w:t>
      </w:r>
      <w:r>
        <w:rPr/>
        <w:t>біогенних</w:t>
      </w:r>
      <w:r>
        <w:rPr>
          <w:spacing w:val="-10"/>
        </w:rPr>
        <w:t> </w:t>
      </w:r>
      <w:r>
        <w:rPr/>
        <w:t>елементів</w:t>
      </w:r>
      <w:r>
        <w:rPr>
          <w:spacing w:val="-3"/>
        </w:rPr>
        <w:t> </w:t>
      </w:r>
      <w:r>
        <w:rPr/>
        <w:t>та</w:t>
      </w:r>
      <w:r>
        <w:rPr>
          <w:spacing w:val="-5"/>
        </w:rPr>
        <w:t> </w:t>
      </w:r>
      <w:r>
        <w:rPr/>
        <w:t>розрахувати їх сумарний винос з ділянки внаслідок порушень технології (</w:t>
      </w:r>
      <w:r>
        <w:rPr>
          <w:i/>
        </w:rPr>
        <w:t>W</w:t>
      </w:r>
      <w:r>
        <w:rPr>
          <w:i/>
          <w:vertAlign w:val="subscript"/>
        </w:rPr>
        <w:t>ПОТ</w:t>
      </w:r>
      <w:r>
        <w:rPr>
          <w:vertAlign w:val="baseline"/>
        </w:rPr>
        <w:t>, кг/рік) </w:t>
      </w:r>
      <w:r>
        <w:rPr>
          <w:spacing w:val="-6"/>
          <w:vertAlign w:val="baseline"/>
        </w:rPr>
        <w:t>за </w:t>
      </w:r>
      <w:r>
        <w:rPr>
          <w:vertAlign w:val="baseline"/>
        </w:rPr>
        <w:t>формулою:</w:t>
      </w:r>
    </w:p>
    <w:p>
      <w:pPr>
        <w:spacing w:after="0"/>
        <w:sectPr>
          <w:type w:val="continuous"/>
          <w:pgSz w:w="11910" w:h="16840"/>
          <w:pgMar w:top="1140" w:bottom="280" w:left="940" w:right="520"/>
        </w:sectPr>
      </w:pPr>
    </w:p>
    <w:p>
      <w:pPr>
        <w:spacing w:before="115"/>
        <w:ind w:left="1019" w:right="0" w:firstLine="0"/>
        <w:jc w:val="left"/>
        <w:rPr>
          <w:i/>
          <w:sz w:val="17"/>
        </w:rPr>
      </w:pPr>
      <w:r>
        <w:rPr>
          <w:rFonts w:ascii="Symbol" w:hAnsi="Symbol"/>
          <w:spacing w:val="3"/>
          <w:w w:val="99"/>
          <w:position w:val="1"/>
          <w:sz w:val="44"/>
        </w:rPr>
        <w:t></w:t>
      </w:r>
      <w:r>
        <w:rPr>
          <w:i/>
          <w:spacing w:val="-3"/>
          <w:w w:val="101"/>
          <w:position w:val="7"/>
          <w:sz w:val="29"/>
        </w:rPr>
        <w:t>W</w:t>
      </w:r>
      <w:r>
        <w:rPr>
          <w:i/>
          <w:spacing w:val="-1"/>
          <w:w w:val="100"/>
          <w:sz w:val="17"/>
        </w:rPr>
        <w:t>ПОТ</w:t>
      </w:r>
    </w:p>
    <w:p>
      <w:pPr>
        <w:pStyle w:val="BodyText"/>
        <w:spacing w:before="5"/>
        <w:ind w:left="0"/>
        <w:jc w:val="left"/>
        <w:rPr>
          <w:i/>
          <w:sz w:val="17"/>
        </w:rPr>
      </w:pPr>
      <w:r>
        <w:rPr/>
        <w:br w:type="column"/>
      </w:r>
      <w:r>
        <w:rPr>
          <w:i/>
          <w:sz w:val="17"/>
        </w:rPr>
      </w:r>
    </w:p>
    <w:p>
      <w:pPr>
        <w:spacing w:line="194" w:lineRule="auto" w:before="1"/>
        <w:ind w:left="385" w:right="-12" w:hanging="297"/>
        <w:jc w:val="left"/>
        <w:rPr>
          <w:sz w:val="17"/>
        </w:rPr>
      </w:pPr>
      <w:r>
        <w:rPr/>
        <w:pict>
          <v:shape style="position:absolute;margin-left:166.059174pt;margin-top:-7.914708pt;width:6.2pt;height:9.550pt;mso-position-horizontal-relative:page;mso-position-vertical-relative:paragraph;z-index:251773952" type="#_x0000_t202" filled="false" stroked="false">
            <v:textbox inset="0,0,0,0">
              <w:txbxContent>
                <w:p>
                  <w:pPr>
                    <w:spacing w:line="190" w:lineRule="exact" w:before="0"/>
                    <w:ind w:left="0" w:right="0" w:firstLine="0"/>
                    <w:jc w:val="left"/>
                    <w:rPr>
                      <w:i/>
                      <w:sz w:val="17"/>
                    </w:rPr>
                  </w:pPr>
                  <w:r>
                    <w:rPr>
                      <w:i/>
                      <w:w w:val="100"/>
                      <w:sz w:val="17"/>
                    </w:rPr>
                    <w:t>m</w:t>
                  </w:r>
                </w:p>
              </w:txbxContent>
            </v:textbox>
            <w10:wrap type="none"/>
          </v:shape>
        </w:pict>
      </w:r>
      <w:r>
        <w:rPr>
          <w:rFonts w:ascii="Symbol" w:hAnsi="Symbol"/>
          <w:w w:val="101"/>
          <w:position w:val="7"/>
          <w:sz w:val="29"/>
        </w:rPr>
        <w:t></w:t>
      </w:r>
      <w:r>
        <w:rPr>
          <w:position w:val="7"/>
          <w:sz w:val="29"/>
        </w:rPr>
        <w:t> </w:t>
      </w:r>
      <w:r>
        <w:rPr>
          <w:rFonts w:ascii="Symbol" w:hAnsi="Symbol"/>
          <w:spacing w:val="3"/>
          <w:w w:val="99"/>
          <w:position w:val="1"/>
          <w:sz w:val="44"/>
        </w:rPr>
        <w:t></w:t>
      </w:r>
      <w:r>
        <w:rPr>
          <w:i/>
          <w:spacing w:val="-7"/>
          <w:w w:val="101"/>
          <w:position w:val="7"/>
          <w:sz w:val="29"/>
        </w:rPr>
        <w:t>W</w:t>
      </w:r>
      <w:r>
        <w:rPr>
          <w:i/>
          <w:spacing w:val="-1"/>
          <w:w w:val="100"/>
          <w:sz w:val="17"/>
        </w:rPr>
        <w:t>И</w:t>
      </w:r>
      <w:r>
        <w:rPr>
          <w:i/>
          <w:spacing w:val="-4"/>
          <w:w w:val="100"/>
          <w:sz w:val="17"/>
        </w:rPr>
        <w:t>С</w:t>
      </w:r>
      <w:r>
        <w:rPr>
          <w:i/>
          <w:w w:val="100"/>
          <w:sz w:val="17"/>
        </w:rPr>
        <w:t>Х</w:t>
      </w:r>
      <w:r>
        <w:rPr>
          <w:i/>
          <w:sz w:val="17"/>
        </w:rPr>
        <w:t> </w:t>
      </w:r>
      <w:r>
        <w:rPr>
          <w:i/>
          <w:w w:val="101"/>
          <w:position w:val="-3"/>
          <w:sz w:val="12"/>
        </w:rPr>
        <w:t>j</w:t>
      </w:r>
      <w:r>
        <w:rPr>
          <w:i/>
          <w:position w:val="-3"/>
          <w:sz w:val="12"/>
        </w:rPr>
        <w:t> </w:t>
      </w:r>
      <w:r>
        <w:rPr>
          <w:i/>
          <w:w w:val="101"/>
          <w:position w:val="7"/>
          <w:sz w:val="29"/>
        </w:rPr>
        <w:t>q</w:t>
      </w:r>
      <w:r>
        <w:rPr>
          <w:i/>
          <w:position w:val="7"/>
          <w:sz w:val="29"/>
        </w:rPr>
        <w:t> </w:t>
      </w:r>
      <w:r>
        <w:rPr>
          <w:i/>
          <w:spacing w:val="-16"/>
          <w:w w:val="100"/>
          <w:sz w:val="17"/>
        </w:rPr>
        <w:t>j</w:t>
      </w:r>
      <w:r>
        <w:rPr>
          <w:i/>
          <w:w w:val="100"/>
          <w:sz w:val="17"/>
        </w:rPr>
        <w:t> </w:t>
      </w:r>
      <w:r>
        <w:rPr>
          <w:i/>
          <w:sz w:val="17"/>
        </w:rPr>
        <w:t>j </w:t>
      </w:r>
      <w:r>
        <w:rPr>
          <w:rFonts w:ascii="Symbol" w:hAnsi="Symbol"/>
          <w:sz w:val="17"/>
        </w:rPr>
        <w:t></w:t>
      </w:r>
      <w:r>
        <w:rPr>
          <w:sz w:val="17"/>
        </w:rPr>
        <w:t>1</w:t>
      </w:r>
    </w:p>
    <w:p>
      <w:pPr>
        <w:pStyle w:val="BodyText"/>
        <w:spacing w:before="2"/>
        <w:ind w:left="0"/>
        <w:jc w:val="left"/>
        <w:rPr>
          <w:sz w:val="26"/>
        </w:rPr>
      </w:pPr>
      <w:r>
        <w:rPr/>
        <w:br w:type="column"/>
      </w:r>
      <w:r>
        <w:rPr>
          <w:sz w:val="26"/>
        </w:rPr>
      </w:r>
    </w:p>
    <w:p>
      <w:pPr>
        <w:pStyle w:val="BodyText"/>
        <w:ind w:left="113"/>
        <w:jc w:val="left"/>
      </w:pPr>
      <w:r>
        <w:rPr/>
        <w:t>(5)</w:t>
      </w:r>
    </w:p>
    <w:p>
      <w:pPr>
        <w:spacing w:after="0"/>
        <w:jc w:val="left"/>
        <w:sectPr>
          <w:type w:val="continuous"/>
          <w:pgSz w:w="11910" w:h="16840"/>
          <w:pgMar w:top="1140" w:bottom="280" w:left="940" w:right="520"/>
          <w:cols w:num="3" w:equalWidth="0">
            <w:col w:w="1918" w:space="40"/>
            <w:col w:w="1579" w:space="39"/>
            <w:col w:w="6874"/>
          </w:cols>
        </w:sectPr>
      </w:pPr>
    </w:p>
    <w:p>
      <w:pPr>
        <w:pStyle w:val="BodyText"/>
        <w:spacing w:line="264" w:lineRule="auto" w:before="51"/>
        <w:ind w:right="633" w:firstLine="710"/>
        <w:jc w:val="left"/>
      </w:pPr>
      <w:r>
        <w:rPr/>
        <w:t>де </w:t>
      </w:r>
      <w:r>
        <w:rPr>
          <w:i/>
        </w:rPr>
        <w:t>q</w:t>
      </w:r>
      <w:r>
        <w:rPr>
          <w:i/>
          <w:vertAlign w:val="subscript"/>
        </w:rPr>
        <w:t>j</w:t>
      </w:r>
      <w:r>
        <w:rPr>
          <w:i/>
          <w:vertAlign w:val="baseline"/>
        </w:rPr>
        <w:t> </w:t>
      </w:r>
      <w:r>
        <w:rPr>
          <w:vertAlign w:val="baseline"/>
        </w:rPr>
        <w:t>– доля втрат біогенних елементів в наслідок порушень технології </w:t>
      </w:r>
      <w:r>
        <w:rPr>
          <w:position w:val="1"/>
          <w:vertAlign w:val="baseline"/>
        </w:rPr>
        <w:t>внесення </w:t>
      </w:r>
      <w:r>
        <w:rPr>
          <w:i/>
          <w:position w:val="1"/>
          <w:vertAlign w:val="baseline"/>
        </w:rPr>
        <w:t>j </w:t>
      </w:r>
      <w:r>
        <w:rPr>
          <w:position w:val="1"/>
          <w:vertAlign w:val="baseline"/>
        </w:rPr>
        <w:t>–го добрива; </w:t>
      </w:r>
      <w:r>
        <w:rPr>
          <w:i/>
          <w:position w:val="8"/>
          <w:sz w:val="32"/>
          <w:vertAlign w:val="baseline"/>
        </w:rPr>
        <w:t>W</w:t>
      </w:r>
      <w:r>
        <w:rPr>
          <w:i/>
          <w:sz w:val="19"/>
          <w:vertAlign w:val="baseline"/>
        </w:rPr>
        <w:t>ИСХ </w:t>
      </w:r>
      <w:r>
        <w:rPr>
          <w:i/>
          <w:position w:val="-4"/>
          <w:sz w:val="13"/>
          <w:vertAlign w:val="baseline"/>
        </w:rPr>
        <w:t>j </w:t>
      </w:r>
      <w:r>
        <w:rPr>
          <w:position w:val="1"/>
          <w:vertAlign w:val="baseline"/>
        </w:rPr>
        <w:t>– вихідна кількість внесення біогенних добрив </w:t>
      </w:r>
      <w:r>
        <w:rPr>
          <w:i/>
          <w:position w:val="1"/>
          <w:vertAlign w:val="baseline"/>
        </w:rPr>
        <w:t>j</w:t>
      </w:r>
      <w:r>
        <w:rPr>
          <w:position w:val="1"/>
          <w:vertAlign w:val="baseline"/>
        </w:rPr>
        <w:t>–</w:t>
      </w:r>
    </w:p>
    <w:p>
      <w:pPr>
        <w:spacing w:after="0" w:line="264" w:lineRule="auto"/>
        <w:jc w:val="left"/>
        <w:sectPr>
          <w:type w:val="continuous"/>
          <w:pgSz w:w="11910" w:h="16840"/>
          <w:pgMar w:top="1140" w:bottom="280" w:left="940" w:right="520"/>
        </w:sectPr>
      </w:pPr>
    </w:p>
    <w:p>
      <w:pPr>
        <w:pStyle w:val="BodyText"/>
        <w:spacing w:line="322" w:lineRule="exact" w:before="92"/>
      </w:pPr>
      <w:r>
        <w:rPr/>
        <w:t>го вида, кг/рік .</w:t>
      </w:r>
    </w:p>
    <w:p>
      <w:pPr>
        <w:pStyle w:val="BodyText"/>
        <w:spacing w:line="322" w:lineRule="exact"/>
        <w:ind w:left="903"/>
        <w:jc w:val="left"/>
      </w:pPr>
      <w:r>
        <w:rPr/>
        <w:t>Загальна величина виносу біогенів (</w:t>
      </w:r>
      <w:r>
        <w:rPr>
          <w:i/>
        </w:rPr>
        <w:t>W</w:t>
      </w:r>
      <w:r>
        <w:rPr>
          <w:i/>
          <w:vertAlign w:val="subscript"/>
        </w:rPr>
        <w:t>о</w:t>
      </w:r>
      <w:r>
        <w:rPr>
          <w:vertAlign w:val="subscript"/>
        </w:rPr>
        <w:t>б</w:t>
      </w:r>
      <w:r>
        <w:rPr>
          <w:vertAlign w:val="baseline"/>
        </w:rPr>
        <w:t>, кг/рік) буде складати:</w:t>
      </w:r>
    </w:p>
    <w:p>
      <w:pPr>
        <w:spacing w:line="322" w:lineRule="exact" w:before="0"/>
        <w:ind w:left="976" w:right="0" w:firstLine="0"/>
        <w:jc w:val="left"/>
        <w:rPr>
          <w:sz w:val="28"/>
        </w:rPr>
      </w:pPr>
      <w:r>
        <w:rPr>
          <w:i/>
          <w:sz w:val="28"/>
        </w:rPr>
        <w:t>W</w:t>
      </w:r>
      <w:r>
        <w:rPr>
          <w:i/>
          <w:sz w:val="28"/>
          <w:vertAlign w:val="subscript"/>
        </w:rPr>
        <w:t>об</w:t>
      </w:r>
      <w:r>
        <w:rPr>
          <w:i/>
          <w:sz w:val="28"/>
          <w:vertAlign w:val="baseline"/>
        </w:rPr>
        <w:t> = Σ W</w:t>
      </w:r>
      <w:r>
        <w:rPr>
          <w:i/>
          <w:sz w:val="28"/>
          <w:vertAlign w:val="subscript"/>
        </w:rPr>
        <w:t>ПЛ</w:t>
      </w:r>
      <w:r>
        <w:rPr>
          <w:i/>
          <w:sz w:val="28"/>
          <w:vertAlign w:val="baseline"/>
        </w:rPr>
        <w:t> + ΣW</w:t>
      </w:r>
      <w:r>
        <w:rPr>
          <w:i/>
          <w:sz w:val="28"/>
          <w:vertAlign w:val="subscript"/>
        </w:rPr>
        <w:t>ПОТ</w:t>
      </w:r>
      <w:r>
        <w:rPr>
          <w:i/>
          <w:sz w:val="28"/>
          <w:vertAlign w:val="baseline"/>
        </w:rPr>
        <w:t> </w:t>
      </w:r>
      <w:r>
        <w:rPr>
          <w:sz w:val="28"/>
          <w:vertAlign w:val="baseline"/>
        </w:rPr>
        <w:t>, (6)</w:t>
      </w:r>
    </w:p>
    <w:p>
      <w:pPr>
        <w:pStyle w:val="BodyText"/>
        <w:ind w:left="903"/>
        <w:jc w:val="left"/>
      </w:pPr>
      <w:r>
        <w:rPr/>
        <w:t>а коефіцієнт втрат</w:t>
      </w:r>
    </w:p>
    <w:p>
      <w:pPr>
        <w:spacing w:line="328" w:lineRule="exact" w:before="0"/>
        <w:ind w:left="976" w:right="0" w:firstLine="0"/>
        <w:jc w:val="left"/>
        <w:rPr>
          <w:sz w:val="28"/>
        </w:rPr>
      </w:pPr>
      <w:r>
        <w:rPr>
          <w:i/>
          <w:sz w:val="28"/>
        </w:rPr>
        <w:t>α</w:t>
      </w:r>
      <w:r>
        <w:rPr>
          <w:i/>
          <w:position w:val="-2"/>
          <w:sz w:val="18"/>
        </w:rPr>
        <w:t>ПОТ </w:t>
      </w:r>
      <w:r>
        <w:rPr>
          <w:i/>
          <w:sz w:val="28"/>
        </w:rPr>
        <w:t>= W</w:t>
      </w:r>
      <w:r>
        <w:rPr>
          <w:i/>
          <w:position w:val="-2"/>
          <w:sz w:val="18"/>
        </w:rPr>
        <w:t>об </w:t>
      </w:r>
      <w:r>
        <w:rPr>
          <w:i/>
          <w:sz w:val="28"/>
        </w:rPr>
        <w:t>/ W</w:t>
      </w:r>
      <w:r>
        <w:rPr>
          <w:i/>
          <w:position w:val="-2"/>
          <w:sz w:val="18"/>
        </w:rPr>
        <w:t>ИСХ </w:t>
      </w:r>
      <w:r>
        <w:rPr>
          <w:sz w:val="28"/>
        </w:rPr>
        <w:t>(7)</w:t>
      </w:r>
    </w:p>
    <w:p>
      <w:pPr>
        <w:pStyle w:val="BodyText"/>
        <w:ind w:right="607" w:firstLine="710"/>
      </w:pPr>
      <w:r>
        <w:rPr/>
        <w:t>Розрахунок виносу біогенних елементів з сільськогосподарських угідь Півдня України проводився за двома варіантами. В першому варіанті використовувались оптимальні норми мінеральних і органічних добрив для конкретних культур, другий варіант розрахунку проводився за фактичними даними внесення добрив на Півдні України. У таблиці 3 наведено результати розрахунку коефіцієнта виносу біогенних речовин з ґрунту разом </w:t>
      </w:r>
      <w:r>
        <w:rPr>
          <w:spacing w:val="-3"/>
        </w:rPr>
        <w:t>із </w:t>
      </w:r>
      <w:r>
        <w:rPr/>
        <w:t>врожаєм основних сільськогосподарських культур Півдня України за обома варіантами для 2010 року. Відомо, що при оптимальних умовах застосування добрив з врожаєм повинно витрачатися від 20 до 50% внесених біогенів, тобто 50-80% їх має залишається у ґрунті для підтримання його родючості. Більша частина тих, що залишилися, зберігається у вигляді з'єднань, підданих повільному розкладанню. Представлені в цих формах елементи вивільняються дуже повільно,</w:t>
      </w:r>
      <w:r>
        <w:rPr>
          <w:spacing w:val="-18"/>
        </w:rPr>
        <w:t> </w:t>
      </w:r>
      <w:r>
        <w:rPr/>
        <w:t>звичайно</w:t>
      </w:r>
      <w:r>
        <w:rPr>
          <w:spacing w:val="-21"/>
        </w:rPr>
        <w:t> </w:t>
      </w:r>
      <w:r>
        <w:rPr/>
        <w:t>до</w:t>
      </w:r>
      <w:r>
        <w:rPr>
          <w:spacing w:val="-22"/>
        </w:rPr>
        <w:t> </w:t>
      </w:r>
      <w:r>
        <w:rPr/>
        <w:t>2-4%</w:t>
      </w:r>
      <w:r>
        <w:rPr>
          <w:spacing w:val="-17"/>
        </w:rPr>
        <w:t> </w:t>
      </w:r>
      <w:r>
        <w:rPr/>
        <w:t>у</w:t>
      </w:r>
      <w:r>
        <w:rPr>
          <w:spacing w:val="-22"/>
        </w:rPr>
        <w:t> </w:t>
      </w:r>
      <w:r>
        <w:rPr/>
        <w:t>рік.</w:t>
      </w:r>
      <w:r>
        <w:rPr>
          <w:spacing w:val="-18"/>
        </w:rPr>
        <w:t> </w:t>
      </w:r>
      <w:r>
        <w:rPr/>
        <w:t>Такі</w:t>
      </w:r>
      <w:r>
        <w:rPr>
          <w:spacing w:val="-22"/>
        </w:rPr>
        <w:t> </w:t>
      </w:r>
      <w:r>
        <w:rPr/>
        <w:t>з'єднання,</w:t>
      </w:r>
      <w:r>
        <w:rPr>
          <w:spacing w:val="-18"/>
        </w:rPr>
        <w:t> </w:t>
      </w:r>
      <w:r>
        <w:rPr/>
        <w:t>внесені</w:t>
      </w:r>
      <w:r>
        <w:rPr>
          <w:spacing w:val="-22"/>
        </w:rPr>
        <w:t> </w:t>
      </w:r>
      <w:r>
        <w:rPr/>
        <w:t>у</w:t>
      </w:r>
      <w:r>
        <w:rPr>
          <w:spacing w:val="-25"/>
        </w:rPr>
        <w:t> </w:t>
      </w:r>
      <w:r>
        <w:rPr/>
        <w:t>складі</w:t>
      </w:r>
      <w:r>
        <w:rPr>
          <w:spacing w:val="-26"/>
        </w:rPr>
        <w:t> </w:t>
      </w:r>
      <w:r>
        <w:rPr/>
        <w:t>добрив,</w:t>
      </w:r>
      <w:r>
        <w:rPr>
          <w:spacing w:val="-18"/>
        </w:rPr>
        <w:t> </w:t>
      </w:r>
      <w:r>
        <w:rPr/>
        <w:t>роблять тривалий ефект на ґрунт протягом декількох років після одного</w:t>
      </w:r>
      <w:r>
        <w:rPr>
          <w:spacing w:val="-23"/>
        </w:rPr>
        <w:t> </w:t>
      </w:r>
      <w:r>
        <w:rPr/>
        <w:t>застосування.</w:t>
      </w:r>
    </w:p>
    <w:p>
      <w:pPr>
        <w:pStyle w:val="BodyText"/>
        <w:spacing w:after="5"/>
        <w:ind w:right="623" w:firstLine="710"/>
      </w:pPr>
      <w:r>
        <w:rPr/>
        <w:t>Таблиця 3. Визначення виносу біогенних елементів з сільськогосподарських угідь Півдня України.</w:t>
      </w:r>
    </w:p>
    <w:tbl>
      <w:tblPr>
        <w:tblW w:w="0" w:type="auto"/>
        <w:jc w:val="left"/>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6"/>
        <w:gridCol w:w="898"/>
        <w:gridCol w:w="1624"/>
        <w:gridCol w:w="1259"/>
        <w:gridCol w:w="1173"/>
        <w:gridCol w:w="870"/>
        <w:gridCol w:w="1384"/>
      </w:tblGrid>
      <w:tr>
        <w:trPr>
          <w:trHeight w:val="311" w:hRule="atLeast"/>
        </w:trPr>
        <w:tc>
          <w:tcPr>
            <w:tcW w:w="2166" w:type="dxa"/>
            <w:vMerge w:val="restart"/>
          </w:tcPr>
          <w:p>
            <w:pPr>
              <w:pStyle w:val="TableParagraph"/>
              <w:spacing w:before="5"/>
              <w:rPr>
                <w:sz w:val="28"/>
              </w:rPr>
            </w:pPr>
          </w:p>
          <w:p>
            <w:pPr>
              <w:pStyle w:val="TableParagraph"/>
              <w:ind w:left="869"/>
              <w:rPr>
                <w:sz w:val="24"/>
              </w:rPr>
            </w:pPr>
            <w:r>
              <w:rPr>
                <w:sz w:val="24"/>
              </w:rPr>
              <w:t>Показник</w:t>
            </w:r>
          </w:p>
        </w:tc>
        <w:tc>
          <w:tcPr>
            <w:tcW w:w="898" w:type="dxa"/>
            <w:vMerge w:val="restart"/>
          </w:tcPr>
          <w:p>
            <w:pPr>
              <w:pStyle w:val="TableParagraph"/>
              <w:spacing w:before="5"/>
              <w:rPr>
                <w:sz w:val="28"/>
              </w:rPr>
            </w:pPr>
          </w:p>
          <w:p>
            <w:pPr>
              <w:pStyle w:val="TableParagraph"/>
              <w:ind w:left="105"/>
              <w:rPr>
                <w:sz w:val="24"/>
              </w:rPr>
            </w:pPr>
            <w:r>
              <w:rPr>
                <w:sz w:val="24"/>
              </w:rPr>
              <w:t>Вар-т</w:t>
            </w:r>
          </w:p>
        </w:tc>
        <w:tc>
          <w:tcPr>
            <w:tcW w:w="4926" w:type="dxa"/>
            <w:gridSpan w:val="4"/>
          </w:tcPr>
          <w:p>
            <w:pPr>
              <w:pStyle w:val="TableParagraph"/>
              <w:spacing w:before="11"/>
              <w:ind w:left="1127"/>
              <w:rPr>
                <w:sz w:val="24"/>
              </w:rPr>
            </w:pPr>
            <w:r>
              <w:rPr>
                <w:sz w:val="24"/>
              </w:rPr>
              <w:t>Сільськогосподарські культури</w:t>
            </w:r>
          </w:p>
        </w:tc>
        <w:tc>
          <w:tcPr>
            <w:tcW w:w="1384" w:type="dxa"/>
            <w:vMerge w:val="restart"/>
          </w:tcPr>
          <w:p>
            <w:pPr>
              <w:pStyle w:val="TableParagraph"/>
              <w:spacing w:before="54"/>
              <w:ind w:left="105" w:right="220"/>
              <w:jc w:val="both"/>
              <w:rPr>
                <w:sz w:val="24"/>
              </w:rPr>
            </w:pPr>
            <w:r>
              <w:rPr>
                <w:sz w:val="24"/>
              </w:rPr>
              <w:t>Сумарне значення показника</w:t>
            </w:r>
          </w:p>
        </w:tc>
      </w:tr>
      <w:tr>
        <w:trPr>
          <w:trHeight w:val="628" w:hRule="atLeast"/>
        </w:trPr>
        <w:tc>
          <w:tcPr>
            <w:tcW w:w="2166" w:type="dxa"/>
            <w:vMerge/>
            <w:tcBorders>
              <w:top w:val="nil"/>
            </w:tcBorders>
          </w:tcPr>
          <w:p>
            <w:pPr>
              <w:rPr>
                <w:sz w:val="2"/>
                <w:szCs w:val="2"/>
              </w:rPr>
            </w:pPr>
          </w:p>
        </w:tc>
        <w:tc>
          <w:tcPr>
            <w:tcW w:w="898" w:type="dxa"/>
            <w:vMerge/>
            <w:tcBorders>
              <w:top w:val="nil"/>
            </w:tcBorders>
          </w:tcPr>
          <w:p>
            <w:pPr>
              <w:rPr>
                <w:sz w:val="2"/>
                <w:szCs w:val="2"/>
              </w:rPr>
            </w:pPr>
          </w:p>
        </w:tc>
        <w:tc>
          <w:tcPr>
            <w:tcW w:w="1624" w:type="dxa"/>
          </w:tcPr>
          <w:p>
            <w:pPr>
              <w:pStyle w:val="TableParagraph"/>
              <w:tabs>
                <w:tab w:pos="1304" w:val="left" w:leader="none"/>
              </w:tabs>
              <w:spacing w:line="237" w:lineRule="auto" w:before="32"/>
              <w:ind w:left="110" w:right="96"/>
              <w:rPr>
                <w:sz w:val="24"/>
              </w:rPr>
            </w:pPr>
            <w:r>
              <w:rPr>
                <w:sz w:val="24"/>
              </w:rPr>
              <w:t>зернові</w:t>
              <w:tab/>
            </w:r>
            <w:r>
              <w:rPr>
                <w:spacing w:val="-9"/>
                <w:sz w:val="24"/>
              </w:rPr>
              <w:t>та </w:t>
            </w:r>
            <w:r>
              <w:rPr>
                <w:sz w:val="24"/>
              </w:rPr>
              <w:t>зернобобові</w:t>
            </w:r>
          </w:p>
        </w:tc>
        <w:tc>
          <w:tcPr>
            <w:tcW w:w="1259" w:type="dxa"/>
          </w:tcPr>
          <w:p>
            <w:pPr>
              <w:pStyle w:val="TableParagraph"/>
              <w:spacing w:before="169"/>
              <w:ind w:left="108"/>
              <w:rPr>
                <w:sz w:val="24"/>
              </w:rPr>
            </w:pPr>
            <w:r>
              <w:rPr>
                <w:sz w:val="24"/>
              </w:rPr>
              <w:t>соняшник</w:t>
            </w:r>
          </w:p>
        </w:tc>
        <w:tc>
          <w:tcPr>
            <w:tcW w:w="1173" w:type="dxa"/>
          </w:tcPr>
          <w:p>
            <w:pPr>
              <w:pStyle w:val="TableParagraph"/>
              <w:spacing w:before="169"/>
              <w:ind w:left="107"/>
              <w:rPr>
                <w:sz w:val="24"/>
              </w:rPr>
            </w:pPr>
            <w:r>
              <w:rPr>
                <w:sz w:val="24"/>
              </w:rPr>
              <w:t>картопля</w:t>
            </w:r>
          </w:p>
        </w:tc>
        <w:tc>
          <w:tcPr>
            <w:tcW w:w="870" w:type="dxa"/>
          </w:tcPr>
          <w:p>
            <w:pPr>
              <w:pStyle w:val="TableParagraph"/>
              <w:spacing w:before="169"/>
              <w:ind w:left="106"/>
              <w:rPr>
                <w:sz w:val="24"/>
              </w:rPr>
            </w:pPr>
            <w:r>
              <w:rPr>
                <w:sz w:val="24"/>
              </w:rPr>
              <w:t>овочі</w:t>
            </w:r>
          </w:p>
        </w:tc>
        <w:tc>
          <w:tcPr>
            <w:tcW w:w="1384" w:type="dxa"/>
            <w:vMerge/>
            <w:tcBorders>
              <w:top w:val="nil"/>
            </w:tcBorders>
          </w:tcPr>
          <w:p>
            <w:pPr>
              <w:rPr>
                <w:sz w:val="2"/>
                <w:szCs w:val="2"/>
              </w:rPr>
            </w:pPr>
          </w:p>
        </w:tc>
      </w:tr>
      <w:tr>
        <w:trPr>
          <w:trHeight w:val="474" w:hRule="atLeast"/>
        </w:trPr>
        <w:tc>
          <w:tcPr>
            <w:tcW w:w="2166" w:type="dxa"/>
            <w:vMerge w:val="restart"/>
          </w:tcPr>
          <w:p>
            <w:pPr>
              <w:pStyle w:val="TableParagraph"/>
              <w:spacing w:before="49"/>
              <w:ind w:left="105" w:right="90"/>
              <w:rPr>
                <w:sz w:val="24"/>
              </w:rPr>
            </w:pPr>
            <w:r>
              <w:rPr>
                <w:sz w:val="24"/>
              </w:rPr>
              <w:t>Початкова кількість внесених </w:t>
            </w:r>
            <w:r>
              <w:rPr>
                <w:position w:val="2"/>
                <w:sz w:val="24"/>
              </w:rPr>
              <w:t>біогенів W</w:t>
            </w:r>
            <w:r>
              <w:rPr>
                <w:sz w:val="16"/>
              </w:rPr>
              <w:t>исх</w:t>
            </w:r>
            <w:r>
              <w:rPr>
                <w:position w:val="2"/>
                <w:sz w:val="24"/>
              </w:rPr>
              <w:t>, т/рік</w:t>
            </w:r>
          </w:p>
        </w:tc>
        <w:tc>
          <w:tcPr>
            <w:tcW w:w="898" w:type="dxa"/>
          </w:tcPr>
          <w:p>
            <w:pPr>
              <w:pStyle w:val="TableParagraph"/>
              <w:spacing w:before="92"/>
              <w:ind w:right="99"/>
              <w:jc w:val="right"/>
              <w:rPr>
                <w:sz w:val="24"/>
              </w:rPr>
            </w:pPr>
            <w:r>
              <w:rPr>
                <w:sz w:val="24"/>
              </w:rPr>
              <w:t>1</w:t>
            </w:r>
          </w:p>
        </w:tc>
        <w:tc>
          <w:tcPr>
            <w:tcW w:w="1624" w:type="dxa"/>
          </w:tcPr>
          <w:p>
            <w:pPr>
              <w:pStyle w:val="TableParagraph"/>
              <w:spacing w:before="92"/>
              <w:ind w:right="157"/>
              <w:jc w:val="right"/>
              <w:rPr>
                <w:sz w:val="24"/>
              </w:rPr>
            </w:pPr>
            <w:r>
              <w:rPr>
                <w:sz w:val="24"/>
              </w:rPr>
              <w:t>317648</w:t>
            </w:r>
          </w:p>
        </w:tc>
        <w:tc>
          <w:tcPr>
            <w:tcW w:w="1259" w:type="dxa"/>
          </w:tcPr>
          <w:p>
            <w:pPr>
              <w:pStyle w:val="TableParagraph"/>
              <w:spacing w:before="92"/>
              <w:ind w:left="108"/>
              <w:rPr>
                <w:sz w:val="24"/>
              </w:rPr>
            </w:pPr>
            <w:r>
              <w:rPr>
                <w:sz w:val="24"/>
              </w:rPr>
              <w:t>20754</w:t>
            </w:r>
          </w:p>
        </w:tc>
        <w:tc>
          <w:tcPr>
            <w:tcW w:w="1173" w:type="dxa"/>
          </w:tcPr>
          <w:p>
            <w:pPr>
              <w:pStyle w:val="TableParagraph"/>
              <w:spacing w:before="92"/>
              <w:ind w:left="107"/>
              <w:rPr>
                <w:sz w:val="24"/>
              </w:rPr>
            </w:pPr>
            <w:r>
              <w:rPr>
                <w:sz w:val="24"/>
              </w:rPr>
              <w:t>9591</w:t>
            </w:r>
          </w:p>
        </w:tc>
        <w:tc>
          <w:tcPr>
            <w:tcW w:w="870" w:type="dxa"/>
          </w:tcPr>
          <w:p>
            <w:pPr>
              <w:pStyle w:val="TableParagraph"/>
              <w:spacing w:before="92"/>
              <w:ind w:left="106"/>
              <w:rPr>
                <w:sz w:val="24"/>
              </w:rPr>
            </w:pPr>
            <w:r>
              <w:rPr>
                <w:sz w:val="24"/>
              </w:rPr>
              <w:t>10640</w:t>
            </w:r>
          </w:p>
        </w:tc>
        <w:tc>
          <w:tcPr>
            <w:tcW w:w="1384" w:type="dxa"/>
          </w:tcPr>
          <w:p>
            <w:pPr>
              <w:pStyle w:val="TableParagraph"/>
              <w:spacing w:before="92"/>
              <w:ind w:left="105"/>
              <w:rPr>
                <w:sz w:val="24"/>
              </w:rPr>
            </w:pPr>
            <w:r>
              <w:rPr>
                <w:sz w:val="24"/>
              </w:rPr>
              <w:t>358632</w:t>
            </w:r>
          </w:p>
        </w:tc>
      </w:tr>
      <w:tr>
        <w:trPr>
          <w:trHeight w:val="455" w:hRule="atLeast"/>
        </w:trPr>
        <w:tc>
          <w:tcPr>
            <w:tcW w:w="2166" w:type="dxa"/>
            <w:vMerge/>
            <w:tcBorders>
              <w:top w:val="nil"/>
            </w:tcBorders>
          </w:tcPr>
          <w:p>
            <w:pPr>
              <w:rPr>
                <w:sz w:val="2"/>
                <w:szCs w:val="2"/>
              </w:rPr>
            </w:pPr>
          </w:p>
        </w:tc>
        <w:tc>
          <w:tcPr>
            <w:tcW w:w="898" w:type="dxa"/>
          </w:tcPr>
          <w:p>
            <w:pPr>
              <w:pStyle w:val="TableParagraph"/>
              <w:spacing w:before="83"/>
              <w:ind w:right="99"/>
              <w:jc w:val="right"/>
              <w:rPr>
                <w:sz w:val="24"/>
              </w:rPr>
            </w:pPr>
            <w:r>
              <w:rPr>
                <w:sz w:val="24"/>
              </w:rPr>
              <w:t>2</w:t>
            </w:r>
          </w:p>
        </w:tc>
        <w:tc>
          <w:tcPr>
            <w:tcW w:w="1624" w:type="dxa"/>
          </w:tcPr>
          <w:p>
            <w:pPr>
              <w:pStyle w:val="TableParagraph"/>
              <w:spacing w:before="83"/>
              <w:ind w:right="220"/>
              <w:jc w:val="right"/>
              <w:rPr>
                <w:sz w:val="24"/>
              </w:rPr>
            </w:pPr>
            <w:r>
              <w:rPr>
                <w:sz w:val="24"/>
              </w:rPr>
              <w:t>55276</w:t>
            </w:r>
          </w:p>
        </w:tc>
        <w:tc>
          <w:tcPr>
            <w:tcW w:w="1259" w:type="dxa"/>
          </w:tcPr>
          <w:p>
            <w:pPr>
              <w:pStyle w:val="TableParagraph"/>
              <w:spacing w:before="83"/>
              <w:ind w:right="96"/>
              <w:jc w:val="right"/>
              <w:rPr>
                <w:sz w:val="24"/>
              </w:rPr>
            </w:pPr>
            <w:r>
              <w:rPr>
                <w:sz w:val="24"/>
              </w:rPr>
              <w:t>3769</w:t>
            </w:r>
          </w:p>
        </w:tc>
        <w:tc>
          <w:tcPr>
            <w:tcW w:w="1173" w:type="dxa"/>
          </w:tcPr>
          <w:p>
            <w:pPr>
              <w:pStyle w:val="TableParagraph"/>
              <w:spacing w:before="83"/>
              <w:ind w:right="117"/>
              <w:jc w:val="right"/>
              <w:rPr>
                <w:sz w:val="24"/>
              </w:rPr>
            </w:pPr>
            <w:r>
              <w:rPr>
                <w:sz w:val="24"/>
              </w:rPr>
              <w:t>974</w:t>
            </w:r>
          </w:p>
        </w:tc>
        <w:tc>
          <w:tcPr>
            <w:tcW w:w="870" w:type="dxa"/>
          </w:tcPr>
          <w:p>
            <w:pPr>
              <w:pStyle w:val="TableParagraph"/>
              <w:spacing w:before="83"/>
              <w:ind w:left="106"/>
              <w:rPr>
                <w:sz w:val="24"/>
              </w:rPr>
            </w:pPr>
            <w:r>
              <w:rPr>
                <w:sz w:val="24"/>
              </w:rPr>
              <w:t>2385</w:t>
            </w:r>
          </w:p>
        </w:tc>
        <w:tc>
          <w:tcPr>
            <w:tcW w:w="1384" w:type="dxa"/>
          </w:tcPr>
          <w:p>
            <w:pPr>
              <w:pStyle w:val="TableParagraph"/>
              <w:spacing w:before="83"/>
              <w:ind w:right="104"/>
              <w:jc w:val="right"/>
              <w:rPr>
                <w:sz w:val="24"/>
              </w:rPr>
            </w:pPr>
            <w:r>
              <w:rPr>
                <w:sz w:val="24"/>
              </w:rPr>
              <w:t>62405</w:t>
            </w:r>
          </w:p>
        </w:tc>
      </w:tr>
      <w:tr>
        <w:trPr>
          <w:trHeight w:val="522" w:hRule="atLeast"/>
        </w:trPr>
        <w:tc>
          <w:tcPr>
            <w:tcW w:w="2166" w:type="dxa"/>
            <w:vMerge w:val="restart"/>
          </w:tcPr>
          <w:p>
            <w:pPr>
              <w:pStyle w:val="TableParagraph"/>
              <w:tabs>
                <w:tab w:pos="1962" w:val="left" w:leader="none"/>
              </w:tabs>
              <w:spacing w:before="107"/>
              <w:ind w:left="105" w:right="96"/>
              <w:jc w:val="both"/>
              <w:rPr>
                <w:sz w:val="24"/>
              </w:rPr>
            </w:pPr>
            <w:r>
              <w:rPr>
                <w:sz w:val="24"/>
              </w:rPr>
              <w:t>Кількість біогенів, винесена</w:t>
              <w:tab/>
            </w:r>
            <w:r>
              <w:rPr>
                <w:spacing w:val="-17"/>
                <w:sz w:val="24"/>
              </w:rPr>
              <w:t>з </w:t>
            </w:r>
            <w:r>
              <w:rPr>
                <w:position w:val="2"/>
                <w:sz w:val="24"/>
              </w:rPr>
              <w:t>врожаєм W</w:t>
            </w:r>
            <w:r>
              <w:rPr>
                <w:sz w:val="16"/>
              </w:rPr>
              <w:t>пл</w:t>
            </w:r>
            <w:r>
              <w:rPr>
                <w:position w:val="2"/>
                <w:sz w:val="24"/>
              </w:rPr>
              <w:t>,</w:t>
            </w:r>
            <w:r>
              <w:rPr>
                <w:spacing w:val="-9"/>
                <w:position w:val="2"/>
                <w:sz w:val="24"/>
              </w:rPr>
              <w:t> </w:t>
            </w:r>
            <w:r>
              <w:rPr>
                <w:position w:val="2"/>
                <w:sz w:val="24"/>
              </w:rPr>
              <w:t>т/рік</w:t>
            </w:r>
          </w:p>
        </w:tc>
        <w:tc>
          <w:tcPr>
            <w:tcW w:w="898" w:type="dxa"/>
          </w:tcPr>
          <w:p>
            <w:pPr>
              <w:pStyle w:val="TableParagraph"/>
              <w:spacing w:before="116"/>
              <w:ind w:right="99"/>
              <w:jc w:val="right"/>
              <w:rPr>
                <w:sz w:val="24"/>
              </w:rPr>
            </w:pPr>
            <w:r>
              <w:rPr>
                <w:sz w:val="24"/>
              </w:rPr>
              <w:t>1</w:t>
            </w:r>
          </w:p>
        </w:tc>
        <w:tc>
          <w:tcPr>
            <w:tcW w:w="1624" w:type="dxa"/>
          </w:tcPr>
          <w:p>
            <w:pPr>
              <w:pStyle w:val="TableParagraph"/>
              <w:spacing w:before="116"/>
              <w:ind w:right="220"/>
              <w:jc w:val="right"/>
              <w:rPr>
                <w:sz w:val="24"/>
              </w:rPr>
            </w:pPr>
            <w:r>
              <w:rPr>
                <w:sz w:val="24"/>
              </w:rPr>
              <w:t>33026</w:t>
            </w:r>
          </w:p>
        </w:tc>
        <w:tc>
          <w:tcPr>
            <w:tcW w:w="1259" w:type="dxa"/>
          </w:tcPr>
          <w:p>
            <w:pPr>
              <w:pStyle w:val="TableParagraph"/>
              <w:spacing w:before="116"/>
              <w:ind w:right="158"/>
              <w:jc w:val="right"/>
              <w:rPr>
                <w:sz w:val="24"/>
              </w:rPr>
            </w:pPr>
            <w:r>
              <w:rPr>
                <w:sz w:val="24"/>
              </w:rPr>
              <w:t>549</w:t>
            </w:r>
          </w:p>
        </w:tc>
        <w:tc>
          <w:tcPr>
            <w:tcW w:w="1173" w:type="dxa"/>
          </w:tcPr>
          <w:p>
            <w:pPr>
              <w:pStyle w:val="TableParagraph"/>
              <w:spacing w:before="116"/>
              <w:ind w:right="117"/>
              <w:jc w:val="right"/>
              <w:rPr>
                <w:sz w:val="24"/>
              </w:rPr>
            </w:pPr>
            <w:r>
              <w:rPr>
                <w:sz w:val="24"/>
              </w:rPr>
              <w:t>716</w:t>
            </w:r>
          </w:p>
        </w:tc>
        <w:tc>
          <w:tcPr>
            <w:tcW w:w="870" w:type="dxa"/>
          </w:tcPr>
          <w:p>
            <w:pPr>
              <w:pStyle w:val="TableParagraph"/>
              <w:spacing w:before="116"/>
              <w:ind w:left="106"/>
              <w:rPr>
                <w:sz w:val="24"/>
              </w:rPr>
            </w:pPr>
            <w:r>
              <w:rPr>
                <w:sz w:val="24"/>
              </w:rPr>
              <w:t>5517</w:t>
            </w:r>
          </w:p>
        </w:tc>
        <w:tc>
          <w:tcPr>
            <w:tcW w:w="1384" w:type="dxa"/>
          </w:tcPr>
          <w:p>
            <w:pPr>
              <w:pStyle w:val="TableParagraph"/>
              <w:spacing w:before="116"/>
              <w:ind w:right="104"/>
              <w:jc w:val="right"/>
              <w:rPr>
                <w:sz w:val="24"/>
              </w:rPr>
            </w:pPr>
            <w:r>
              <w:rPr>
                <w:sz w:val="24"/>
              </w:rPr>
              <w:t>39808</w:t>
            </w:r>
          </w:p>
        </w:tc>
      </w:tr>
      <w:tr>
        <w:trPr>
          <w:trHeight w:val="522" w:hRule="atLeast"/>
        </w:trPr>
        <w:tc>
          <w:tcPr>
            <w:tcW w:w="2166" w:type="dxa"/>
            <w:vMerge/>
            <w:tcBorders>
              <w:top w:val="nil"/>
            </w:tcBorders>
          </w:tcPr>
          <w:p>
            <w:pPr>
              <w:rPr>
                <w:sz w:val="2"/>
                <w:szCs w:val="2"/>
              </w:rPr>
            </w:pPr>
          </w:p>
        </w:tc>
        <w:tc>
          <w:tcPr>
            <w:tcW w:w="898" w:type="dxa"/>
          </w:tcPr>
          <w:p>
            <w:pPr>
              <w:pStyle w:val="TableParagraph"/>
              <w:spacing w:before="116"/>
              <w:ind w:right="99"/>
              <w:jc w:val="right"/>
              <w:rPr>
                <w:sz w:val="24"/>
              </w:rPr>
            </w:pPr>
            <w:r>
              <w:rPr>
                <w:sz w:val="24"/>
              </w:rPr>
              <w:t>2</w:t>
            </w:r>
          </w:p>
        </w:tc>
        <w:tc>
          <w:tcPr>
            <w:tcW w:w="1624" w:type="dxa"/>
          </w:tcPr>
          <w:p>
            <w:pPr>
              <w:pStyle w:val="TableParagraph"/>
              <w:spacing w:before="116"/>
              <w:ind w:right="220"/>
              <w:jc w:val="right"/>
              <w:rPr>
                <w:sz w:val="24"/>
              </w:rPr>
            </w:pPr>
            <w:r>
              <w:rPr>
                <w:sz w:val="24"/>
              </w:rPr>
              <w:t>33026</w:t>
            </w:r>
          </w:p>
        </w:tc>
        <w:tc>
          <w:tcPr>
            <w:tcW w:w="1259" w:type="dxa"/>
          </w:tcPr>
          <w:p>
            <w:pPr>
              <w:pStyle w:val="TableParagraph"/>
              <w:spacing w:before="116"/>
              <w:ind w:right="158"/>
              <w:jc w:val="right"/>
              <w:rPr>
                <w:sz w:val="24"/>
              </w:rPr>
            </w:pPr>
            <w:r>
              <w:rPr>
                <w:sz w:val="24"/>
              </w:rPr>
              <w:t>549</w:t>
            </w:r>
          </w:p>
        </w:tc>
        <w:tc>
          <w:tcPr>
            <w:tcW w:w="1173" w:type="dxa"/>
          </w:tcPr>
          <w:p>
            <w:pPr>
              <w:pStyle w:val="TableParagraph"/>
              <w:spacing w:before="116"/>
              <w:ind w:right="117"/>
              <w:jc w:val="right"/>
              <w:rPr>
                <w:sz w:val="24"/>
              </w:rPr>
            </w:pPr>
            <w:r>
              <w:rPr>
                <w:sz w:val="24"/>
              </w:rPr>
              <w:t>716</w:t>
            </w:r>
          </w:p>
        </w:tc>
        <w:tc>
          <w:tcPr>
            <w:tcW w:w="870" w:type="dxa"/>
          </w:tcPr>
          <w:p>
            <w:pPr>
              <w:pStyle w:val="TableParagraph"/>
              <w:spacing w:before="116"/>
              <w:ind w:left="106"/>
              <w:rPr>
                <w:sz w:val="24"/>
              </w:rPr>
            </w:pPr>
            <w:r>
              <w:rPr>
                <w:sz w:val="24"/>
              </w:rPr>
              <w:t>5517</w:t>
            </w:r>
          </w:p>
        </w:tc>
        <w:tc>
          <w:tcPr>
            <w:tcW w:w="1384" w:type="dxa"/>
          </w:tcPr>
          <w:p>
            <w:pPr>
              <w:pStyle w:val="TableParagraph"/>
              <w:spacing w:before="116"/>
              <w:ind w:right="104"/>
              <w:jc w:val="right"/>
              <w:rPr>
                <w:sz w:val="24"/>
              </w:rPr>
            </w:pPr>
            <w:r>
              <w:rPr>
                <w:sz w:val="24"/>
              </w:rPr>
              <w:t>39808</w:t>
            </w:r>
          </w:p>
        </w:tc>
      </w:tr>
      <w:tr>
        <w:trPr>
          <w:trHeight w:val="715" w:hRule="atLeast"/>
        </w:trPr>
        <w:tc>
          <w:tcPr>
            <w:tcW w:w="2166" w:type="dxa"/>
            <w:vMerge w:val="restart"/>
          </w:tcPr>
          <w:p>
            <w:pPr>
              <w:pStyle w:val="TableParagraph"/>
              <w:spacing w:before="11"/>
              <w:ind w:left="105" w:right="105"/>
              <w:jc w:val="both"/>
              <w:rPr>
                <w:sz w:val="24"/>
              </w:rPr>
            </w:pPr>
            <w:r>
              <w:rPr>
                <w:sz w:val="24"/>
              </w:rPr>
              <w:t>Винос біогенів внаслідок пору- шень технологій </w:t>
            </w:r>
            <w:r>
              <w:rPr>
                <w:position w:val="2"/>
                <w:sz w:val="24"/>
              </w:rPr>
              <w:t>W</w:t>
            </w:r>
            <w:r>
              <w:rPr>
                <w:sz w:val="16"/>
              </w:rPr>
              <w:t>пот</w:t>
            </w:r>
            <w:r>
              <w:rPr>
                <w:position w:val="2"/>
                <w:sz w:val="24"/>
              </w:rPr>
              <w:t>, т/рік</w:t>
            </w:r>
          </w:p>
        </w:tc>
        <w:tc>
          <w:tcPr>
            <w:tcW w:w="898" w:type="dxa"/>
          </w:tcPr>
          <w:p>
            <w:pPr>
              <w:pStyle w:val="TableParagraph"/>
              <w:spacing w:before="212"/>
              <w:ind w:right="99"/>
              <w:jc w:val="right"/>
              <w:rPr>
                <w:sz w:val="24"/>
              </w:rPr>
            </w:pPr>
            <w:r>
              <w:rPr>
                <w:sz w:val="24"/>
              </w:rPr>
              <w:t>1</w:t>
            </w:r>
          </w:p>
        </w:tc>
        <w:tc>
          <w:tcPr>
            <w:tcW w:w="1624" w:type="dxa"/>
          </w:tcPr>
          <w:p>
            <w:pPr>
              <w:pStyle w:val="TableParagraph"/>
              <w:spacing w:before="212"/>
              <w:ind w:right="220"/>
              <w:jc w:val="right"/>
              <w:rPr>
                <w:sz w:val="24"/>
              </w:rPr>
            </w:pPr>
            <w:r>
              <w:rPr>
                <w:sz w:val="24"/>
              </w:rPr>
              <w:t>26451</w:t>
            </w:r>
          </w:p>
        </w:tc>
        <w:tc>
          <w:tcPr>
            <w:tcW w:w="1259" w:type="dxa"/>
          </w:tcPr>
          <w:p>
            <w:pPr>
              <w:pStyle w:val="TableParagraph"/>
              <w:spacing w:before="212"/>
              <w:ind w:right="96"/>
              <w:jc w:val="right"/>
              <w:rPr>
                <w:sz w:val="24"/>
              </w:rPr>
            </w:pPr>
            <w:r>
              <w:rPr>
                <w:sz w:val="24"/>
              </w:rPr>
              <w:t>1718</w:t>
            </w:r>
          </w:p>
        </w:tc>
        <w:tc>
          <w:tcPr>
            <w:tcW w:w="1173" w:type="dxa"/>
          </w:tcPr>
          <w:p>
            <w:pPr>
              <w:pStyle w:val="TableParagraph"/>
              <w:spacing w:before="212"/>
              <w:ind w:right="117"/>
              <w:jc w:val="right"/>
              <w:rPr>
                <w:sz w:val="24"/>
              </w:rPr>
            </w:pPr>
            <w:r>
              <w:rPr>
                <w:sz w:val="24"/>
              </w:rPr>
              <w:t>772</w:t>
            </w:r>
          </w:p>
        </w:tc>
        <w:tc>
          <w:tcPr>
            <w:tcW w:w="870" w:type="dxa"/>
          </w:tcPr>
          <w:p>
            <w:pPr>
              <w:pStyle w:val="TableParagraph"/>
              <w:spacing w:before="212"/>
              <w:ind w:left="106"/>
              <w:rPr>
                <w:sz w:val="24"/>
              </w:rPr>
            </w:pPr>
            <w:r>
              <w:rPr>
                <w:sz w:val="24"/>
              </w:rPr>
              <w:t>890</w:t>
            </w:r>
          </w:p>
        </w:tc>
        <w:tc>
          <w:tcPr>
            <w:tcW w:w="1384" w:type="dxa"/>
          </w:tcPr>
          <w:p>
            <w:pPr>
              <w:pStyle w:val="TableParagraph"/>
              <w:spacing w:before="212"/>
              <w:ind w:right="104"/>
              <w:jc w:val="right"/>
              <w:rPr>
                <w:sz w:val="24"/>
              </w:rPr>
            </w:pPr>
            <w:r>
              <w:rPr>
                <w:sz w:val="24"/>
              </w:rPr>
              <w:t>29830</w:t>
            </w:r>
          </w:p>
        </w:tc>
      </w:tr>
      <w:tr>
        <w:trPr>
          <w:trHeight w:val="412" w:hRule="atLeast"/>
        </w:trPr>
        <w:tc>
          <w:tcPr>
            <w:tcW w:w="2166" w:type="dxa"/>
            <w:vMerge/>
            <w:tcBorders>
              <w:top w:val="nil"/>
            </w:tcBorders>
          </w:tcPr>
          <w:p>
            <w:pPr>
              <w:rPr>
                <w:sz w:val="2"/>
                <w:szCs w:val="2"/>
              </w:rPr>
            </w:pPr>
          </w:p>
        </w:tc>
        <w:tc>
          <w:tcPr>
            <w:tcW w:w="898" w:type="dxa"/>
          </w:tcPr>
          <w:p>
            <w:pPr>
              <w:pStyle w:val="TableParagraph"/>
              <w:spacing w:before="59"/>
              <w:ind w:right="99"/>
              <w:jc w:val="right"/>
              <w:rPr>
                <w:sz w:val="24"/>
              </w:rPr>
            </w:pPr>
            <w:r>
              <w:rPr>
                <w:sz w:val="24"/>
              </w:rPr>
              <w:t>2</w:t>
            </w:r>
          </w:p>
        </w:tc>
        <w:tc>
          <w:tcPr>
            <w:tcW w:w="1624" w:type="dxa"/>
          </w:tcPr>
          <w:p>
            <w:pPr>
              <w:pStyle w:val="TableParagraph"/>
              <w:spacing w:before="59"/>
              <w:ind w:right="277"/>
              <w:jc w:val="right"/>
              <w:rPr>
                <w:sz w:val="24"/>
              </w:rPr>
            </w:pPr>
            <w:r>
              <w:rPr>
                <w:sz w:val="24"/>
              </w:rPr>
              <w:t>2871</w:t>
            </w:r>
          </w:p>
        </w:tc>
        <w:tc>
          <w:tcPr>
            <w:tcW w:w="1259" w:type="dxa"/>
          </w:tcPr>
          <w:p>
            <w:pPr>
              <w:pStyle w:val="TableParagraph"/>
              <w:spacing w:before="59"/>
              <w:ind w:right="158"/>
              <w:jc w:val="right"/>
              <w:rPr>
                <w:sz w:val="24"/>
              </w:rPr>
            </w:pPr>
            <w:r>
              <w:rPr>
                <w:sz w:val="24"/>
              </w:rPr>
              <w:t>186</w:t>
            </w:r>
          </w:p>
        </w:tc>
        <w:tc>
          <w:tcPr>
            <w:tcW w:w="1173" w:type="dxa"/>
          </w:tcPr>
          <w:p>
            <w:pPr>
              <w:pStyle w:val="TableParagraph"/>
              <w:spacing w:before="59"/>
              <w:ind w:right="174"/>
              <w:jc w:val="right"/>
              <w:rPr>
                <w:sz w:val="24"/>
              </w:rPr>
            </w:pPr>
            <w:r>
              <w:rPr>
                <w:sz w:val="24"/>
              </w:rPr>
              <w:t>62</w:t>
            </w:r>
          </w:p>
        </w:tc>
        <w:tc>
          <w:tcPr>
            <w:tcW w:w="870" w:type="dxa"/>
          </w:tcPr>
          <w:p>
            <w:pPr>
              <w:pStyle w:val="TableParagraph"/>
              <w:spacing w:before="59"/>
              <w:ind w:left="106"/>
              <w:rPr>
                <w:sz w:val="24"/>
              </w:rPr>
            </w:pPr>
            <w:r>
              <w:rPr>
                <w:sz w:val="24"/>
              </w:rPr>
              <w:t>114</w:t>
            </w:r>
          </w:p>
        </w:tc>
        <w:tc>
          <w:tcPr>
            <w:tcW w:w="1384" w:type="dxa"/>
          </w:tcPr>
          <w:p>
            <w:pPr>
              <w:pStyle w:val="TableParagraph"/>
              <w:spacing w:before="59"/>
              <w:ind w:right="166"/>
              <w:jc w:val="right"/>
              <w:rPr>
                <w:sz w:val="24"/>
              </w:rPr>
            </w:pPr>
            <w:r>
              <w:rPr>
                <w:sz w:val="24"/>
              </w:rPr>
              <w:t>3233</w:t>
            </w:r>
          </w:p>
        </w:tc>
      </w:tr>
      <w:tr>
        <w:trPr>
          <w:trHeight w:val="450" w:hRule="atLeast"/>
        </w:trPr>
        <w:tc>
          <w:tcPr>
            <w:tcW w:w="2166" w:type="dxa"/>
            <w:vMerge w:val="restart"/>
          </w:tcPr>
          <w:p>
            <w:pPr>
              <w:pStyle w:val="TableParagraph"/>
              <w:spacing w:before="59"/>
              <w:ind w:left="105" w:right="95"/>
              <w:jc w:val="both"/>
              <w:rPr>
                <w:sz w:val="24"/>
              </w:rPr>
            </w:pPr>
            <w:r>
              <w:rPr>
                <w:sz w:val="24"/>
              </w:rPr>
              <w:t>Загальна величина виносу біогенів </w:t>
            </w:r>
            <w:r>
              <w:rPr>
                <w:position w:val="2"/>
                <w:sz w:val="24"/>
              </w:rPr>
              <w:t>W</w:t>
            </w:r>
            <w:r>
              <w:rPr>
                <w:sz w:val="16"/>
              </w:rPr>
              <w:t>об</w:t>
            </w:r>
            <w:r>
              <w:rPr>
                <w:position w:val="2"/>
                <w:sz w:val="24"/>
              </w:rPr>
              <w:t>, т/рік</w:t>
            </w:r>
          </w:p>
        </w:tc>
        <w:tc>
          <w:tcPr>
            <w:tcW w:w="898" w:type="dxa"/>
          </w:tcPr>
          <w:p>
            <w:pPr>
              <w:pStyle w:val="TableParagraph"/>
              <w:spacing w:before="78"/>
              <w:ind w:right="99"/>
              <w:jc w:val="right"/>
              <w:rPr>
                <w:sz w:val="24"/>
              </w:rPr>
            </w:pPr>
            <w:r>
              <w:rPr>
                <w:sz w:val="24"/>
              </w:rPr>
              <w:t>1</w:t>
            </w:r>
          </w:p>
        </w:tc>
        <w:tc>
          <w:tcPr>
            <w:tcW w:w="1624" w:type="dxa"/>
          </w:tcPr>
          <w:p>
            <w:pPr>
              <w:pStyle w:val="TableParagraph"/>
              <w:spacing w:before="78"/>
              <w:ind w:right="220"/>
              <w:jc w:val="right"/>
              <w:rPr>
                <w:sz w:val="24"/>
              </w:rPr>
            </w:pPr>
            <w:r>
              <w:rPr>
                <w:sz w:val="24"/>
              </w:rPr>
              <w:t>59477</w:t>
            </w:r>
          </w:p>
        </w:tc>
        <w:tc>
          <w:tcPr>
            <w:tcW w:w="1259" w:type="dxa"/>
          </w:tcPr>
          <w:p>
            <w:pPr>
              <w:pStyle w:val="TableParagraph"/>
              <w:spacing w:before="78"/>
              <w:ind w:right="96"/>
              <w:jc w:val="right"/>
              <w:rPr>
                <w:sz w:val="24"/>
              </w:rPr>
            </w:pPr>
            <w:r>
              <w:rPr>
                <w:sz w:val="24"/>
              </w:rPr>
              <w:t>2267</w:t>
            </w:r>
          </w:p>
        </w:tc>
        <w:tc>
          <w:tcPr>
            <w:tcW w:w="1173" w:type="dxa"/>
          </w:tcPr>
          <w:p>
            <w:pPr>
              <w:pStyle w:val="TableParagraph"/>
              <w:spacing w:before="78"/>
              <w:ind w:left="107"/>
              <w:rPr>
                <w:sz w:val="24"/>
              </w:rPr>
            </w:pPr>
            <w:r>
              <w:rPr>
                <w:sz w:val="24"/>
              </w:rPr>
              <w:t>1488</w:t>
            </w:r>
          </w:p>
        </w:tc>
        <w:tc>
          <w:tcPr>
            <w:tcW w:w="870" w:type="dxa"/>
          </w:tcPr>
          <w:p>
            <w:pPr>
              <w:pStyle w:val="TableParagraph"/>
              <w:spacing w:before="78"/>
              <w:ind w:left="106"/>
              <w:rPr>
                <w:sz w:val="24"/>
              </w:rPr>
            </w:pPr>
            <w:r>
              <w:rPr>
                <w:sz w:val="24"/>
              </w:rPr>
              <w:t>6407</w:t>
            </w:r>
          </w:p>
        </w:tc>
        <w:tc>
          <w:tcPr>
            <w:tcW w:w="1384" w:type="dxa"/>
          </w:tcPr>
          <w:p>
            <w:pPr>
              <w:pStyle w:val="TableParagraph"/>
              <w:spacing w:before="78"/>
              <w:ind w:right="104"/>
              <w:jc w:val="right"/>
              <w:rPr>
                <w:sz w:val="24"/>
              </w:rPr>
            </w:pPr>
            <w:r>
              <w:rPr>
                <w:sz w:val="24"/>
              </w:rPr>
              <w:t>69638</w:t>
            </w:r>
          </w:p>
        </w:tc>
      </w:tr>
      <w:tr>
        <w:trPr>
          <w:trHeight w:val="498" w:hRule="atLeast"/>
        </w:trPr>
        <w:tc>
          <w:tcPr>
            <w:tcW w:w="2166" w:type="dxa"/>
            <w:vMerge/>
            <w:tcBorders>
              <w:top w:val="nil"/>
            </w:tcBorders>
          </w:tcPr>
          <w:p>
            <w:pPr>
              <w:rPr>
                <w:sz w:val="2"/>
                <w:szCs w:val="2"/>
              </w:rPr>
            </w:pPr>
          </w:p>
        </w:tc>
        <w:tc>
          <w:tcPr>
            <w:tcW w:w="898" w:type="dxa"/>
          </w:tcPr>
          <w:p>
            <w:pPr>
              <w:pStyle w:val="TableParagraph"/>
              <w:spacing w:before="107"/>
              <w:ind w:right="99"/>
              <w:jc w:val="right"/>
              <w:rPr>
                <w:sz w:val="24"/>
              </w:rPr>
            </w:pPr>
            <w:r>
              <w:rPr>
                <w:sz w:val="24"/>
              </w:rPr>
              <w:t>2</w:t>
            </w:r>
          </w:p>
        </w:tc>
        <w:tc>
          <w:tcPr>
            <w:tcW w:w="1624" w:type="dxa"/>
          </w:tcPr>
          <w:p>
            <w:pPr>
              <w:pStyle w:val="TableParagraph"/>
              <w:spacing w:before="107"/>
              <w:ind w:right="220"/>
              <w:jc w:val="right"/>
              <w:rPr>
                <w:sz w:val="24"/>
              </w:rPr>
            </w:pPr>
            <w:r>
              <w:rPr>
                <w:sz w:val="24"/>
              </w:rPr>
              <w:t>35896</w:t>
            </w:r>
          </w:p>
        </w:tc>
        <w:tc>
          <w:tcPr>
            <w:tcW w:w="1259" w:type="dxa"/>
          </w:tcPr>
          <w:p>
            <w:pPr>
              <w:pStyle w:val="TableParagraph"/>
              <w:spacing w:before="107"/>
              <w:ind w:right="158"/>
              <w:jc w:val="right"/>
              <w:rPr>
                <w:sz w:val="24"/>
              </w:rPr>
            </w:pPr>
            <w:r>
              <w:rPr>
                <w:sz w:val="24"/>
              </w:rPr>
              <w:t>736</w:t>
            </w:r>
          </w:p>
        </w:tc>
        <w:tc>
          <w:tcPr>
            <w:tcW w:w="1173" w:type="dxa"/>
          </w:tcPr>
          <w:p>
            <w:pPr>
              <w:pStyle w:val="TableParagraph"/>
              <w:spacing w:before="107"/>
              <w:ind w:right="117"/>
              <w:jc w:val="right"/>
              <w:rPr>
                <w:sz w:val="24"/>
              </w:rPr>
            </w:pPr>
            <w:r>
              <w:rPr>
                <w:sz w:val="24"/>
              </w:rPr>
              <w:t>778</w:t>
            </w:r>
          </w:p>
        </w:tc>
        <w:tc>
          <w:tcPr>
            <w:tcW w:w="870" w:type="dxa"/>
          </w:tcPr>
          <w:p>
            <w:pPr>
              <w:pStyle w:val="TableParagraph"/>
              <w:spacing w:before="107"/>
              <w:ind w:left="106"/>
              <w:rPr>
                <w:sz w:val="24"/>
              </w:rPr>
            </w:pPr>
            <w:r>
              <w:rPr>
                <w:sz w:val="24"/>
              </w:rPr>
              <w:t>5631</w:t>
            </w:r>
          </w:p>
        </w:tc>
        <w:tc>
          <w:tcPr>
            <w:tcW w:w="1384" w:type="dxa"/>
          </w:tcPr>
          <w:p>
            <w:pPr>
              <w:pStyle w:val="TableParagraph"/>
              <w:spacing w:before="107"/>
              <w:ind w:right="104"/>
              <w:jc w:val="right"/>
              <w:rPr>
                <w:sz w:val="24"/>
              </w:rPr>
            </w:pPr>
            <w:r>
              <w:rPr>
                <w:sz w:val="24"/>
              </w:rPr>
              <w:t>43041</w:t>
            </w:r>
          </w:p>
        </w:tc>
      </w:tr>
      <w:tr>
        <w:trPr>
          <w:trHeight w:val="403" w:hRule="atLeast"/>
        </w:trPr>
        <w:tc>
          <w:tcPr>
            <w:tcW w:w="2166" w:type="dxa"/>
            <w:vMerge w:val="restart"/>
          </w:tcPr>
          <w:p>
            <w:pPr>
              <w:pStyle w:val="TableParagraph"/>
              <w:spacing w:line="237" w:lineRule="auto" w:before="138"/>
              <w:ind w:left="105"/>
              <w:rPr>
                <w:sz w:val="24"/>
              </w:rPr>
            </w:pPr>
            <w:r>
              <w:rPr>
                <w:sz w:val="24"/>
              </w:rPr>
              <w:t>Коефіцієнт витрат </w:t>
            </w:r>
            <w:r>
              <w:rPr>
                <w:position w:val="2"/>
                <w:sz w:val="24"/>
              </w:rPr>
              <w:t>α</w:t>
            </w:r>
            <w:r>
              <w:rPr>
                <w:sz w:val="16"/>
              </w:rPr>
              <w:t>пот</w:t>
            </w:r>
            <w:r>
              <w:rPr>
                <w:position w:val="2"/>
                <w:sz w:val="24"/>
              </w:rPr>
              <w:t>, %</w:t>
            </w:r>
          </w:p>
        </w:tc>
        <w:tc>
          <w:tcPr>
            <w:tcW w:w="898" w:type="dxa"/>
          </w:tcPr>
          <w:p>
            <w:pPr>
              <w:pStyle w:val="TableParagraph"/>
              <w:spacing w:before="59"/>
              <w:ind w:right="99"/>
              <w:jc w:val="right"/>
              <w:rPr>
                <w:sz w:val="24"/>
              </w:rPr>
            </w:pPr>
            <w:r>
              <w:rPr>
                <w:sz w:val="24"/>
              </w:rPr>
              <w:t>1</w:t>
            </w:r>
          </w:p>
        </w:tc>
        <w:tc>
          <w:tcPr>
            <w:tcW w:w="1624" w:type="dxa"/>
          </w:tcPr>
          <w:p>
            <w:pPr>
              <w:pStyle w:val="TableParagraph"/>
              <w:spacing w:before="59"/>
              <w:ind w:left="882"/>
              <w:rPr>
                <w:sz w:val="24"/>
              </w:rPr>
            </w:pPr>
            <w:r>
              <w:rPr>
                <w:sz w:val="24"/>
              </w:rPr>
              <w:t>18,7</w:t>
            </w:r>
          </w:p>
        </w:tc>
        <w:tc>
          <w:tcPr>
            <w:tcW w:w="1259" w:type="dxa"/>
          </w:tcPr>
          <w:p>
            <w:pPr>
              <w:pStyle w:val="TableParagraph"/>
              <w:spacing w:before="59"/>
              <w:ind w:right="125"/>
              <w:jc w:val="right"/>
              <w:rPr>
                <w:sz w:val="24"/>
              </w:rPr>
            </w:pPr>
            <w:r>
              <w:rPr>
                <w:sz w:val="24"/>
              </w:rPr>
              <w:t>10,9</w:t>
            </w:r>
          </w:p>
        </w:tc>
        <w:tc>
          <w:tcPr>
            <w:tcW w:w="1173" w:type="dxa"/>
          </w:tcPr>
          <w:p>
            <w:pPr>
              <w:pStyle w:val="TableParagraph"/>
              <w:spacing w:before="59"/>
              <w:ind w:left="107"/>
              <w:rPr>
                <w:sz w:val="24"/>
              </w:rPr>
            </w:pPr>
            <w:r>
              <w:rPr>
                <w:sz w:val="24"/>
              </w:rPr>
              <w:t>15,5</w:t>
            </w:r>
          </w:p>
        </w:tc>
        <w:tc>
          <w:tcPr>
            <w:tcW w:w="870" w:type="dxa"/>
          </w:tcPr>
          <w:p>
            <w:pPr>
              <w:pStyle w:val="TableParagraph"/>
              <w:spacing w:before="59"/>
              <w:ind w:left="106"/>
              <w:rPr>
                <w:sz w:val="24"/>
              </w:rPr>
            </w:pPr>
            <w:r>
              <w:rPr>
                <w:sz w:val="24"/>
              </w:rPr>
              <w:t>60,2</w:t>
            </w:r>
          </w:p>
        </w:tc>
        <w:tc>
          <w:tcPr>
            <w:tcW w:w="1384" w:type="dxa"/>
          </w:tcPr>
          <w:p>
            <w:pPr>
              <w:pStyle w:val="TableParagraph"/>
              <w:spacing w:before="59"/>
              <w:ind w:right="191"/>
              <w:jc w:val="right"/>
              <w:rPr>
                <w:sz w:val="24"/>
              </w:rPr>
            </w:pPr>
            <w:r>
              <w:rPr>
                <w:sz w:val="24"/>
              </w:rPr>
              <w:t>19,4</w:t>
            </w:r>
          </w:p>
        </w:tc>
      </w:tr>
      <w:tr>
        <w:trPr>
          <w:trHeight w:val="421" w:hRule="atLeast"/>
        </w:trPr>
        <w:tc>
          <w:tcPr>
            <w:tcW w:w="2166" w:type="dxa"/>
            <w:vMerge/>
            <w:tcBorders>
              <w:top w:val="nil"/>
            </w:tcBorders>
          </w:tcPr>
          <w:p>
            <w:pPr>
              <w:rPr>
                <w:sz w:val="2"/>
                <w:szCs w:val="2"/>
              </w:rPr>
            </w:pPr>
          </w:p>
        </w:tc>
        <w:tc>
          <w:tcPr>
            <w:tcW w:w="898" w:type="dxa"/>
          </w:tcPr>
          <w:p>
            <w:pPr>
              <w:pStyle w:val="TableParagraph"/>
              <w:spacing w:before="63"/>
              <w:ind w:right="99"/>
              <w:jc w:val="right"/>
              <w:rPr>
                <w:sz w:val="24"/>
              </w:rPr>
            </w:pPr>
            <w:r>
              <w:rPr>
                <w:sz w:val="24"/>
              </w:rPr>
              <w:t>2</w:t>
            </w:r>
          </w:p>
        </w:tc>
        <w:tc>
          <w:tcPr>
            <w:tcW w:w="1624" w:type="dxa"/>
          </w:tcPr>
          <w:p>
            <w:pPr>
              <w:pStyle w:val="TableParagraph"/>
              <w:spacing w:before="63"/>
              <w:ind w:left="882"/>
              <w:rPr>
                <w:sz w:val="24"/>
              </w:rPr>
            </w:pPr>
            <w:r>
              <w:rPr>
                <w:sz w:val="24"/>
              </w:rPr>
              <w:t>24,9</w:t>
            </w:r>
          </w:p>
        </w:tc>
        <w:tc>
          <w:tcPr>
            <w:tcW w:w="1259" w:type="dxa"/>
          </w:tcPr>
          <w:p>
            <w:pPr>
              <w:pStyle w:val="TableParagraph"/>
              <w:spacing w:before="63"/>
              <w:ind w:right="125"/>
              <w:jc w:val="right"/>
              <w:rPr>
                <w:sz w:val="24"/>
              </w:rPr>
            </w:pPr>
            <w:r>
              <w:rPr>
                <w:sz w:val="24"/>
              </w:rPr>
              <w:t>19,5</w:t>
            </w:r>
          </w:p>
        </w:tc>
        <w:tc>
          <w:tcPr>
            <w:tcW w:w="1173" w:type="dxa"/>
          </w:tcPr>
          <w:p>
            <w:pPr>
              <w:pStyle w:val="TableParagraph"/>
              <w:spacing w:before="63"/>
              <w:ind w:left="107"/>
              <w:rPr>
                <w:sz w:val="24"/>
              </w:rPr>
            </w:pPr>
            <w:r>
              <w:rPr>
                <w:sz w:val="24"/>
              </w:rPr>
              <w:t>29,9</w:t>
            </w:r>
          </w:p>
        </w:tc>
        <w:tc>
          <w:tcPr>
            <w:tcW w:w="870" w:type="dxa"/>
          </w:tcPr>
          <w:p>
            <w:pPr>
              <w:pStyle w:val="TableParagraph"/>
              <w:spacing w:before="63"/>
              <w:ind w:left="106"/>
              <w:rPr>
                <w:sz w:val="24"/>
              </w:rPr>
            </w:pPr>
            <w:r>
              <w:rPr>
                <w:sz w:val="24"/>
              </w:rPr>
              <w:t>96,1</w:t>
            </w:r>
          </w:p>
        </w:tc>
        <w:tc>
          <w:tcPr>
            <w:tcW w:w="1384" w:type="dxa"/>
          </w:tcPr>
          <w:p>
            <w:pPr>
              <w:pStyle w:val="TableParagraph"/>
              <w:spacing w:before="63"/>
              <w:ind w:right="191"/>
              <w:jc w:val="right"/>
              <w:rPr>
                <w:sz w:val="24"/>
              </w:rPr>
            </w:pPr>
            <w:r>
              <w:rPr>
                <w:sz w:val="24"/>
              </w:rPr>
              <w:t>39,0</w:t>
            </w:r>
          </w:p>
        </w:tc>
      </w:tr>
    </w:tbl>
    <w:p>
      <w:pPr>
        <w:pStyle w:val="BodyText"/>
        <w:spacing w:before="4"/>
        <w:ind w:left="0"/>
        <w:jc w:val="left"/>
        <w:rPr>
          <w:sz w:val="27"/>
        </w:rPr>
      </w:pPr>
    </w:p>
    <w:p>
      <w:pPr>
        <w:pStyle w:val="BodyText"/>
        <w:ind w:right="613" w:firstLine="710"/>
      </w:pPr>
      <w:r>
        <w:rPr/>
        <w:t>Висновки. Як видно, ця закономірність спостерігається у першому випадку. Збережено також і співвідношення між культурами: найбільшу кількість живильних речовин з ґрунту поглинають овочеві культури,</w:t>
      </w:r>
      <w:r>
        <w:rPr>
          <w:spacing w:val="45"/>
        </w:rPr>
        <w:t> </w:t>
      </w:r>
      <w:r>
        <w:rPr/>
        <w:t>найменшу</w:t>
      </w:r>
    </w:p>
    <w:p>
      <w:pPr>
        <w:pStyle w:val="BodyText"/>
        <w:spacing w:line="321" w:lineRule="exact"/>
      </w:pPr>
      <w:r>
        <w:rPr/>
        <w:t>–  соняшник.  Щодо  фактичної ситуації,  за  розрахунками</w:t>
      </w:r>
      <w:r>
        <w:rPr>
          <w:spacing w:val="-18"/>
        </w:rPr>
        <w:t> </w:t>
      </w:r>
      <w:r>
        <w:rPr/>
        <w:t>у ґрунті залишається</w:t>
      </w:r>
    </w:p>
    <w:p>
      <w:pPr>
        <w:spacing w:after="0" w:line="321" w:lineRule="exact"/>
        <w:sectPr>
          <w:pgSz w:w="11910" w:h="16840"/>
          <w:pgMar w:header="713" w:footer="778" w:top="1140" w:bottom="960" w:left="940" w:right="520"/>
        </w:sectPr>
      </w:pPr>
    </w:p>
    <w:p>
      <w:pPr>
        <w:pStyle w:val="BodyText"/>
        <w:spacing w:before="92"/>
        <w:ind w:right="616"/>
      </w:pPr>
      <w:r>
        <w:rPr/>
        <w:t>лише біля 30% від початкової кількості внесених біогенів. Це обумовлено тим, що в останні десятиріччя майже в 10 разів скоротилося внесення органічних добрив (навозу, гною), що сприяє швидкому виснаженню і деградації ґрунтів.</w:t>
      </w:r>
    </w:p>
    <w:p>
      <w:pPr>
        <w:pStyle w:val="BodyText"/>
        <w:spacing w:before="3"/>
        <w:ind w:left="0"/>
        <w:jc w:val="left"/>
      </w:pPr>
    </w:p>
    <w:p>
      <w:pPr>
        <w:pStyle w:val="Heading1"/>
        <w:spacing w:line="322" w:lineRule="exact" w:before="1"/>
        <w:ind w:left="894"/>
      </w:pPr>
      <w:r>
        <w:rPr/>
        <w:t>ЛІТЕРАТУРА</w:t>
      </w:r>
    </w:p>
    <w:p>
      <w:pPr>
        <w:pStyle w:val="ListParagraph"/>
        <w:numPr>
          <w:ilvl w:val="0"/>
          <w:numId w:val="41"/>
        </w:numPr>
        <w:tabs>
          <w:tab w:pos="1265" w:val="left" w:leader="none"/>
        </w:tabs>
        <w:spacing w:line="240" w:lineRule="auto" w:before="0" w:after="0"/>
        <w:ind w:left="193" w:right="627" w:firstLine="710"/>
        <w:jc w:val="left"/>
        <w:rPr>
          <w:sz w:val="28"/>
        </w:rPr>
      </w:pPr>
      <w:r>
        <w:rPr>
          <w:sz w:val="28"/>
        </w:rPr>
        <w:t>Ефимов В.Н. Система применения удобрений / В.Н. Ефимов, И.Н. Донских, В.П. Царенко - </w:t>
      </w:r>
      <w:r>
        <w:rPr>
          <w:spacing w:val="2"/>
          <w:sz w:val="28"/>
        </w:rPr>
        <w:t>М.: </w:t>
      </w:r>
      <w:r>
        <w:rPr>
          <w:sz w:val="28"/>
        </w:rPr>
        <w:t>Колос, 2002. – 320</w:t>
      </w:r>
      <w:r>
        <w:rPr>
          <w:spacing w:val="15"/>
          <w:sz w:val="28"/>
        </w:rPr>
        <w:t> </w:t>
      </w:r>
      <w:r>
        <w:rPr>
          <w:sz w:val="28"/>
        </w:rPr>
        <w:t>с.</w:t>
      </w:r>
    </w:p>
    <w:p>
      <w:pPr>
        <w:pStyle w:val="ListParagraph"/>
        <w:numPr>
          <w:ilvl w:val="0"/>
          <w:numId w:val="41"/>
        </w:numPr>
        <w:tabs>
          <w:tab w:pos="1255" w:val="left" w:leader="none"/>
        </w:tabs>
        <w:spacing w:line="240" w:lineRule="auto" w:before="0" w:after="0"/>
        <w:ind w:left="193" w:right="622" w:firstLine="710"/>
        <w:jc w:val="left"/>
        <w:rPr>
          <w:sz w:val="28"/>
        </w:rPr>
      </w:pPr>
      <w:r>
        <w:rPr>
          <w:sz w:val="28"/>
        </w:rPr>
        <w:t>Методические рекомендации по расчету выноса биогенных веществ поверхностным стоком. ВАСХНИЛ. – М.: 1989. – 23</w:t>
      </w:r>
      <w:r>
        <w:rPr>
          <w:spacing w:val="15"/>
          <w:sz w:val="28"/>
        </w:rPr>
        <w:t> </w:t>
      </w:r>
      <w:r>
        <w:rPr>
          <w:sz w:val="28"/>
        </w:rPr>
        <w:t>с.</w:t>
      </w:r>
    </w:p>
    <w:p>
      <w:pPr>
        <w:pStyle w:val="ListParagraph"/>
        <w:numPr>
          <w:ilvl w:val="0"/>
          <w:numId w:val="41"/>
        </w:numPr>
        <w:tabs>
          <w:tab w:pos="1374" w:val="left" w:leader="none"/>
          <w:tab w:pos="1375" w:val="left" w:leader="none"/>
          <w:tab w:pos="2204" w:val="left" w:leader="none"/>
          <w:tab w:pos="3757" w:val="left" w:leader="none"/>
          <w:tab w:pos="4586" w:val="left" w:leader="none"/>
          <w:tab w:pos="5857" w:val="left" w:leader="none"/>
          <w:tab w:pos="6600" w:val="left" w:leader="none"/>
          <w:tab w:pos="7636" w:val="left" w:leader="none"/>
          <w:tab w:pos="9578" w:val="left" w:leader="none"/>
        </w:tabs>
        <w:spacing w:line="240" w:lineRule="auto" w:before="0" w:after="0"/>
        <w:ind w:left="193" w:right="619" w:firstLine="710"/>
        <w:jc w:val="left"/>
        <w:rPr>
          <w:sz w:val="28"/>
        </w:rPr>
      </w:pPr>
      <w:r>
        <w:rPr>
          <w:sz w:val="28"/>
        </w:rPr>
        <w:t>Л.М.</w:t>
        <w:tab/>
        <w:t>Полетаєва,</w:t>
        <w:tab/>
        <w:t>С.М.</w:t>
        <w:tab/>
        <w:t>Юрасов,</w:t>
        <w:tab/>
        <w:t>В.Г.</w:t>
        <w:tab/>
        <w:t>Ільїна.</w:t>
        <w:tab/>
        <w:t>Моделювання</w:t>
        <w:tab/>
      </w:r>
      <w:r>
        <w:rPr>
          <w:spacing w:val="-10"/>
          <w:sz w:val="28"/>
        </w:rPr>
        <w:t>та </w:t>
      </w:r>
      <w:r>
        <w:rPr>
          <w:sz w:val="28"/>
        </w:rPr>
        <w:t>прогнозування стану довкілля: Конспект лекцій. – Одеса: «ВМВ», 2006. –</w:t>
      </w:r>
      <w:r>
        <w:rPr>
          <w:spacing w:val="-20"/>
          <w:sz w:val="28"/>
        </w:rPr>
        <w:t> </w:t>
      </w:r>
      <w:r>
        <w:rPr>
          <w:sz w:val="28"/>
        </w:rPr>
        <w:t>181с.</w:t>
      </w:r>
    </w:p>
    <w:p>
      <w:pPr>
        <w:pStyle w:val="BodyText"/>
        <w:spacing w:before="2"/>
        <w:ind w:left="0"/>
        <w:jc w:val="left"/>
      </w:pPr>
    </w:p>
    <w:p>
      <w:pPr>
        <w:pStyle w:val="Heading1"/>
        <w:ind w:left="3026" w:right="905" w:hanging="1820"/>
        <w:jc w:val="left"/>
      </w:pPr>
      <w:r>
        <w:rPr/>
        <w:t>МОДЕЛИРОВАНИЕ БАЛАНСА БИОГЕННЫХ ЭЛЕМЕНТОВ В УСЛОВИЯХ ЮГА УКРАИНЫ</w:t>
      </w:r>
    </w:p>
    <w:p>
      <w:pPr>
        <w:pStyle w:val="BodyText"/>
        <w:spacing w:line="316" w:lineRule="exact"/>
        <w:ind w:left="3972"/>
      </w:pPr>
      <w:r>
        <w:rPr/>
        <w:t>Ильина В., Вовкодав</w:t>
      </w:r>
      <w:r>
        <w:rPr>
          <w:spacing w:val="-12"/>
        </w:rPr>
        <w:t> </w:t>
      </w:r>
      <w:r>
        <w:rPr/>
        <w:t>Г.</w:t>
      </w:r>
    </w:p>
    <w:p>
      <w:pPr>
        <w:spacing w:line="240" w:lineRule="auto" w:before="0"/>
        <w:ind w:left="193" w:right="612" w:firstLine="710"/>
        <w:jc w:val="both"/>
        <w:rPr>
          <w:i/>
          <w:sz w:val="28"/>
        </w:rPr>
      </w:pPr>
      <w:r>
        <w:rPr>
          <w:i/>
          <w:sz w:val="28"/>
        </w:rPr>
        <w:t>Юг Украины относится к зоне с благоприятными для выращивания </w:t>
      </w:r>
      <w:r>
        <w:rPr>
          <w:i/>
          <w:sz w:val="28"/>
        </w:rPr>
        <w:t>большого набора сельскохозяйственных культур (зерновых, технических, кормовых, овощных, бахчевих и других) климатическими условиями, за исключением условий увлажнения. Несмотря на это, для получения высоких и устойчивых урожаев на этой территории необходимо использование минеральных</w:t>
      </w:r>
      <w:r>
        <w:rPr>
          <w:i/>
          <w:spacing w:val="-9"/>
          <w:sz w:val="28"/>
        </w:rPr>
        <w:t> </w:t>
      </w:r>
      <w:r>
        <w:rPr>
          <w:i/>
          <w:sz w:val="28"/>
        </w:rPr>
        <w:t>и</w:t>
      </w:r>
      <w:r>
        <w:rPr>
          <w:i/>
          <w:spacing w:val="-9"/>
          <w:sz w:val="28"/>
        </w:rPr>
        <w:t> </w:t>
      </w:r>
      <w:r>
        <w:rPr>
          <w:i/>
          <w:sz w:val="28"/>
        </w:rPr>
        <w:t>органических</w:t>
      </w:r>
      <w:r>
        <w:rPr>
          <w:i/>
          <w:spacing w:val="-9"/>
          <w:sz w:val="28"/>
        </w:rPr>
        <w:t> </w:t>
      </w:r>
      <w:r>
        <w:rPr>
          <w:i/>
          <w:sz w:val="28"/>
        </w:rPr>
        <w:t>удобрений,</w:t>
      </w:r>
      <w:r>
        <w:rPr>
          <w:i/>
          <w:spacing w:val="-7"/>
          <w:sz w:val="28"/>
        </w:rPr>
        <w:t> </w:t>
      </w:r>
      <w:r>
        <w:rPr>
          <w:i/>
          <w:sz w:val="28"/>
        </w:rPr>
        <w:t>в</w:t>
      </w:r>
      <w:r>
        <w:rPr>
          <w:i/>
          <w:spacing w:val="-10"/>
          <w:sz w:val="28"/>
        </w:rPr>
        <w:t> </w:t>
      </w:r>
      <w:r>
        <w:rPr>
          <w:i/>
          <w:sz w:val="28"/>
        </w:rPr>
        <w:t>связи</w:t>
      </w:r>
      <w:r>
        <w:rPr>
          <w:i/>
          <w:spacing w:val="-8"/>
          <w:sz w:val="28"/>
        </w:rPr>
        <w:t> </w:t>
      </w:r>
      <w:r>
        <w:rPr>
          <w:i/>
          <w:sz w:val="28"/>
        </w:rPr>
        <w:t>с</w:t>
      </w:r>
      <w:r>
        <w:rPr>
          <w:i/>
          <w:spacing w:val="-9"/>
          <w:sz w:val="28"/>
        </w:rPr>
        <w:t> </w:t>
      </w:r>
      <w:r>
        <w:rPr>
          <w:i/>
          <w:sz w:val="28"/>
        </w:rPr>
        <w:t>недостаточным</w:t>
      </w:r>
      <w:r>
        <w:rPr>
          <w:i/>
          <w:spacing w:val="-9"/>
          <w:sz w:val="28"/>
        </w:rPr>
        <w:t> </w:t>
      </w:r>
      <w:r>
        <w:rPr>
          <w:i/>
          <w:sz w:val="28"/>
        </w:rPr>
        <w:t>содержанием органического вещества в почве. В состав минеральных удобрений входит большое количество биогенных элементов, основными из которых являются азот и фосфор. Моделирование, как современный метод оценки и прогноза возможных изменений состояния окружающей среды, имеет все большее распространение. В рамках работы, с помощью методики оценки баланса биогенных элементов и математической модели, которая позволяет спрогнозировать уровень урожайности, выполнено моделирование баланса биогенных элементов на территории Юга Украины. Расчеты проводились по данным 2010 -2015 лет по всей территории, с учетом площади сельскохозяйственных растений, норм внесения минеральных и органических удобрений и площадей, на которые вносились отдельные виды удобрений, при этом выполнен анализ внесения минеральных и органических удобрений за последние 25 лет. Баланс состоит за из внесения биогенов с удобрениями (приходная часть баланса) и поглощения биогенов корневой системой</w:t>
      </w:r>
      <w:r>
        <w:rPr>
          <w:i/>
          <w:spacing w:val="-44"/>
          <w:sz w:val="28"/>
        </w:rPr>
        <w:t> </w:t>
      </w:r>
      <w:r>
        <w:rPr>
          <w:i/>
          <w:sz w:val="28"/>
        </w:rPr>
        <w:t>растений для формирования урожая (расходной части</w:t>
      </w:r>
      <w:r>
        <w:rPr>
          <w:i/>
          <w:spacing w:val="6"/>
          <w:sz w:val="28"/>
        </w:rPr>
        <w:t> </w:t>
      </w:r>
      <w:r>
        <w:rPr>
          <w:i/>
          <w:sz w:val="28"/>
        </w:rPr>
        <w:t>баланса).</w:t>
      </w:r>
    </w:p>
    <w:p>
      <w:pPr>
        <w:spacing w:before="3"/>
        <w:ind w:left="193" w:right="615" w:firstLine="710"/>
        <w:jc w:val="both"/>
        <w:rPr>
          <w:i/>
          <w:sz w:val="28"/>
        </w:rPr>
      </w:pPr>
      <w:r>
        <w:rPr>
          <w:b/>
          <w:i/>
          <w:sz w:val="28"/>
        </w:rPr>
        <w:t>Ключевые слова: </w:t>
      </w:r>
      <w:r>
        <w:rPr>
          <w:i/>
          <w:sz w:val="28"/>
        </w:rPr>
        <w:t>моделирование, биогенные элементы, математическая </w:t>
      </w:r>
      <w:r>
        <w:rPr>
          <w:i/>
          <w:sz w:val="28"/>
        </w:rPr>
        <w:t>модель, минеральные и органические удобрения, урожай.</w:t>
      </w:r>
    </w:p>
    <w:p>
      <w:pPr>
        <w:pStyle w:val="BodyText"/>
        <w:spacing w:before="4"/>
        <w:ind w:left="0"/>
        <w:jc w:val="left"/>
        <w:rPr>
          <w:i/>
        </w:rPr>
      </w:pPr>
    </w:p>
    <w:p>
      <w:pPr>
        <w:pStyle w:val="Heading1"/>
        <w:ind w:left="2099" w:right="1005" w:hanging="788"/>
        <w:jc w:val="left"/>
      </w:pPr>
      <w:r>
        <w:rPr/>
        <w:t>MODELING OF BALANCE OF BIOGENIC ELEMENTS IN THE CONDITIONS OF THE SOUTH OF UKRAINE</w:t>
      </w:r>
    </w:p>
    <w:p>
      <w:pPr>
        <w:pStyle w:val="BodyText"/>
        <w:spacing w:line="316" w:lineRule="exact"/>
        <w:ind w:left="4116"/>
      </w:pPr>
      <w:r>
        <w:rPr/>
        <w:t>Ilina V., Vovkodav G.</w:t>
      </w:r>
    </w:p>
    <w:p>
      <w:pPr>
        <w:spacing w:before="0"/>
        <w:ind w:left="193" w:right="614" w:firstLine="710"/>
        <w:jc w:val="both"/>
        <w:rPr>
          <w:i/>
          <w:sz w:val="28"/>
        </w:rPr>
      </w:pPr>
      <w:r>
        <w:rPr>
          <w:i/>
          <w:sz w:val="28"/>
        </w:rPr>
        <w:t>South of Ukraine belongs to the zone with favorable conditions for growing a </w:t>
      </w:r>
      <w:r>
        <w:rPr>
          <w:i/>
          <w:sz w:val="28"/>
        </w:rPr>
        <w:t>large number of agricultural crops (cereals, technical, fodder, vegetable, melons and</w:t>
      </w:r>
    </w:p>
    <w:p>
      <w:pPr>
        <w:spacing w:after="0"/>
        <w:jc w:val="both"/>
        <w:rPr>
          <w:sz w:val="28"/>
        </w:rPr>
        <w:sectPr>
          <w:pgSz w:w="11910" w:h="16840"/>
          <w:pgMar w:header="713" w:footer="778" w:top="1140" w:bottom="960" w:left="940" w:right="520"/>
        </w:sectPr>
      </w:pPr>
    </w:p>
    <w:p>
      <w:pPr>
        <w:spacing w:line="240" w:lineRule="auto" w:before="92"/>
        <w:ind w:left="193" w:right="610" w:firstLine="0"/>
        <w:jc w:val="both"/>
        <w:rPr>
          <w:i/>
          <w:sz w:val="28"/>
        </w:rPr>
      </w:pPr>
      <w:r>
        <w:rPr>
          <w:i/>
          <w:sz w:val="28"/>
        </w:rPr>
        <w:t>others),</w:t>
      </w:r>
      <w:r>
        <w:rPr>
          <w:i/>
          <w:spacing w:val="-16"/>
          <w:sz w:val="28"/>
        </w:rPr>
        <w:t> </w:t>
      </w:r>
      <w:r>
        <w:rPr>
          <w:i/>
          <w:sz w:val="28"/>
        </w:rPr>
        <w:t>with</w:t>
      </w:r>
      <w:r>
        <w:rPr>
          <w:i/>
          <w:spacing w:val="-17"/>
          <w:sz w:val="28"/>
        </w:rPr>
        <w:t> </w:t>
      </w:r>
      <w:r>
        <w:rPr>
          <w:i/>
          <w:sz w:val="28"/>
        </w:rPr>
        <w:t>the</w:t>
      </w:r>
      <w:r>
        <w:rPr>
          <w:i/>
          <w:spacing w:val="-16"/>
          <w:sz w:val="28"/>
        </w:rPr>
        <w:t> </w:t>
      </w:r>
      <w:r>
        <w:rPr>
          <w:i/>
          <w:sz w:val="28"/>
        </w:rPr>
        <w:t>exception</w:t>
      </w:r>
      <w:r>
        <w:rPr>
          <w:i/>
          <w:spacing w:val="-18"/>
          <w:sz w:val="28"/>
        </w:rPr>
        <w:t> </w:t>
      </w:r>
      <w:r>
        <w:rPr>
          <w:i/>
          <w:sz w:val="28"/>
        </w:rPr>
        <w:t>of</w:t>
      </w:r>
      <w:r>
        <w:rPr>
          <w:i/>
          <w:spacing w:val="-17"/>
          <w:sz w:val="28"/>
        </w:rPr>
        <w:t> </w:t>
      </w:r>
      <w:r>
        <w:rPr>
          <w:i/>
          <w:sz w:val="28"/>
        </w:rPr>
        <w:t>moisture</w:t>
      </w:r>
      <w:r>
        <w:rPr>
          <w:i/>
          <w:spacing w:val="-16"/>
          <w:sz w:val="28"/>
        </w:rPr>
        <w:t> </w:t>
      </w:r>
      <w:r>
        <w:rPr>
          <w:i/>
          <w:sz w:val="28"/>
        </w:rPr>
        <w:t>conditions.</w:t>
      </w:r>
      <w:r>
        <w:rPr>
          <w:i/>
          <w:spacing w:val="-16"/>
          <w:sz w:val="28"/>
        </w:rPr>
        <w:t> </w:t>
      </w:r>
      <w:r>
        <w:rPr>
          <w:i/>
          <w:sz w:val="28"/>
        </w:rPr>
        <w:t>Nevertheless,</w:t>
      </w:r>
      <w:r>
        <w:rPr>
          <w:i/>
          <w:spacing w:val="-15"/>
          <w:sz w:val="28"/>
        </w:rPr>
        <w:t> </w:t>
      </w:r>
      <w:r>
        <w:rPr>
          <w:i/>
          <w:sz w:val="28"/>
        </w:rPr>
        <w:t>in</w:t>
      </w:r>
      <w:r>
        <w:rPr>
          <w:i/>
          <w:spacing w:val="-17"/>
          <w:sz w:val="28"/>
        </w:rPr>
        <w:t> </w:t>
      </w:r>
      <w:r>
        <w:rPr>
          <w:i/>
          <w:sz w:val="28"/>
        </w:rPr>
        <w:t>order</w:t>
      </w:r>
      <w:r>
        <w:rPr>
          <w:i/>
          <w:spacing w:val="-20"/>
          <w:sz w:val="28"/>
        </w:rPr>
        <w:t> </w:t>
      </w:r>
      <w:r>
        <w:rPr>
          <w:i/>
          <w:sz w:val="28"/>
        </w:rPr>
        <w:t>to</w:t>
      </w:r>
      <w:r>
        <w:rPr>
          <w:i/>
          <w:spacing w:val="-17"/>
          <w:sz w:val="28"/>
        </w:rPr>
        <w:t> </w:t>
      </w:r>
      <w:r>
        <w:rPr>
          <w:i/>
          <w:sz w:val="28"/>
        </w:rPr>
        <w:t>obtain</w:t>
      </w:r>
      <w:r>
        <w:rPr>
          <w:i/>
          <w:spacing w:val="-18"/>
          <w:sz w:val="28"/>
        </w:rPr>
        <w:t> </w:t>
      </w:r>
      <w:r>
        <w:rPr>
          <w:i/>
          <w:sz w:val="28"/>
        </w:rPr>
        <w:t>high </w:t>
      </w:r>
      <w:r>
        <w:rPr>
          <w:i/>
          <w:sz w:val="28"/>
        </w:rPr>
        <w:t>and sustainable crops in this territory, it is necessary to use mineral and organic fertilizers,</w:t>
      </w:r>
      <w:r>
        <w:rPr>
          <w:i/>
          <w:spacing w:val="-10"/>
          <w:sz w:val="28"/>
        </w:rPr>
        <w:t> </w:t>
      </w:r>
      <w:r>
        <w:rPr>
          <w:i/>
          <w:sz w:val="28"/>
        </w:rPr>
        <w:t>due</w:t>
      </w:r>
      <w:r>
        <w:rPr>
          <w:i/>
          <w:spacing w:val="-7"/>
          <w:sz w:val="28"/>
        </w:rPr>
        <w:t> </w:t>
      </w:r>
      <w:r>
        <w:rPr>
          <w:i/>
          <w:sz w:val="28"/>
        </w:rPr>
        <w:t>to</w:t>
      </w:r>
      <w:r>
        <w:rPr>
          <w:i/>
          <w:spacing w:val="-13"/>
          <w:sz w:val="28"/>
        </w:rPr>
        <w:t> </w:t>
      </w:r>
      <w:r>
        <w:rPr>
          <w:i/>
          <w:sz w:val="28"/>
        </w:rPr>
        <w:t>the</w:t>
      </w:r>
      <w:r>
        <w:rPr>
          <w:i/>
          <w:spacing w:val="-12"/>
          <w:sz w:val="28"/>
        </w:rPr>
        <w:t> </w:t>
      </w:r>
      <w:r>
        <w:rPr>
          <w:i/>
          <w:sz w:val="28"/>
        </w:rPr>
        <w:t>insufficient</w:t>
      </w:r>
      <w:r>
        <w:rPr>
          <w:i/>
          <w:spacing w:val="-8"/>
          <w:sz w:val="28"/>
        </w:rPr>
        <w:t> </w:t>
      </w:r>
      <w:r>
        <w:rPr>
          <w:i/>
          <w:sz w:val="28"/>
        </w:rPr>
        <w:t>content</w:t>
      </w:r>
      <w:r>
        <w:rPr>
          <w:i/>
          <w:spacing w:val="-7"/>
          <w:sz w:val="28"/>
        </w:rPr>
        <w:t> </w:t>
      </w:r>
      <w:r>
        <w:rPr>
          <w:i/>
          <w:sz w:val="28"/>
        </w:rPr>
        <w:t>of</w:t>
      </w:r>
      <w:r>
        <w:rPr>
          <w:i/>
          <w:spacing w:val="-12"/>
          <w:sz w:val="28"/>
        </w:rPr>
        <w:t> </w:t>
      </w:r>
      <w:r>
        <w:rPr>
          <w:i/>
          <w:sz w:val="28"/>
        </w:rPr>
        <w:t>organic</w:t>
      </w:r>
      <w:r>
        <w:rPr>
          <w:i/>
          <w:spacing w:val="-7"/>
          <w:sz w:val="28"/>
        </w:rPr>
        <w:t> </w:t>
      </w:r>
      <w:r>
        <w:rPr>
          <w:i/>
          <w:sz w:val="28"/>
        </w:rPr>
        <w:t>matter</w:t>
      </w:r>
      <w:r>
        <w:rPr>
          <w:i/>
          <w:spacing w:val="-6"/>
          <w:sz w:val="28"/>
        </w:rPr>
        <w:t> </w:t>
      </w:r>
      <w:r>
        <w:rPr>
          <w:i/>
          <w:sz w:val="28"/>
        </w:rPr>
        <w:t>in</w:t>
      </w:r>
      <w:r>
        <w:rPr>
          <w:i/>
          <w:spacing w:val="-12"/>
          <w:sz w:val="28"/>
        </w:rPr>
        <w:t> </w:t>
      </w:r>
      <w:r>
        <w:rPr>
          <w:i/>
          <w:sz w:val="28"/>
        </w:rPr>
        <w:t>the</w:t>
      </w:r>
      <w:r>
        <w:rPr>
          <w:i/>
          <w:spacing w:val="-7"/>
          <w:sz w:val="28"/>
        </w:rPr>
        <w:t> </w:t>
      </w:r>
      <w:r>
        <w:rPr>
          <w:i/>
          <w:sz w:val="28"/>
        </w:rPr>
        <w:t>soil.</w:t>
      </w:r>
      <w:r>
        <w:rPr>
          <w:i/>
          <w:spacing w:val="-10"/>
          <w:sz w:val="28"/>
        </w:rPr>
        <w:t> </w:t>
      </w:r>
      <w:r>
        <w:rPr>
          <w:i/>
          <w:sz w:val="28"/>
        </w:rPr>
        <w:t>The</w:t>
      </w:r>
      <w:r>
        <w:rPr>
          <w:i/>
          <w:spacing w:val="-11"/>
          <w:sz w:val="28"/>
        </w:rPr>
        <w:t> </w:t>
      </w:r>
      <w:r>
        <w:rPr>
          <w:i/>
          <w:sz w:val="28"/>
        </w:rPr>
        <w:t>composition of mineral fertilizers includes a large number of nutrients, the main of which are nitrogen and phosphorus. Simulation, as a modern method of estimating and forecasting possible changes in the state of the environment, is becoming more widespread. In the framework of the work, using the method of estimating the balance of biogenic elements and a mathematical model that allows predicting the </w:t>
      </w:r>
      <w:r>
        <w:rPr>
          <w:i/>
          <w:spacing w:val="2"/>
          <w:sz w:val="28"/>
        </w:rPr>
        <w:t>yield </w:t>
      </w:r>
      <w:r>
        <w:rPr>
          <w:i/>
          <w:sz w:val="28"/>
        </w:rPr>
        <w:t>level, a</w:t>
      </w:r>
      <w:r>
        <w:rPr>
          <w:i/>
          <w:spacing w:val="-5"/>
          <w:sz w:val="28"/>
        </w:rPr>
        <w:t> </w:t>
      </w:r>
      <w:r>
        <w:rPr>
          <w:i/>
          <w:sz w:val="28"/>
        </w:rPr>
        <w:t>modeling</w:t>
      </w:r>
      <w:r>
        <w:rPr>
          <w:i/>
          <w:spacing w:val="-5"/>
          <w:sz w:val="28"/>
        </w:rPr>
        <w:t> </w:t>
      </w:r>
      <w:r>
        <w:rPr>
          <w:i/>
          <w:sz w:val="28"/>
        </w:rPr>
        <w:t>of</w:t>
      </w:r>
      <w:r>
        <w:rPr>
          <w:i/>
          <w:spacing w:val="-6"/>
          <w:sz w:val="28"/>
        </w:rPr>
        <w:t> </w:t>
      </w:r>
      <w:r>
        <w:rPr>
          <w:i/>
          <w:sz w:val="28"/>
        </w:rPr>
        <w:t>the</w:t>
      </w:r>
      <w:r>
        <w:rPr>
          <w:i/>
          <w:spacing w:val="-4"/>
          <w:sz w:val="28"/>
        </w:rPr>
        <w:t> </w:t>
      </w:r>
      <w:r>
        <w:rPr>
          <w:i/>
          <w:sz w:val="28"/>
        </w:rPr>
        <w:t>balance</w:t>
      </w:r>
      <w:r>
        <w:rPr>
          <w:i/>
          <w:spacing w:val="-5"/>
          <w:sz w:val="28"/>
        </w:rPr>
        <w:t> </w:t>
      </w:r>
      <w:r>
        <w:rPr>
          <w:i/>
          <w:sz w:val="28"/>
        </w:rPr>
        <w:t>of</w:t>
      </w:r>
      <w:r>
        <w:rPr>
          <w:i/>
          <w:spacing w:val="-6"/>
          <w:sz w:val="28"/>
        </w:rPr>
        <w:t> </w:t>
      </w:r>
      <w:r>
        <w:rPr>
          <w:i/>
          <w:sz w:val="28"/>
        </w:rPr>
        <w:t>biogenic</w:t>
      </w:r>
      <w:r>
        <w:rPr>
          <w:i/>
          <w:spacing w:val="-4"/>
          <w:sz w:val="28"/>
        </w:rPr>
        <w:t> </w:t>
      </w:r>
      <w:r>
        <w:rPr>
          <w:i/>
          <w:sz w:val="28"/>
        </w:rPr>
        <w:t>elements</w:t>
      </w:r>
      <w:r>
        <w:rPr>
          <w:i/>
          <w:spacing w:val="-4"/>
          <w:sz w:val="28"/>
        </w:rPr>
        <w:t> </w:t>
      </w:r>
      <w:r>
        <w:rPr>
          <w:i/>
          <w:sz w:val="28"/>
        </w:rPr>
        <w:t>in</w:t>
      </w:r>
      <w:r>
        <w:rPr>
          <w:i/>
          <w:spacing w:val="-6"/>
          <w:sz w:val="28"/>
        </w:rPr>
        <w:t> </w:t>
      </w:r>
      <w:r>
        <w:rPr>
          <w:i/>
          <w:sz w:val="28"/>
        </w:rPr>
        <w:t>the</w:t>
      </w:r>
      <w:r>
        <w:rPr>
          <w:i/>
          <w:spacing w:val="-5"/>
          <w:sz w:val="28"/>
        </w:rPr>
        <w:t> </w:t>
      </w:r>
      <w:r>
        <w:rPr>
          <w:i/>
          <w:sz w:val="28"/>
        </w:rPr>
        <w:t>territory</w:t>
      </w:r>
      <w:r>
        <w:rPr>
          <w:i/>
          <w:spacing w:val="-4"/>
          <w:sz w:val="28"/>
        </w:rPr>
        <w:t> </w:t>
      </w:r>
      <w:r>
        <w:rPr>
          <w:i/>
          <w:sz w:val="28"/>
        </w:rPr>
        <w:t>of</w:t>
      </w:r>
      <w:r>
        <w:rPr>
          <w:i/>
          <w:spacing w:val="-6"/>
          <w:sz w:val="28"/>
        </w:rPr>
        <w:t> </w:t>
      </w:r>
      <w:r>
        <w:rPr>
          <w:i/>
          <w:sz w:val="28"/>
        </w:rPr>
        <w:t>the</w:t>
      </w:r>
      <w:r>
        <w:rPr>
          <w:i/>
          <w:spacing w:val="-5"/>
          <w:sz w:val="28"/>
        </w:rPr>
        <w:t> </w:t>
      </w:r>
      <w:r>
        <w:rPr>
          <w:i/>
          <w:sz w:val="28"/>
        </w:rPr>
        <w:t>South</w:t>
      </w:r>
      <w:r>
        <w:rPr>
          <w:i/>
          <w:spacing w:val="-4"/>
          <w:sz w:val="28"/>
        </w:rPr>
        <w:t> </w:t>
      </w:r>
      <w:r>
        <w:rPr>
          <w:i/>
          <w:sz w:val="28"/>
        </w:rPr>
        <w:t>of</w:t>
      </w:r>
      <w:r>
        <w:rPr>
          <w:i/>
          <w:spacing w:val="-6"/>
          <w:sz w:val="28"/>
        </w:rPr>
        <w:t> </w:t>
      </w:r>
      <w:r>
        <w:rPr>
          <w:i/>
          <w:sz w:val="28"/>
        </w:rPr>
        <w:t>Ukraine was performed. The calculations were carried out according to the data of</w:t>
      </w:r>
      <w:r>
        <w:rPr>
          <w:i/>
          <w:spacing w:val="-33"/>
          <w:sz w:val="28"/>
        </w:rPr>
        <w:t> </w:t>
      </w:r>
      <w:r>
        <w:rPr>
          <w:i/>
          <w:sz w:val="28"/>
        </w:rPr>
        <w:t>2010-2015 on the whole territory, taking into account the area of agricultural plants, the norms of mineral and organic fertilizers and areas, which were applied to certain types of fertilizers, </w:t>
      </w:r>
      <w:r>
        <w:rPr>
          <w:i/>
          <w:spacing w:val="-3"/>
          <w:sz w:val="28"/>
        </w:rPr>
        <w:t>while </w:t>
      </w:r>
      <w:r>
        <w:rPr>
          <w:i/>
          <w:sz w:val="28"/>
        </w:rPr>
        <w:t>analyzing mineral and organic fertilizers for the last 25 years. The balance consisted of the introduction of nutrients with fertilizers (the incoming part of the balance sheet) and the absorption of nutrients by the root system of plants for the production of crops (the fractional part of the</w:t>
      </w:r>
      <w:r>
        <w:rPr>
          <w:i/>
          <w:spacing w:val="7"/>
          <w:sz w:val="28"/>
        </w:rPr>
        <w:t> </w:t>
      </w:r>
      <w:r>
        <w:rPr>
          <w:i/>
          <w:sz w:val="28"/>
        </w:rPr>
        <w:t>balance).</w:t>
      </w:r>
    </w:p>
    <w:p>
      <w:pPr>
        <w:spacing w:before="0"/>
        <w:ind w:left="193" w:right="620" w:firstLine="710"/>
        <w:jc w:val="both"/>
        <w:rPr>
          <w:i/>
          <w:sz w:val="28"/>
        </w:rPr>
      </w:pPr>
      <w:r>
        <w:rPr>
          <w:b/>
          <w:i/>
          <w:sz w:val="28"/>
        </w:rPr>
        <w:t>Key words: </w:t>
      </w:r>
      <w:r>
        <w:rPr>
          <w:i/>
          <w:sz w:val="28"/>
        </w:rPr>
        <w:t>modeling, biogenic elements, mathematical model, mineral and </w:t>
      </w:r>
      <w:r>
        <w:rPr>
          <w:i/>
          <w:sz w:val="28"/>
        </w:rPr>
        <w:t>organic fertilizers, crop.</w:t>
      </w:r>
    </w:p>
    <w:sectPr>
      <w:pgSz w:w="11910" w:h="16840"/>
      <w:pgMar w:header="713" w:footer="778" w:top="1140" w:bottom="960" w:left="940" w:right="5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MS Gothic">
    <w:altName w:val="MS Gothic"/>
    <w:charset w:val="0"/>
    <w:family w:val="modern"/>
    <w:pitch w:val="fixed"/>
  </w:font>
  <w:font w:name="Calibri">
    <w:altName w:val="Calibri"/>
    <w:charset w:val="0"/>
    <w:family w:val="swiss"/>
    <w:pitch w:val="variable"/>
  </w:font>
  <w:font w:name="Trebuchet MS">
    <w:altName w:val="Trebuchet MS"/>
    <w:charset w:val="0"/>
    <w:family w:val="swiss"/>
    <w:pitch w:val="variable"/>
  </w:font>
  <w:font w:name="Tahoma">
    <w:altName w:val="Tahoma"/>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86.600006pt;margin-top:792.042603pt;width:22pt;height:15.3pt;mso-position-horizontal-relative:page;mso-position-vertical-relative:page;z-index:-267169792" type="#_x0000_t202" filled="false" stroked="false">
          <v:textbox inset="0,0,0,0">
            <w:txbxContent>
              <w:p>
                <w:pPr>
                  <w:spacing w:before="10"/>
                  <w:ind w:left="40" w:right="0" w:firstLine="0"/>
                  <w:jc w:val="left"/>
                  <w:rPr>
                    <w:sz w:val="24"/>
                  </w:rPr>
                </w:pPr>
                <w:r>
                  <w:rPr/>
                  <w:fldChar w:fldCharType="begin"/>
                </w:r>
                <w:r>
                  <w:rPr>
                    <w:sz w:val="24"/>
                  </w:rPr>
                  <w:instrText> PAGE </w:instrText>
                </w:r>
                <w:r>
                  <w:rPr/>
                  <w:fldChar w:fldCharType="separate"/>
                </w:r>
                <w:r>
                  <w:rPr/>
                  <w:t>100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157.470001pt;margin-top:34.646622pt;width:280.25pt;height:15.3pt;mso-position-horizontal-relative:page;mso-position-vertical-relative:page;z-index:-267170816" type="#_x0000_t202" filled="false" stroked="false">
          <v:textbox inset="0,0,0,0">
            <w:txbxContent>
              <w:p>
                <w:pPr>
                  <w:spacing w:before="10"/>
                  <w:ind w:left="20" w:right="0" w:firstLine="0"/>
                  <w:jc w:val="left"/>
                  <w:rPr>
                    <w:sz w:val="24"/>
                  </w:rPr>
                </w:pPr>
                <w:r>
                  <w:rPr>
                    <w:sz w:val="24"/>
                  </w:rPr>
                  <w:t>Аgrarian Bulletin of tte Black Sea Littoral. 2020, Issue 96</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9">
    <w:multiLevelType w:val="hybridMultilevel"/>
    <w:lvl w:ilvl="0">
      <w:start w:val="1"/>
      <w:numFmt w:val="decimal"/>
      <w:lvlText w:val="%1."/>
      <w:lvlJc w:val="left"/>
      <w:pPr>
        <w:ind w:left="193" w:hanging="342"/>
        <w:jc w:val="left"/>
      </w:pPr>
      <w:rPr>
        <w:rFonts w:hint="default"/>
        <w:w w:val="99"/>
        <w:lang w:val="uk-UA" w:eastAsia="uk-UA" w:bidi="uk-UA"/>
      </w:rPr>
    </w:lvl>
    <w:lvl w:ilvl="1">
      <w:start w:val="0"/>
      <w:numFmt w:val="bullet"/>
      <w:lvlText w:val="•"/>
      <w:lvlJc w:val="left"/>
      <w:pPr>
        <w:ind w:left="1224" w:hanging="342"/>
      </w:pPr>
      <w:rPr>
        <w:rFonts w:hint="default"/>
        <w:lang w:val="uk-UA" w:eastAsia="uk-UA" w:bidi="uk-UA"/>
      </w:rPr>
    </w:lvl>
    <w:lvl w:ilvl="2">
      <w:start w:val="0"/>
      <w:numFmt w:val="bullet"/>
      <w:lvlText w:val="•"/>
      <w:lvlJc w:val="left"/>
      <w:pPr>
        <w:ind w:left="2248" w:hanging="342"/>
      </w:pPr>
      <w:rPr>
        <w:rFonts w:hint="default"/>
        <w:lang w:val="uk-UA" w:eastAsia="uk-UA" w:bidi="uk-UA"/>
      </w:rPr>
    </w:lvl>
    <w:lvl w:ilvl="3">
      <w:start w:val="0"/>
      <w:numFmt w:val="bullet"/>
      <w:lvlText w:val="•"/>
      <w:lvlJc w:val="left"/>
      <w:pPr>
        <w:ind w:left="3273" w:hanging="342"/>
      </w:pPr>
      <w:rPr>
        <w:rFonts w:hint="default"/>
        <w:lang w:val="uk-UA" w:eastAsia="uk-UA" w:bidi="uk-UA"/>
      </w:rPr>
    </w:lvl>
    <w:lvl w:ilvl="4">
      <w:start w:val="0"/>
      <w:numFmt w:val="bullet"/>
      <w:lvlText w:val="•"/>
      <w:lvlJc w:val="left"/>
      <w:pPr>
        <w:ind w:left="4297" w:hanging="342"/>
      </w:pPr>
      <w:rPr>
        <w:rFonts w:hint="default"/>
        <w:lang w:val="uk-UA" w:eastAsia="uk-UA" w:bidi="uk-UA"/>
      </w:rPr>
    </w:lvl>
    <w:lvl w:ilvl="5">
      <w:start w:val="0"/>
      <w:numFmt w:val="bullet"/>
      <w:lvlText w:val="•"/>
      <w:lvlJc w:val="left"/>
      <w:pPr>
        <w:ind w:left="5322" w:hanging="342"/>
      </w:pPr>
      <w:rPr>
        <w:rFonts w:hint="default"/>
        <w:lang w:val="uk-UA" w:eastAsia="uk-UA" w:bidi="uk-UA"/>
      </w:rPr>
    </w:lvl>
    <w:lvl w:ilvl="6">
      <w:start w:val="0"/>
      <w:numFmt w:val="bullet"/>
      <w:lvlText w:val="•"/>
      <w:lvlJc w:val="left"/>
      <w:pPr>
        <w:ind w:left="6346" w:hanging="342"/>
      </w:pPr>
      <w:rPr>
        <w:rFonts w:hint="default"/>
        <w:lang w:val="uk-UA" w:eastAsia="uk-UA" w:bidi="uk-UA"/>
      </w:rPr>
    </w:lvl>
    <w:lvl w:ilvl="7">
      <w:start w:val="0"/>
      <w:numFmt w:val="bullet"/>
      <w:lvlText w:val="•"/>
      <w:lvlJc w:val="left"/>
      <w:pPr>
        <w:ind w:left="7370" w:hanging="342"/>
      </w:pPr>
      <w:rPr>
        <w:rFonts w:hint="default"/>
        <w:lang w:val="uk-UA" w:eastAsia="uk-UA" w:bidi="uk-UA"/>
      </w:rPr>
    </w:lvl>
    <w:lvl w:ilvl="8">
      <w:start w:val="0"/>
      <w:numFmt w:val="bullet"/>
      <w:lvlText w:val="•"/>
      <w:lvlJc w:val="left"/>
      <w:pPr>
        <w:ind w:left="8395" w:hanging="342"/>
      </w:pPr>
      <w:rPr>
        <w:rFonts w:hint="default"/>
        <w:lang w:val="uk-UA" w:eastAsia="uk-UA" w:bidi="uk-UA"/>
      </w:rPr>
    </w:lvl>
  </w:abstractNum>
  <w:abstractNum w:abstractNumId="38">
    <w:multiLevelType w:val="hybridMultilevel"/>
    <w:lvl w:ilvl="0">
      <w:start w:val="1"/>
      <w:numFmt w:val="decimal"/>
      <w:lvlText w:val="%1."/>
      <w:lvlJc w:val="left"/>
      <w:pPr>
        <w:ind w:left="193" w:hanging="337"/>
        <w:jc w:val="left"/>
      </w:pPr>
      <w:rPr>
        <w:rFonts w:hint="default" w:ascii="Times New Roman" w:hAnsi="Times New Roman" w:eastAsia="Times New Roman" w:cs="Times New Roman"/>
        <w:spacing w:val="-5"/>
        <w:w w:val="99"/>
        <w:sz w:val="28"/>
        <w:szCs w:val="28"/>
        <w:lang w:val="uk-UA" w:eastAsia="uk-UA" w:bidi="uk-UA"/>
      </w:rPr>
    </w:lvl>
    <w:lvl w:ilvl="1">
      <w:start w:val="0"/>
      <w:numFmt w:val="bullet"/>
      <w:lvlText w:val="•"/>
      <w:lvlJc w:val="left"/>
      <w:pPr>
        <w:ind w:left="1224" w:hanging="337"/>
      </w:pPr>
      <w:rPr>
        <w:rFonts w:hint="default"/>
        <w:lang w:val="uk-UA" w:eastAsia="uk-UA" w:bidi="uk-UA"/>
      </w:rPr>
    </w:lvl>
    <w:lvl w:ilvl="2">
      <w:start w:val="0"/>
      <w:numFmt w:val="bullet"/>
      <w:lvlText w:val="•"/>
      <w:lvlJc w:val="left"/>
      <w:pPr>
        <w:ind w:left="2248" w:hanging="337"/>
      </w:pPr>
      <w:rPr>
        <w:rFonts w:hint="default"/>
        <w:lang w:val="uk-UA" w:eastAsia="uk-UA" w:bidi="uk-UA"/>
      </w:rPr>
    </w:lvl>
    <w:lvl w:ilvl="3">
      <w:start w:val="0"/>
      <w:numFmt w:val="bullet"/>
      <w:lvlText w:val="•"/>
      <w:lvlJc w:val="left"/>
      <w:pPr>
        <w:ind w:left="3273" w:hanging="337"/>
      </w:pPr>
      <w:rPr>
        <w:rFonts w:hint="default"/>
        <w:lang w:val="uk-UA" w:eastAsia="uk-UA" w:bidi="uk-UA"/>
      </w:rPr>
    </w:lvl>
    <w:lvl w:ilvl="4">
      <w:start w:val="0"/>
      <w:numFmt w:val="bullet"/>
      <w:lvlText w:val="•"/>
      <w:lvlJc w:val="left"/>
      <w:pPr>
        <w:ind w:left="4297" w:hanging="337"/>
      </w:pPr>
      <w:rPr>
        <w:rFonts w:hint="default"/>
        <w:lang w:val="uk-UA" w:eastAsia="uk-UA" w:bidi="uk-UA"/>
      </w:rPr>
    </w:lvl>
    <w:lvl w:ilvl="5">
      <w:start w:val="0"/>
      <w:numFmt w:val="bullet"/>
      <w:lvlText w:val="•"/>
      <w:lvlJc w:val="left"/>
      <w:pPr>
        <w:ind w:left="5322" w:hanging="337"/>
      </w:pPr>
      <w:rPr>
        <w:rFonts w:hint="default"/>
        <w:lang w:val="uk-UA" w:eastAsia="uk-UA" w:bidi="uk-UA"/>
      </w:rPr>
    </w:lvl>
    <w:lvl w:ilvl="6">
      <w:start w:val="0"/>
      <w:numFmt w:val="bullet"/>
      <w:lvlText w:val="•"/>
      <w:lvlJc w:val="left"/>
      <w:pPr>
        <w:ind w:left="6346" w:hanging="337"/>
      </w:pPr>
      <w:rPr>
        <w:rFonts w:hint="default"/>
        <w:lang w:val="uk-UA" w:eastAsia="uk-UA" w:bidi="uk-UA"/>
      </w:rPr>
    </w:lvl>
    <w:lvl w:ilvl="7">
      <w:start w:val="0"/>
      <w:numFmt w:val="bullet"/>
      <w:lvlText w:val="•"/>
      <w:lvlJc w:val="left"/>
      <w:pPr>
        <w:ind w:left="7370" w:hanging="337"/>
      </w:pPr>
      <w:rPr>
        <w:rFonts w:hint="default"/>
        <w:lang w:val="uk-UA" w:eastAsia="uk-UA" w:bidi="uk-UA"/>
      </w:rPr>
    </w:lvl>
    <w:lvl w:ilvl="8">
      <w:start w:val="0"/>
      <w:numFmt w:val="bullet"/>
      <w:lvlText w:val="•"/>
      <w:lvlJc w:val="left"/>
      <w:pPr>
        <w:ind w:left="8395" w:hanging="337"/>
      </w:pPr>
      <w:rPr>
        <w:rFonts w:hint="default"/>
        <w:lang w:val="uk-UA" w:eastAsia="uk-UA" w:bidi="uk-UA"/>
      </w:rPr>
    </w:lvl>
  </w:abstractNum>
  <w:abstractNum w:abstractNumId="32">
    <w:multiLevelType w:val="hybridMultilevel"/>
    <w:lvl w:ilvl="0">
      <w:start w:val="1"/>
      <w:numFmt w:val="decimal"/>
      <w:lvlText w:val="%1."/>
      <w:lvlJc w:val="left"/>
      <w:pPr>
        <w:ind w:left="193" w:hanging="495"/>
        <w:jc w:val="left"/>
      </w:pPr>
      <w:rPr>
        <w:rFonts w:hint="default" w:ascii="Times New Roman" w:hAnsi="Times New Roman" w:eastAsia="Times New Roman" w:cs="Times New Roman"/>
        <w:spacing w:val="-34"/>
        <w:w w:val="99"/>
        <w:sz w:val="28"/>
        <w:szCs w:val="28"/>
        <w:lang w:val="uk-UA" w:eastAsia="uk-UA" w:bidi="uk-UA"/>
      </w:rPr>
    </w:lvl>
    <w:lvl w:ilvl="1">
      <w:start w:val="0"/>
      <w:numFmt w:val="bullet"/>
      <w:lvlText w:val="•"/>
      <w:lvlJc w:val="left"/>
      <w:pPr>
        <w:ind w:left="5260" w:hanging="495"/>
      </w:pPr>
      <w:rPr>
        <w:rFonts w:hint="default"/>
        <w:lang w:val="uk-UA" w:eastAsia="uk-UA" w:bidi="uk-UA"/>
      </w:rPr>
    </w:lvl>
    <w:lvl w:ilvl="2">
      <w:start w:val="0"/>
      <w:numFmt w:val="bullet"/>
      <w:lvlText w:val="•"/>
      <w:lvlJc w:val="left"/>
      <w:pPr>
        <w:ind w:left="5836" w:hanging="495"/>
      </w:pPr>
      <w:rPr>
        <w:rFonts w:hint="default"/>
        <w:lang w:val="uk-UA" w:eastAsia="uk-UA" w:bidi="uk-UA"/>
      </w:rPr>
    </w:lvl>
    <w:lvl w:ilvl="3">
      <w:start w:val="0"/>
      <w:numFmt w:val="bullet"/>
      <w:lvlText w:val="•"/>
      <w:lvlJc w:val="left"/>
      <w:pPr>
        <w:ind w:left="6412" w:hanging="495"/>
      </w:pPr>
      <w:rPr>
        <w:rFonts w:hint="default"/>
        <w:lang w:val="uk-UA" w:eastAsia="uk-UA" w:bidi="uk-UA"/>
      </w:rPr>
    </w:lvl>
    <w:lvl w:ilvl="4">
      <w:start w:val="0"/>
      <w:numFmt w:val="bullet"/>
      <w:lvlText w:val="•"/>
      <w:lvlJc w:val="left"/>
      <w:pPr>
        <w:ind w:left="6988" w:hanging="495"/>
      </w:pPr>
      <w:rPr>
        <w:rFonts w:hint="default"/>
        <w:lang w:val="uk-UA" w:eastAsia="uk-UA" w:bidi="uk-UA"/>
      </w:rPr>
    </w:lvl>
    <w:lvl w:ilvl="5">
      <w:start w:val="0"/>
      <w:numFmt w:val="bullet"/>
      <w:lvlText w:val="•"/>
      <w:lvlJc w:val="left"/>
      <w:pPr>
        <w:ind w:left="7564" w:hanging="495"/>
      </w:pPr>
      <w:rPr>
        <w:rFonts w:hint="default"/>
        <w:lang w:val="uk-UA" w:eastAsia="uk-UA" w:bidi="uk-UA"/>
      </w:rPr>
    </w:lvl>
    <w:lvl w:ilvl="6">
      <w:start w:val="0"/>
      <w:numFmt w:val="bullet"/>
      <w:lvlText w:val="•"/>
      <w:lvlJc w:val="left"/>
      <w:pPr>
        <w:ind w:left="8140" w:hanging="495"/>
      </w:pPr>
      <w:rPr>
        <w:rFonts w:hint="default"/>
        <w:lang w:val="uk-UA" w:eastAsia="uk-UA" w:bidi="uk-UA"/>
      </w:rPr>
    </w:lvl>
    <w:lvl w:ilvl="7">
      <w:start w:val="0"/>
      <w:numFmt w:val="bullet"/>
      <w:lvlText w:val="•"/>
      <w:lvlJc w:val="left"/>
      <w:pPr>
        <w:ind w:left="8716" w:hanging="495"/>
      </w:pPr>
      <w:rPr>
        <w:rFonts w:hint="default"/>
        <w:lang w:val="uk-UA" w:eastAsia="uk-UA" w:bidi="uk-UA"/>
      </w:rPr>
    </w:lvl>
    <w:lvl w:ilvl="8">
      <w:start w:val="0"/>
      <w:numFmt w:val="bullet"/>
      <w:lvlText w:val="•"/>
      <w:lvlJc w:val="left"/>
      <w:pPr>
        <w:ind w:left="9292" w:hanging="495"/>
      </w:pPr>
      <w:rPr>
        <w:rFonts w:hint="default"/>
        <w:lang w:val="uk-UA" w:eastAsia="uk-UA" w:bidi="uk-UA"/>
      </w:rPr>
    </w:lvl>
  </w:abstractNum>
  <w:abstractNum w:abstractNumId="30">
    <w:multiLevelType w:val="hybridMultilevel"/>
    <w:lvl w:ilvl="0">
      <w:start w:val="1"/>
      <w:numFmt w:val="decimal"/>
      <w:lvlText w:val="%1."/>
      <w:lvlJc w:val="left"/>
      <w:pPr>
        <w:ind w:left="193" w:hanging="284"/>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284"/>
      </w:pPr>
      <w:rPr>
        <w:rFonts w:hint="default"/>
        <w:lang w:val="uk-UA" w:eastAsia="uk-UA" w:bidi="uk-UA"/>
      </w:rPr>
    </w:lvl>
    <w:lvl w:ilvl="2">
      <w:start w:val="0"/>
      <w:numFmt w:val="bullet"/>
      <w:lvlText w:val="•"/>
      <w:lvlJc w:val="left"/>
      <w:pPr>
        <w:ind w:left="2248" w:hanging="284"/>
      </w:pPr>
      <w:rPr>
        <w:rFonts w:hint="default"/>
        <w:lang w:val="uk-UA" w:eastAsia="uk-UA" w:bidi="uk-UA"/>
      </w:rPr>
    </w:lvl>
    <w:lvl w:ilvl="3">
      <w:start w:val="0"/>
      <w:numFmt w:val="bullet"/>
      <w:lvlText w:val="•"/>
      <w:lvlJc w:val="left"/>
      <w:pPr>
        <w:ind w:left="3273" w:hanging="284"/>
      </w:pPr>
      <w:rPr>
        <w:rFonts w:hint="default"/>
        <w:lang w:val="uk-UA" w:eastAsia="uk-UA" w:bidi="uk-UA"/>
      </w:rPr>
    </w:lvl>
    <w:lvl w:ilvl="4">
      <w:start w:val="0"/>
      <w:numFmt w:val="bullet"/>
      <w:lvlText w:val="•"/>
      <w:lvlJc w:val="left"/>
      <w:pPr>
        <w:ind w:left="4297" w:hanging="284"/>
      </w:pPr>
      <w:rPr>
        <w:rFonts w:hint="default"/>
        <w:lang w:val="uk-UA" w:eastAsia="uk-UA" w:bidi="uk-UA"/>
      </w:rPr>
    </w:lvl>
    <w:lvl w:ilvl="5">
      <w:start w:val="0"/>
      <w:numFmt w:val="bullet"/>
      <w:lvlText w:val="•"/>
      <w:lvlJc w:val="left"/>
      <w:pPr>
        <w:ind w:left="5322" w:hanging="284"/>
      </w:pPr>
      <w:rPr>
        <w:rFonts w:hint="default"/>
        <w:lang w:val="uk-UA" w:eastAsia="uk-UA" w:bidi="uk-UA"/>
      </w:rPr>
    </w:lvl>
    <w:lvl w:ilvl="6">
      <w:start w:val="0"/>
      <w:numFmt w:val="bullet"/>
      <w:lvlText w:val="•"/>
      <w:lvlJc w:val="left"/>
      <w:pPr>
        <w:ind w:left="6346" w:hanging="284"/>
      </w:pPr>
      <w:rPr>
        <w:rFonts w:hint="default"/>
        <w:lang w:val="uk-UA" w:eastAsia="uk-UA" w:bidi="uk-UA"/>
      </w:rPr>
    </w:lvl>
    <w:lvl w:ilvl="7">
      <w:start w:val="0"/>
      <w:numFmt w:val="bullet"/>
      <w:lvlText w:val="•"/>
      <w:lvlJc w:val="left"/>
      <w:pPr>
        <w:ind w:left="7370" w:hanging="284"/>
      </w:pPr>
      <w:rPr>
        <w:rFonts w:hint="default"/>
        <w:lang w:val="uk-UA" w:eastAsia="uk-UA" w:bidi="uk-UA"/>
      </w:rPr>
    </w:lvl>
    <w:lvl w:ilvl="8">
      <w:start w:val="0"/>
      <w:numFmt w:val="bullet"/>
      <w:lvlText w:val="•"/>
      <w:lvlJc w:val="left"/>
      <w:pPr>
        <w:ind w:left="8395" w:hanging="284"/>
      </w:pPr>
      <w:rPr>
        <w:rFonts w:hint="default"/>
        <w:lang w:val="uk-UA" w:eastAsia="uk-UA" w:bidi="uk-UA"/>
      </w:rPr>
    </w:lvl>
  </w:abstractNum>
  <w:abstractNum w:abstractNumId="17">
    <w:multiLevelType w:val="hybridMultilevel"/>
    <w:lvl w:ilvl="0">
      <w:start w:val="1"/>
      <w:numFmt w:val="decimal"/>
      <w:lvlText w:val="%1."/>
      <w:lvlJc w:val="left"/>
      <w:pPr>
        <w:ind w:left="193" w:hanging="308"/>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308"/>
      </w:pPr>
      <w:rPr>
        <w:rFonts w:hint="default"/>
        <w:lang w:val="uk-UA" w:eastAsia="uk-UA" w:bidi="uk-UA"/>
      </w:rPr>
    </w:lvl>
    <w:lvl w:ilvl="2">
      <w:start w:val="0"/>
      <w:numFmt w:val="bullet"/>
      <w:lvlText w:val="•"/>
      <w:lvlJc w:val="left"/>
      <w:pPr>
        <w:ind w:left="2248" w:hanging="308"/>
      </w:pPr>
      <w:rPr>
        <w:rFonts w:hint="default"/>
        <w:lang w:val="uk-UA" w:eastAsia="uk-UA" w:bidi="uk-UA"/>
      </w:rPr>
    </w:lvl>
    <w:lvl w:ilvl="3">
      <w:start w:val="0"/>
      <w:numFmt w:val="bullet"/>
      <w:lvlText w:val="•"/>
      <w:lvlJc w:val="left"/>
      <w:pPr>
        <w:ind w:left="3273" w:hanging="308"/>
      </w:pPr>
      <w:rPr>
        <w:rFonts w:hint="default"/>
        <w:lang w:val="uk-UA" w:eastAsia="uk-UA" w:bidi="uk-UA"/>
      </w:rPr>
    </w:lvl>
    <w:lvl w:ilvl="4">
      <w:start w:val="0"/>
      <w:numFmt w:val="bullet"/>
      <w:lvlText w:val="•"/>
      <w:lvlJc w:val="left"/>
      <w:pPr>
        <w:ind w:left="4297" w:hanging="308"/>
      </w:pPr>
      <w:rPr>
        <w:rFonts w:hint="default"/>
        <w:lang w:val="uk-UA" w:eastAsia="uk-UA" w:bidi="uk-UA"/>
      </w:rPr>
    </w:lvl>
    <w:lvl w:ilvl="5">
      <w:start w:val="0"/>
      <w:numFmt w:val="bullet"/>
      <w:lvlText w:val="•"/>
      <w:lvlJc w:val="left"/>
      <w:pPr>
        <w:ind w:left="5322" w:hanging="308"/>
      </w:pPr>
      <w:rPr>
        <w:rFonts w:hint="default"/>
        <w:lang w:val="uk-UA" w:eastAsia="uk-UA" w:bidi="uk-UA"/>
      </w:rPr>
    </w:lvl>
    <w:lvl w:ilvl="6">
      <w:start w:val="0"/>
      <w:numFmt w:val="bullet"/>
      <w:lvlText w:val="•"/>
      <w:lvlJc w:val="left"/>
      <w:pPr>
        <w:ind w:left="6346" w:hanging="308"/>
      </w:pPr>
      <w:rPr>
        <w:rFonts w:hint="default"/>
        <w:lang w:val="uk-UA" w:eastAsia="uk-UA" w:bidi="uk-UA"/>
      </w:rPr>
    </w:lvl>
    <w:lvl w:ilvl="7">
      <w:start w:val="0"/>
      <w:numFmt w:val="bullet"/>
      <w:lvlText w:val="•"/>
      <w:lvlJc w:val="left"/>
      <w:pPr>
        <w:ind w:left="7370" w:hanging="308"/>
      </w:pPr>
      <w:rPr>
        <w:rFonts w:hint="default"/>
        <w:lang w:val="uk-UA" w:eastAsia="uk-UA" w:bidi="uk-UA"/>
      </w:rPr>
    </w:lvl>
    <w:lvl w:ilvl="8">
      <w:start w:val="0"/>
      <w:numFmt w:val="bullet"/>
      <w:lvlText w:val="•"/>
      <w:lvlJc w:val="left"/>
      <w:pPr>
        <w:ind w:left="8395" w:hanging="308"/>
      </w:pPr>
      <w:rPr>
        <w:rFonts w:hint="default"/>
        <w:lang w:val="uk-UA" w:eastAsia="uk-UA" w:bidi="uk-UA"/>
      </w:rPr>
    </w:lvl>
  </w:abstractNum>
  <w:abstractNum w:abstractNumId="40">
    <w:multiLevelType w:val="hybridMultilevel"/>
    <w:lvl w:ilvl="0">
      <w:start w:val="1"/>
      <w:numFmt w:val="decimal"/>
      <w:lvlText w:val="%1."/>
      <w:lvlJc w:val="left"/>
      <w:pPr>
        <w:ind w:left="193" w:hanging="361"/>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361"/>
      </w:pPr>
      <w:rPr>
        <w:rFonts w:hint="default"/>
        <w:lang w:val="uk-UA" w:eastAsia="uk-UA" w:bidi="uk-UA"/>
      </w:rPr>
    </w:lvl>
    <w:lvl w:ilvl="2">
      <w:start w:val="0"/>
      <w:numFmt w:val="bullet"/>
      <w:lvlText w:val="•"/>
      <w:lvlJc w:val="left"/>
      <w:pPr>
        <w:ind w:left="2248" w:hanging="361"/>
      </w:pPr>
      <w:rPr>
        <w:rFonts w:hint="default"/>
        <w:lang w:val="uk-UA" w:eastAsia="uk-UA" w:bidi="uk-UA"/>
      </w:rPr>
    </w:lvl>
    <w:lvl w:ilvl="3">
      <w:start w:val="0"/>
      <w:numFmt w:val="bullet"/>
      <w:lvlText w:val="•"/>
      <w:lvlJc w:val="left"/>
      <w:pPr>
        <w:ind w:left="3273" w:hanging="361"/>
      </w:pPr>
      <w:rPr>
        <w:rFonts w:hint="default"/>
        <w:lang w:val="uk-UA" w:eastAsia="uk-UA" w:bidi="uk-UA"/>
      </w:rPr>
    </w:lvl>
    <w:lvl w:ilvl="4">
      <w:start w:val="0"/>
      <w:numFmt w:val="bullet"/>
      <w:lvlText w:val="•"/>
      <w:lvlJc w:val="left"/>
      <w:pPr>
        <w:ind w:left="4297" w:hanging="361"/>
      </w:pPr>
      <w:rPr>
        <w:rFonts w:hint="default"/>
        <w:lang w:val="uk-UA" w:eastAsia="uk-UA" w:bidi="uk-UA"/>
      </w:rPr>
    </w:lvl>
    <w:lvl w:ilvl="5">
      <w:start w:val="0"/>
      <w:numFmt w:val="bullet"/>
      <w:lvlText w:val="•"/>
      <w:lvlJc w:val="left"/>
      <w:pPr>
        <w:ind w:left="5322" w:hanging="361"/>
      </w:pPr>
      <w:rPr>
        <w:rFonts w:hint="default"/>
        <w:lang w:val="uk-UA" w:eastAsia="uk-UA" w:bidi="uk-UA"/>
      </w:rPr>
    </w:lvl>
    <w:lvl w:ilvl="6">
      <w:start w:val="0"/>
      <w:numFmt w:val="bullet"/>
      <w:lvlText w:val="•"/>
      <w:lvlJc w:val="left"/>
      <w:pPr>
        <w:ind w:left="6346" w:hanging="361"/>
      </w:pPr>
      <w:rPr>
        <w:rFonts w:hint="default"/>
        <w:lang w:val="uk-UA" w:eastAsia="uk-UA" w:bidi="uk-UA"/>
      </w:rPr>
    </w:lvl>
    <w:lvl w:ilvl="7">
      <w:start w:val="0"/>
      <w:numFmt w:val="bullet"/>
      <w:lvlText w:val="•"/>
      <w:lvlJc w:val="left"/>
      <w:pPr>
        <w:ind w:left="7370" w:hanging="361"/>
      </w:pPr>
      <w:rPr>
        <w:rFonts w:hint="default"/>
        <w:lang w:val="uk-UA" w:eastAsia="uk-UA" w:bidi="uk-UA"/>
      </w:rPr>
    </w:lvl>
    <w:lvl w:ilvl="8">
      <w:start w:val="0"/>
      <w:numFmt w:val="bullet"/>
      <w:lvlText w:val="•"/>
      <w:lvlJc w:val="left"/>
      <w:pPr>
        <w:ind w:left="8395" w:hanging="361"/>
      </w:pPr>
      <w:rPr>
        <w:rFonts w:hint="default"/>
        <w:lang w:val="uk-UA" w:eastAsia="uk-UA" w:bidi="uk-UA"/>
      </w:rPr>
    </w:lvl>
  </w:abstractNum>
  <w:abstractNum w:abstractNumId="37">
    <w:multiLevelType w:val="hybridMultilevel"/>
    <w:lvl w:ilvl="0">
      <w:start w:val="94"/>
      <w:numFmt w:val="decimal"/>
      <w:lvlText w:val="%1."/>
      <w:lvlJc w:val="left"/>
      <w:pPr>
        <w:ind w:left="615" w:hanging="423"/>
        <w:jc w:val="left"/>
      </w:pPr>
      <w:rPr>
        <w:rFonts w:hint="default" w:ascii="Times New Roman" w:hAnsi="Times New Roman" w:eastAsia="Times New Roman" w:cs="Times New Roman"/>
        <w:w w:val="99"/>
        <w:sz w:val="28"/>
        <w:szCs w:val="28"/>
        <w:lang w:val="uk-UA" w:eastAsia="uk-UA" w:bidi="uk-UA"/>
      </w:rPr>
    </w:lvl>
    <w:lvl w:ilvl="1">
      <w:start w:val="9"/>
      <w:numFmt w:val="decimal"/>
      <w:lvlText w:val="%2."/>
      <w:lvlJc w:val="left"/>
      <w:pPr>
        <w:ind w:left="193" w:hanging="303"/>
        <w:jc w:val="left"/>
      </w:pPr>
      <w:rPr>
        <w:rFonts w:hint="default" w:ascii="Times New Roman" w:hAnsi="Times New Roman" w:eastAsia="Times New Roman" w:cs="Times New Roman"/>
        <w:w w:val="99"/>
        <w:sz w:val="28"/>
        <w:szCs w:val="28"/>
        <w:lang w:val="uk-UA" w:eastAsia="uk-UA" w:bidi="uk-UA"/>
      </w:rPr>
    </w:lvl>
    <w:lvl w:ilvl="2">
      <w:start w:val="0"/>
      <w:numFmt w:val="bullet"/>
      <w:lvlText w:val="•"/>
      <w:lvlJc w:val="left"/>
      <w:pPr>
        <w:ind w:left="1711" w:hanging="303"/>
      </w:pPr>
      <w:rPr>
        <w:rFonts w:hint="default"/>
        <w:lang w:val="uk-UA" w:eastAsia="uk-UA" w:bidi="uk-UA"/>
      </w:rPr>
    </w:lvl>
    <w:lvl w:ilvl="3">
      <w:start w:val="0"/>
      <w:numFmt w:val="bullet"/>
      <w:lvlText w:val="•"/>
      <w:lvlJc w:val="left"/>
      <w:pPr>
        <w:ind w:left="2803" w:hanging="303"/>
      </w:pPr>
      <w:rPr>
        <w:rFonts w:hint="default"/>
        <w:lang w:val="uk-UA" w:eastAsia="uk-UA" w:bidi="uk-UA"/>
      </w:rPr>
    </w:lvl>
    <w:lvl w:ilvl="4">
      <w:start w:val="0"/>
      <w:numFmt w:val="bullet"/>
      <w:lvlText w:val="•"/>
      <w:lvlJc w:val="left"/>
      <w:pPr>
        <w:ind w:left="3894" w:hanging="303"/>
      </w:pPr>
      <w:rPr>
        <w:rFonts w:hint="default"/>
        <w:lang w:val="uk-UA" w:eastAsia="uk-UA" w:bidi="uk-UA"/>
      </w:rPr>
    </w:lvl>
    <w:lvl w:ilvl="5">
      <w:start w:val="0"/>
      <w:numFmt w:val="bullet"/>
      <w:lvlText w:val="•"/>
      <w:lvlJc w:val="left"/>
      <w:pPr>
        <w:ind w:left="4986" w:hanging="303"/>
      </w:pPr>
      <w:rPr>
        <w:rFonts w:hint="default"/>
        <w:lang w:val="uk-UA" w:eastAsia="uk-UA" w:bidi="uk-UA"/>
      </w:rPr>
    </w:lvl>
    <w:lvl w:ilvl="6">
      <w:start w:val="0"/>
      <w:numFmt w:val="bullet"/>
      <w:lvlText w:val="•"/>
      <w:lvlJc w:val="left"/>
      <w:pPr>
        <w:ind w:left="6077" w:hanging="303"/>
      </w:pPr>
      <w:rPr>
        <w:rFonts w:hint="default"/>
        <w:lang w:val="uk-UA" w:eastAsia="uk-UA" w:bidi="uk-UA"/>
      </w:rPr>
    </w:lvl>
    <w:lvl w:ilvl="7">
      <w:start w:val="0"/>
      <w:numFmt w:val="bullet"/>
      <w:lvlText w:val="•"/>
      <w:lvlJc w:val="left"/>
      <w:pPr>
        <w:ind w:left="7169" w:hanging="303"/>
      </w:pPr>
      <w:rPr>
        <w:rFonts w:hint="default"/>
        <w:lang w:val="uk-UA" w:eastAsia="uk-UA" w:bidi="uk-UA"/>
      </w:rPr>
    </w:lvl>
    <w:lvl w:ilvl="8">
      <w:start w:val="0"/>
      <w:numFmt w:val="bullet"/>
      <w:lvlText w:val="•"/>
      <w:lvlJc w:val="left"/>
      <w:pPr>
        <w:ind w:left="8260" w:hanging="303"/>
      </w:pPr>
      <w:rPr>
        <w:rFonts w:hint="default"/>
        <w:lang w:val="uk-UA" w:eastAsia="uk-UA" w:bidi="uk-UA"/>
      </w:rPr>
    </w:lvl>
  </w:abstractNum>
  <w:abstractNum w:abstractNumId="36">
    <w:multiLevelType w:val="hybridMultilevel"/>
    <w:lvl w:ilvl="0">
      <w:start w:val="1"/>
      <w:numFmt w:val="decimal"/>
      <w:lvlText w:val="%1."/>
      <w:lvlJc w:val="left"/>
      <w:pPr>
        <w:ind w:left="193" w:hanging="288"/>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288"/>
      </w:pPr>
      <w:rPr>
        <w:rFonts w:hint="default"/>
        <w:lang w:val="uk-UA" w:eastAsia="uk-UA" w:bidi="uk-UA"/>
      </w:rPr>
    </w:lvl>
    <w:lvl w:ilvl="2">
      <w:start w:val="0"/>
      <w:numFmt w:val="bullet"/>
      <w:lvlText w:val="•"/>
      <w:lvlJc w:val="left"/>
      <w:pPr>
        <w:ind w:left="2248" w:hanging="288"/>
      </w:pPr>
      <w:rPr>
        <w:rFonts w:hint="default"/>
        <w:lang w:val="uk-UA" w:eastAsia="uk-UA" w:bidi="uk-UA"/>
      </w:rPr>
    </w:lvl>
    <w:lvl w:ilvl="3">
      <w:start w:val="0"/>
      <w:numFmt w:val="bullet"/>
      <w:lvlText w:val="•"/>
      <w:lvlJc w:val="left"/>
      <w:pPr>
        <w:ind w:left="3273" w:hanging="288"/>
      </w:pPr>
      <w:rPr>
        <w:rFonts w:hint="default"/>
        <w:lang w:val="uk-UA" w:eastAsia="uk-UA" w:bidi="uk-UA"/>
      </w:rPr>
    </w:lvl>
    <w:lvl w:ilvl="4">
      <w:start w:val="0"/>
      <w:numFmt w:val="bullet"/>
      <w:lvlText w:val="•"/>
      <w:lvlJc w:val="left"/>
      <w:pPr>
        <w:ind w:left="4297" w:hanging="288"/>
      </w:pPr>
      <w:rPr>
        <w:rFonts w:hint="default"/>
        <w:lang w:val="uk-UA" w:eastAsia="uk-UA" w:bidi="uk-UA"/>
      </w:rPr>
    </w:lvl>
    <w:lvl w:ilvl="5">
      <w:start w:val="0"/>
      <w:numFmt w:val="bullet"/>
      <w:lvlText w:val="•"/>
      <w:lvlJc w:val="left"/>
      <w:pPr>
        <w:ind w:left="5322" w:hanging="288"/>
      </w:pPr>
      <w:rPr>
        <w:rFonts w:hint="default"/>
        <w:lang w:val="uk-UA" w:eastAsia="uk-UA" w:bidi="uk-UA"/>
      </w:rPr>
    </w:lvl>
    <w:lvl w:ilvl="6">
      <w:start w:val="0"/>
      <w:numFmt w:val="bullet"/>
      <w:lvlText w:val="•"/>
      <w:lvlJc w:val="left"/>
      <w:pPr>
        <w:ind w:left="6346" w:hanging="288"/>
      </w:pPr>
      <w:rPr>
        <w:rFonts w:hint="default"/>
        <w:lang w:val="uk-UA" w:eastAsia="uk-UA" w:bidi="uk-UA"/>
      </w:rPr>
    </w:lvl>
    <w:lvl w:ilvl="7">
      <w:start w:val="0"/>
      <w:numFmt w:val="bullet"/>
      <w:lvlText w:val="•"/>
      <w:lvlJc w:val="left"/>
      <w:pPr>
        <w:ind w:left="7370" w:hanging="288"/>
      </w:pPr>
      <w:rPr>
        <w:rFonts w:hint="default"/>
        <w:lang w:val="uk-UA" w:eastAsia="uk-UA" w:bidi="uk-UA"/>
      </w:rPr>
    </w:lvl>
    <w:lvl w:ilvl="8">
      <w:start w:val="0"/>
      <w:numFmt w:val="bullet"/>
      <w:lvlText w:val="•"/>
      <w:lvlJc w:val="left"/>
      <w:pPr>
        <w:ind w:left="8395" w:hanging="288"/>
      </w:pPr>
      <w:rPr>
        <w:rFonts w:hint="default"/>
        <w:lang w:val="uk-UA" w:eastAsia="uk-UA" w:bidi="uk-UA"/>
      </w:rPr>
    </w:lvl>
  </w:abstractNum>
  <w:abstractNum w:abstractNumId="35">
    <w:multiLevelType w:val="hybridMultilevel"/>
    <w:lvl w:ilvl="0">
      <w:start w:val="0"/>
      <w:numFmt w:val="bullet"/>
      <w:lvlText w:val=""/>
      <w:lvlJc w:val="left"/>
      <w:pPr>
        <w:ind w:left="206" w:hanging="207"/>
      </w:pPr>
      <w:rPr>
        <w:rFonts w:hint="default" w:ascii="Symbol" w:hAnsi="Symbol" w:eastAsia="Symbol" w:cs="Symbol"/>
        <w:w w:val="101"/>
        <w:sz w:val="28"/>
        <w:szCs w:val="28"/>
        <w:lang w:val="uk-UA" w:eastAsia="uk-UA" w:bidi="uk-UA"/>
      </w:rPr>
    </w:lvl>
    <w:lvl w:ilvl="1">
      <w:start w:val="0"/>
      <w:numFmt w:val="bullet"/>
      <w:lvlText w:val="•"/>
      <w:lvlJc w:val="left"/>
      <w:pPr>
        <w:ind w:left="216" w:hanging="207"/>
      </w:pPr>
      <w:rPr>
        <w:rFonts w:hint="default"/>
        <w:lang w:val="uk-UA" w:eastAsia="uk-UA" w:bidi="uk-UA"/>
      </w:rPr>
    </w:lvl>
    <w:lvl w:ilvl="2">
      <w:start w:val="0"/>
      <w:numFmt w:val="bullet"/>
      <w:lvlText w:val="•"/>
      <w:lvlJc w:val="left"/>
      <w:pPr>
        <w:ind w:left="232" w:hanging="207"/>
      </w:pPr>
      <w:rPr>
        <w:rFonts w:hint="default"/>
        <w:lang w:val="uk-UA" w:eastAsia="uk-UA" w:bidi="uk-UA"/>
      </w:rPr>
    </w:lvl>
    <w:lvl w:ilvl="3">
      <w:start w:val="0"/>
      <w:numFmt w:val="bullet"/>
      <w:lvlText w:val="•"/>
      <w:lvlJc w:val="left"/>
      <w:pPr>
        <w:ind w:left="249" w:hanging="207"/>
      </w:pPr>
      <w:rPr>
        <w:rFonts w:hint="default"/>
        <w:lang w:val="uk-UA" w:eastAsia="uk-UA" w:bidi="uk-UA"/>
      </w:rPr>
    </w:lvl>
    <w:lvl w:ilvl="4">
      <w:start w:val="0"/>
      <w:numFmt w:val="bullet"/>
      <w:lvlText w:val="•"/>
      <w:lvlJc w:val="left"/>
      <w:pPr>
        <w:ind w:left="265" w:hanging="207"/>
      </w:pPr>
      <w:rPr>
        <w:rFonts w:hint="default"/>
        <w:lang w:val="uk-UA" w:eastAsia="uk-UA" w:bidi="uk-UA"/>
      </w:rPr>
    </w:lvl>
    <w:lvl w:ilvl="5">
      <w:start w:val="0"/>
      <w:numFmt w:val="bullet"/>
      <w:lvlText w:val="•"/>
      <w:lvlJc w:val="left"/>
      <w:pPr>
        <w:ind w:left="282" w:hanging="207"/>
      </w:pPr>
      <w:rPr>
        <w:rFonts w:hint="default"/>
        <w:lang w:val="uk-UA" w:eastAsia="uk-UA" w:bidi="uk-UA"/>
      </w:rPr>
    </w:lvl>
    <w:lvl w:ilvl="6">
      <w:start w:val="0"/>
      <w:numFmt w:val="bullet"/>
      <w:lvlText w:val="•"/>
      <w:lvlJc w:val="left"/>
      <w:pPr>
        <w:ind w:left="298" w:hanging="207"/>
      </w:pPr>
      <w:rPr>
        <w:rFonts w:hint="default"/>
        <w:lang w:val="uk-UA" w:eastAsia="uk-UA" w:bidi="uk-UA"/>
      </w:rPr>
    </w:lvl>
    <w:lvl w:ilvl="7">
      <w:start w:val="0"/>
      <w:numFmt w:val="bullet"/>
      <w:lvlText w:val="•"/>
      <w:lvlJc w:val="left"/>
      <w:pPr>
        <w:ind w:left="314" w:hanging="207"/>
      </w:pPr>
      <w:rPr>
        <w:rFonts w:hint="default"/>
        <w:lang w:val="uk-UA" w:eastAsia="uk-UA" w:bidi="uk-UA"/>
      </w:rPr>
    </w:lvl>
    <w:lvl w:ilvl="8">
      <w:start w:val="0"/>
      <w:numFmt w:val="bullet"/>
      <w:lvlText w:val="•"/>
      <w:lvlJc w:val="left"/>
      <w:pPr>
        <w:ind w:left="331" w:hanging="207"/>
      </w:pPr>
      <w:rPr>
        <w:rFonts w:hint="default"/>
        <w:lang w:val="uk-UA" w:eastAsia="uk-UA" w:bidi="uk-UA"/>
      </w:rPr>
    </w:lvl>
  </w:abstractNum>
  <w:abstractNum w:abstractNumId="34">
    <w:multiLevelType w:val="hybridMultilevel"/>
    <w:lvl w:ilvl="0">
      <w:start w:val="0"/>
      <w:numFmt w:val="bullet"/>
      <w:lvlText w:val="–"/>
      <w:lvlJc w:val="left"/>
      <w:pPr>
        <w:ind w:left="240" w:hanging="226"/>
      </w:pPr>
      <w:rPr>
        <w:rFonts w:hint="default" w:ascii="Times New Roman" w:hAnsi="Times New Roman" w:eastAsia="Times New Roman" w:cs="Times New Roman"/>
        <w:w w:val="99"/>
        <w:sz w:val="28"/>
        <w:szCs w:val="28"/>
        <w:lang w:val="uk-UA" w:eastAsia="uk-UA" w:bidi="uk-UA"/>
      </w:rPr>
    </w:lvl>
    <w:lvl w:ilvl="1">
      <w:start w:val="1"/>
      <w:numFmt w:val="decimal"/>
      <w:lvlText w:val="%2."/>
      <w:lvlJc w:val="left"/>
      <w:pPr>
        <w:ind w:left="1186" w:hanging="283"/>
        <w:jc w:val="left"/>
      </w:pPr>
      <w:rPr>
        <w:rFonts w:hint="default" w:ascii="Times New Roman" w:hAnsi="Times New Roman" w:eastAsia="Times New Roman" w:cs="Times New Roman"/>
        <w:w w:val="99"/>
        <w:sz w:val="28"/>
        <w:szCs w:val="28"/>
        <w:lang w:val="uk-UA" w:eastAsia="uk-UA" w:bidi="uk-UA"/>
      </w:rPr>
    </w:lvl>
    <w:lvl w:ilvl="2">
      <w:start w:val="0"/>
      <w:numFmt w:val="bullet"/>
      <w:lvlText w:val="•"/>
      <w:lvlJc w:val="left"/>
      <w:pPr>
        <w:ind w:left="4140" w:hanging="283"/>
      </w:pPr>
      <w:rPr>
        <w:rFonts w:hint="default"/>
        <w:lang w:val="uk-UA" w:eastAsia="uk-UA" w:bidi="uk-UA"/>
      </w:rPr>
    </w:lvl>
    <w:lvl w:ilvl="3">
      <w:start w:val="0"/>
      <w:numFmt w:val="bullet"/>
      <w:lvlText w:val="•"/>
      <w:lvlJc w:val="left"/>
      <w:pPr>
        <w:ind w:left="3964" w:hanging="283"/>
      </w:pPr>
      <w:rPr>
        <w:rFonts w:hint="default"/>
        <w:lang w:val="uk-UA" w:eastAsia="uk-UA" w:bidi="uk-UA"/>
      </w:rPr>
    </w:lvl>
    <w:lvl w:ilvl="4">
      <w:start w:val="0"/>
      <w:numFmt w:val="bullet"/>
      <w:lvlText w:val="•"/>
      <w:lvlJc w:val="left"/>
      <w:pPr>
        <w:ind w:left="3788" w:hanging="283"/>
      </w:pPr>
      <w:rPr>
        <w:rFonts w:hint="default"/>
        <w:lang w:val="uk-UA" w:eastAsia="uk-UA" w:bidi="uk-UA"/>
      </w:rPr>
    </w:lvl>
    <w:lvl w:ilvl="5">
      <w:start w:val="0"/>
      <w:numFmt w:val="bullet"/>
      <w:lvlText w:val="•"/>
      <w:lvlJc w:val="left"/>
      <w:pPr>
        <w:ind w:left="3612" w:hanging="283"/>
      </w:pPr>
      <w:rPr>
        <w:rFonts w:hint="default"/>
        <w:lang w:val="uk-UA" w:eastAsia="uk-UA" w:bidi="uk-UA"/>
      </w:rPr>
    </w:lvl>
    <w:lvl w:ilvl="6">
      <w:start w:val="0"/>
      <w:numFmt w:val="bullet"/>
      <w:lvlText w:val="•"/>
      <w:lvlJc w:val="left"/>
      <w:pPr>
        <w:ind w:left="3436" w:hanging="283"/>
      </w:pPr>
      <w:rPr>
        <w:rFonts w:hint="default"/>
        <w:lang w:val="uk-UA" w:eastAsia="uk-UA" w:bidi="uk-UA"/>
      </w:rPr>
    </w:lvl>
    <w:lvl w:ilvl="7">
      <w:start w:val="0"/>
      <w:numFmt w:val="bullet"/>
      <w:lvlText w:val="•"/>
      <w:lvlJc w:val="left"/>
      <w:pPr>
        <w:ind w:left="3260" w:hanging="283"/>
      </w:pPr>
      <w:rPr>
        <w:rFonts w:hint="default"/>
        <w:lang w:val="uk-UA" w:eastAsia="uk-UA" w:bidi="uk-UA"/>
      </w:rPr>
    </w:lvl>
    <w:lvl w:ilvl="8">
      <w:start w:val="0"/>
      <w:numFmt w:val="bullet"/>
      <w:lvlText w:val="•"/>
      <w:lvlJc w:val="left"/>
      <w:pPr>
        <w:ind w:left="3084" w:hanging="283"/>
      </w:pPr>
      <w:rPr>
        <w:rFonts w:hint="default"/>
        <w:lang w:val="uk-UA" w:eastAsia="uk-UA" w:bidi="uk-UA"/>
      </w:rPr>
    </w:lvl>
  </w:abstractNum>
  <w:abstractNum w:abstractNumId="33">
    <w:multiLevelType w:val="hybridMultilevel"/>
    <w:lvl w:ilvl="0">
      <w:start w:val="0"/>
      <w:numFmt w:val="bullet"/>
      <w:lvlText w:val=""/>
      <w:lvlJc w:val="left"/>
      <w:pPr>
        <w:ind w:left="272" w:hanging="212"/>
      </w:pPr>
      <w:rPr>
        <w:rFonts w:hint="default" w:ascii="Symbol" w:hAnsi="Symbol" w:eastAsia="Symbol" w:cs="Symbol"/>
        <w:w w:val="98"/>
        <w:sz w:val="28"/>
        <w:szCs w:val="28"/>
        <w:lang w:val="uk-UA" w:eastAsia="uk-UA" w:bidi="uk-UA"/>
      </w:rPr>
    </w:lvl>
    <w:lvl w:ilvl="1">
      <w:start w:val="0"/>
      <w:numFmt w:val="bullet"/>
      <w:lvlText w:val="•"/>
      <w:lvlJc w:val="left"/>
      <w:pPr>
        <w:ind w:left="436" w:hanging="212"/>
      </w:pPr>
      <w:rPr>
        <w:rFonts w:hint="default"/>
        <w:lang w:val="uk-UA" w:eastAsia="uk-UA" w:bidi="uk-UA"/>
      </w:rPr>
    </w:lvl>
    <w:lvl w:ilvl="2">
      <w:start w:val="0"/>
      <w:numFmt w:val="bullet"/>
      <w:lvlText w:val="•"/>
      <w:lvlJc w:val="left"/>
      <w:pPr>
        <w:ind w:left="593" w:hanging="212"/>
      </w:pPr>
      <w:rPr>
        <w:rFonts w:hint="default"/>
        <w:lang w:val="uk-UA" w:eastAsia="uk-UA" w:bidi="uk-UA"/>
      </w:rPr>
    </w:lvl>
    <w:lvl w:ilvl="3">
      <w:start w:val="0"/>
      <w:numFmt w:val="bullet"/>
      <w:lvlText w:val="•"/>
      <w:lvlJc w:val="left"/>
      <w:pPr>
        <w:ind w:left="749" w:hanging="212"/>
      </w:pPr>
      <w:rPr>
        <w:rFonts w:hint="default"/>
        <w:lang w:val="uk-UA" w:eastAsia="uk-UA" w:bidi="uk-UA"/>
      </w:rPr>
    </w:lvl>
    <w:lvl w:ilvl="4">
      <w:start w:val="0"/>
      <w:numFmt w:val="bullet"/>
      <w:lvlText w:val="•"/>
      <w:lvlJc w:val="left"/>
      <w:pPr>
        <w:ind w:left="906" w:hanging="212"/>
      </w:pPr>
      <w:rPr>
        <w:rFonts w:hint="default"/>
        <w:lang w:val="uk-UA" w:eastAsia="uk-UA" w:bidi="uk-UA"/>
      </w:rPr>
    </w:lvl>
    <w:lvl w:ilvl="5">
      <w:start w:val="0"/>
      <w:numFmt w:val="bullet"/>
      <w:lvlText w:val="•"/>
      <w:lvlJc w:val="left"/>
      <w:pPr>
        <w:ind w:left="1062" w:hanging="212"/>
      </w:pPr>
      <w:rPr>
        <w:rFonts w:hint="default"/>
        <w:lang w:val="uk-UA" w:eastAsia="uk-UA" w:bidi="uk-UA"/>
      </w:rPr>
    </w:lvl>
    <w:lvl w:ilvl="6">
      <w:start w:val="0"/>
      <w:numFmt w:val="bullet"/>
      <w:lvlText w:val="•"/>
      <w:lvlJc w:val="left"/>
      <w:pPr>
        <w:ind w:left="1219" w:hanging="212"/>
      </w:pPr>
      <w:rPr>
        <w:rFonts w:hint="default"/>
        <w:lang w:val="uk-UA" w:eastAsia="uk-UA" w:bidi="uk-UA"/>
      </w:rPr>
    </w:lvl>
    <w:lvl w:ilvl="7">
      <w:start w:val="0"/>
      <w:numFmt w:val="bullet"/>
      <w:lvlText w:val="•"/>
      <w:lvlJc w:val="left"/>
      <w:pPr>
        <w:ind w:left="1376" w:hanging="212"/>
      </w:pPr>
      <w:rPr>
        <w:rFonts w:hint="default"/>
        <w:lang w:val="uk-UA" w:eastAsia="uk-UA" w:bidi="uk-UA"/>
      </w:rPr>
    </w:lvl>
    <w:lvl w:ilvl="8">
      <w:start w:val="0"/>
      <w:numFmt w:val="bullet"/>
      <w:lvlText w:val="•"/>
      <w:lvlJc w:val="left"/>
      <w:pPr>
        <w:ind w:left="1532" w:hanging="212"/>
      </w:pPr>
      <w:rPr>
        <w:rFonts w:hint="default"/>
        <w:lang w:val="uk-UA" w:eastAsia="uk-UA" w:bidi="uk-UA"/>
      </w:rPr>
    </w:lvl>
  </w:abstractNum>
  <w:abstractNum w:abstractNumId="31">
    <w:multiLevelType w:val="hybridMultilevel"/>
    <w:lvl w:ilvl="0">
      <w:start w:val="0"/>
      <w:numFmt w:val="bullet"/>
      <w:lvlText w:val="-"/>
      <w:lvlJc w:val="left"/>
      <w:pPr>
        <w:ind w:left="918" w:hanging="164"/>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872" w:hanging="164"/>
      </w:pPr>
      <w:rPr>
        <w:rFonts w:hint="default"/>
        <w:lang w:val="uk-UA" w:eastAsia="uk-UA" w:bidi="uk-UA"/>
      </w:rPr>
    </w:lvl>
    <w:lvl w:ilvl="2">
      <w:start w:val="0"/>
      <w:numFmt w:val="bullet"/>
      <w:lvlText w:val="•"/>
      <w:lvlJc w:val="left"/>
      <w:pPr>
        <w:ind w:left="2824" w:hanging="164"/>
      </w:pPr>
      <w:rPr>
        <w:rFonts w:hint="default"/>
        <w:lang w:val="uk-UA" w:eastAsia="uk-UA" w:bidi="uk-UA"/>
      </w:rPr>
    </w:lvl>
    <w:lvl w:ilvl="3">
      <w:start w:val="0"/>
      <w:numFmt w:val="bullet"/>
      <w:lvlText w:val="•"/>
      <w:lvlJc w:val="left"/>
      <w:pPr>
        <w:ind w:left="3777" w:hanging="164"/>
      </w:pPr>
      <w:rPr>
        <w:rFonts w:hint="default"/>
        <w:lang w:val="uk-UA" w:eastAsia="uk-UA" w:bidi="uk-UA"/>
      </w:rPr>
    </w:lvl>
    <w:lvl w:ilvl="4">
      <w:start w:val="0"/>
      <w:numFmt w:val="bullet"/>
      <w:lvlText w:val="•"/>
      <w:lvlJc w:val="left"/>
      <w:pPr>
        <w:ind w:left="4729" w:hanging="164"/>
      </w:pPr>
      <w:rPr>
        <w:rFonts w:hint="default"/>
        <w:lang w:val="uk-UA" w:eastAsia="uk-UA" w:bidi="uk-UA"/>
      </w:rPr>
    </w:lvl>
    <w:lvl w:ilvl="5">
      <w:start w:val="0"/>
      <w:numFmt w:val="bullet"/>
      <w:lvlText w:val="•"/>
      <w:lvlJc w:val="left"/>
      <w:pPr>
        <w:ind w:left="5682" w:hanging="164"/>
      </w:pPr>
      <w:rPr>
        <w:rFonts w:hint="default"/>
        <w:lang w:val="uk-UA" w:eastAsia="uk-UA" w:bidi="uk-UA"/>
      </w:rPr>
    </w:lvl>
    <w:lvl w:ilvl="6">
      <w:start w:val="0"/>
      <w:numFmt w:val="bullet"/>
      <w:lvlText w:val="•"/>
      <w:lvlJc w:val="left"/>
      <w:pPr>
        <w:ind w:left="6634" w:hanging="164"/>
      </w:pPr>
      <w:rPr>
        <w:rFonts w:hint="default"/>
        <w:lang w:val="uk-UA" w:eastAsia="uk-UA" w:bidi="uk-UA"/>
      </w:rPr>
    </w:lvl>
    <w:lvl w:ilvl="7">
      <w:start w:val="0"/>
      <w:numFmt w:val="bullet"/>
      <w:lvlText w:val="•"/>
      <w:lvlJc w:val="left"/>
      <w:pPr>
        <w:ind w:left="7586" w:hanging="164"/>
      </w:pPr>
      <w:rPr>
        <w:rFonts w:hint="default"/>
        <w:lang w:val="uk-UA" w:eastAsia="uk-UA" w:bidi="uk-UA"/>
      </w:rPr>
    </w:lvl>
    <w:lvl w:ilvl="8">
      <w:start w:val="0"/>
      <w:numFmt w:val="bullet"/>
      <w:lvlText w:val="•"/>
      <w:lvlJc w:val="left"/>
      <w:pPr>
        <w:ind w:left="8539" w:hanging="164"/>
      </w:pPr>
      <w:rPr>
        <w:rFonts w:hint="default"/>
        <w:lang w:val="uk-UA" w:eastAsia="uk-UA" w:bidi="uk-UA"/>
      </w:rPr>
    </w:lvl>
  </w:abstractNum>
  <w:abstractNum w:abstractNumId="29">
    <w:multiLevelType w:val="hybridMultilevel"/>
    <w:lvl w:ilvl="0">
      <w:start w:val="0"/>
      <w:numFmt w:val="bullet"/>
      <w:lvlText w:val="-"/>
      <w:lvlJc w:val="left"/>
      <w:pPr>
        <w:ind w:left="193" w:hanging="260"/>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260"/>
      </w:pPr>
      <w:rPr>
        <w:rFonts w:hint="default"/>
        <w:lang w:val="uk-UA" w:eastAsia="uk-UA" w:bidi="uk-UA"/>
      </w:rPr>
    </w:lvl>
    <w:lvl w:ilvl="2">
      <w:start w:val="0"/>
      <w:numFmt w:val="bullet"/>
      <w:lvlText w:val="•"/>
      <w:lvlJc w:val="left"/>
      <w:pPr>
        <w:ind w:left="2248" w:hanging="260"/>
      </w:pPr>
      <w:rPr>
        <w:rFonts w:hint="default"/>
        <w:lang w:val="uk-UA" w:eastAsia="uk-UA" w:bidi="uk-UA"/>
      </w:rPr>
    </w:lvl>
    <w:lvl w:ilvl="3">
      <w:start w:val="0"/>
      <w:numFmt w:val="bullet"/>
      <w:lvlText w:val="•"/>
      <w:lvlJc w:val="left"/>
      <w:pPr>
        <w:ind w:left="3273" w:hanging="260"/>
      </w:pPr>
      <w:rPr>
        <w:rFonts w:hint="default"/>
        <w:lang w:val="uk-UA" w:eastAsia="uk-UA" w:bidi="uk-UA"/>
      </w:rPr>
    </w:lvl>
    <w:lvl w:ilvl="4">
      <w:start w:val="0"/>
      <w:numFmt w:val="bullet"/>
      <w:lvlText w:val="•"/>
      <w:lvlJc w:val="left"/>
      <w:pPr>
        <w:ind w:left="4297" w:hanging="260"/>
      </w:pPr>
      <w:rPr>
        <w:rFonts w:hint="default"/>
        <w:lang w:val="uk-UA" w:eastAsia="uk-UA" w:bidi="uk-UA"/>
      </w:rPr>
    </w:lvl>
    <w:lvl w:ilvl="5">
      <w:start w:val="0"/>
      <w:numFmt w:val="bullet"/>
      <w:lvlText w:val="•"/>
      <w:lvlJc w:val="left"/>
      <w:pPr>
        <w:ind w:left="5322" w:hanging="260"/>
      </w:pPr>
      <w:rPr>
        <w:rFonts w:hint="default"/>
        <w:lang w:val="uk-UA" w:eastAsia="uk-UA" w:bidi="uk-UA"/>
      </w:rPr>
    </w:lvl>
    <w:lvl w:ilvl="6">
      <w:start w:val="0"/>
      <w:numFmt w:val="bullet"/>
      <w:lvlText w:val="•"/>
      <w:lvlJc w:val="left"/>
      <w:pPr>
        <w:ind w:left="6346" w:hanging="260"/>
      </w:pPr>
      <w:rPr>
        <w:rFonts w:hint="default"/>
        <w:lang w:val="uk-UA" w:eastAsia="uk-UA" w:bidi="uk-UA"/>
      </w:rPr>
    </w:lvl>
    <w:lvl w:ilvl="7">
      <w:start w:val="0"/>
      <w:numFmt w:val="bullet"/>
      <w:lvlText w:val="•"/>
      <w:lvlJc w:val="left"/>
      <w:pPr>
        <w:ind w:left="7370" w:hanging="260"/>
      </w:pPr>
      <w:rPr>
        <w:rFonts w:hint="default"/>
        <w:lang w:val="uk-UA" w:eastAsia="uk-UA" w:bidi="uk-UA"/>
      </w:rPr>
    </w:lvl>
    <w:lvl w:ilvl="8">
      <w:start w:val="0"/>
      <w:numFmt w:val="bullet"/>
      <w:lvlText w:val="•"/>
      <w:lvlJc w:val="left"/>
      <w:pPr>
        <w:ind w:left="8395" w:hanging="260"/>
      </w:pPr>
      <w:rPr>
        <w:rFonts w:hint="default"/>
        <w:lang w:val="uk-UA" w:eastAsia="uk-UA" w:bidi="uk-UA"/>
      </w:rPr>
    </w:lvl>
  </w:abstractNum>
  <w:abstractNum w:abstractNumId="28">
    <w:multiLevelType w:val="hybridMultilevel"/>
    <w:lvl w:ilvl="0">
      <w:start w:val="1"/>
      <w:numFmt w:val="decimal"/>
      <w:lvlText w:val="%1."/>
      <w:lvlJc w:val="left"/>
      <w:pPr>
        <w:ind w:left="193" w:hanging="279"/>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279"/>
      </w:pPr>
      <w:rPr>
        <w:rFonts w:hint="default"/>
        <w:lang w:val="uk-UA" w:eastAsia="uk-UA" w:bidi="uk-UA"/>
      </w:rPr>
    </w:lvl>
    <w:lvl w:ilvl="2">
      <w:start w:val="0"/>
      <w:numFmt w:val="bullet"/>
      <w:lvlText w:val="•"/>
      <w:lvlJc w:val="left"/>
      <w:pPr>
        <w:ind w:left="2248" w:hanging="279"/>
      </w:pPr>
      <w:rPr>
        <w:rFonts w:hint="default"/>
        <w:lang w:val="uk-UA" w:eastAsia="uk-UA" w:bidi="uk-UA"/>
      </w:rPr>
    </w:lvl>
    <w:lvl w:ilvl="3">
      <w:start w:val="0"/>
      <w:numFmt w:val="bullet"/>
      <w:lvlText w:val="•"/>
      <w:lvlJc w:val="left"/>
      <w:pPr>
        <w:ind w:left="3273" w:hanging="279"/>
      </w:pPr>
      <w:rPr>
        <w:rFonts w:hint="default"/>
        <w:lang w:val="uk-UA" w:eastAsia="uk-UA" w:bidi="uk-UA"/>
      </w:rPr>
    </w:lvl>
    <w:lvl w:ilvl="4">
      <w:start w:val="0"/>
      <w:numFmt w:val="bullet"/>
      <w:lvlText w:val="•"/>
      <w:lvlJc w:val="left"/>
      <w:pPr>
        <w:ind w:left="4297" w:hanging="279"/>
      </w:pPr>
      <w:rPr>
        <w:rFonts w:hint="default"/>
        <w:lang w:val="uk-UA" w:eastAsia="uk-UA" w:bidi="uk-UA"/>
      </w:rPr>
    </w:lvl>
    <w:lvl w:ilvl="5">
      <w:start w:val="0"/>
      <w:numFmt w:val="bullet"/>
      <w:lvlText w:val="•"/>
      <w:lvlJc w:val="left"/>
      <w:pPr>
        <w:ind w:left="5322" w:hanging="279"/>
      </w:pPr>
      <w:rPr>
        <w:rFonts w:hint="default"/>
        <w:lang w:val="uk-UA" w:eastAsia="uk-UA" w:bidi="uk-UA"/>
      </w:rPr>
    </w:lvl>
    <w:lvl w:ilvl="6">
      <w:start w:val="0"/>
      <w:numFmt w:val="bullet"/>
      <w:lvlText w:val="•"/>
      <w:lvlJc w:val="left"/>
      <w:pPr>
        <w:ind w:left="6346" w:hanging="279"/>
      </w:pPr>
      <w:rPr>
        <w:rFonts w:hint="default"/>
        <w:lang w:val="uk-UA" w:eastAsia="uk-UA" w:bidi="uk-UA"/>
      </w:rPr>
    </w:lvl>
    <w:lvl w:ilvl="7">
      <w:start w:val="0"/>
      <w:numFmt w:val="bullet"/>
      <w:lvlText w:val="•"/>
      <w:lvlJc w:val="left"/>
      <w:pPr>
        <w:ind w:left="7370" w:hanging="279"/>
      </w:pPr>
      <w:rPr>
        <w:rFonts w:hint="default"/>
        <w:lang w:val="uk-UA" w:eastAsia="uk-UA" w:bidi="uk-UA"/>
      </w:rPr>
    </w:lvl>
    <w:lvl w:ilvl="8">
      <w:start w:val="0"/>
      <w:numFmt w:val="bullet"/>
      <w:lvlText w:val="•"/>
      <w:lvlJc w:val="left"/>
      <w:pPr>
        <w:ind w:left="8395" w:hanging="279"/>
      </w:pPr>
      <w:rPr>
        <w:rFonts w:hint="default"/>
        <w:lang w:val="uk-UA" w:eastAsia="uk-UA" w:bidi="uk-UA"/>
      </w:rPr>
    </w:lvl>
  </w:abstractNum>
  <w:abstractNum w:abstractNumId="27">
    <w:multiLevelType w:val="hybridMultilevel"/>
    <w:lvl w:ilvl="0">
      <w:start w:val="1"/>
      <w:numFmt w:val="decimal"/>
      <w:lvlText w:val="%1."/>
      <w:lvlJc w:val="left"/>
      <w:pPr>
        <w:ind w:left="193" w:hanging="284"/>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284"/>
      </w:pPr>
      <w:rPr>
        <w:rFonts w:hint="default"/>
        <w:lang w:val="uk-UA" w:eastAsia="uk-UA" w:bidi="uk-UA"/>
      </w:rPr>
    </w:lvl>
    <w:lvl w:ilvl="2">
      <w:start w:val="0"/>
      <w:numFmt w:val="bullet"/>
      <w:lvlText w:val="•"/>
      <w:lvlJc w:val="left"/>
      <w:pPr>
        <w:ind w:left="2248" w:hanging="284"/>
      </w:pPr>
      <w:rPr>
        <w:rFonts w:hint="default"/>
        <w:lang w:val="uk-UA" w:eastAsia="uk-UA" w:bidi="uk-UA"/>
      </w:rPr>
    </w:lvl>
    <w:lvl w:ilvl="3">
      <w:start w:val="0"/>
      <w:numFmt w:val="bullet"/>
      <w:lvlText w:val="•"/>
      <w:lvlJc w:val="left"/>
      <w:pPr>
        <w:ind w:left="3273" w:hanging="284"/>
      </w:pPr>
      <w:rPr>
        <w:rFonts w:hint="default"/>
        <w:lang w:val="uk-UA" w:eastAsia="uk-UA" w:bidi="uk-UA"/>
      </w:rPr>
    </w:lvl>
    <w:lvl w:ilvl="4">
      <w:start w:val="0"/>
      <w:numFmt w:val="bullet"/>
      <w:lvlText w:val="•"/>
      <w:lvlJc w:val="left"/>
      <w:pPr>
        <w:ind w:left="4297" w:hanging="284"/>
      </w:pPr>
      <w:rPr>
        <w:rFonts w:hint="default"/>
        <w:lang w:val="uk-UA" w:eastAsia="uk-UA" w:bidi="uk-UA"/>
      </w:rPr>
    </w:lvl>
    <w:lvl w:ilvl="5">
      <w:start w:val="0"/>
      <w:numFmt w:val="bullet"/>
      <w:lvlText w:val="•"/>
      <w:lvlJc w:val="left"/>
      <w:pPr>
        <w:ind w:left="5322" w:hanging="284"/>
      </w:pPr>
      <w:rPr>
        <w:rFonts w:hint="default"/>
        <w:lang w:val="uk-UA" w:eastAsia="uk-UA" w:bidi="uk-UA"/>
      </w:rPr>
    </w:lvl>
    <w:lvl w:ilvl="6">
      <w:start w:val="0"/>
      <w:numFmt w:val="bullet"/>
      <w:lvlText w:val="•"/>
      <w:lvlJc w:val="left"/>
      <w:pPr>
        <w:ind w:left="6346" w:hanging="284"/>
      </w:pPr>
      <w:rPr>
        <w:rFonts w:hint="default"/>
        <w:lang w:val="uk-UA" w:eastAsia="uk-UA" w:bidi="uk-UA"/>
      </w:rPr>
    </w:lvl>
    <w:lvl w:ilvl="7">
      <w:start w:val="0"/>
      <w:numFmt w:val="bullet"/>
      <w:lvlText w:val="•"/>
      <w:lvlJc w:val="left"/>
      <w:pPr>
        <w:ind w:left="7370" w:hanging="284"/>
      </w:pPr>
      <w:rPr>
        <w:rFonts w:hint="default"/>
        <w:lang w:val="uk-UA" w:eastAsia="uk-UA" w:bidi="uk-UA"/>
      </w:rPr>
    </w:lvl>
    <w:lvl w:ilvl="8">
      <w:start w:val="0"/>
      <w:numFmt w:val="bullet"/>
      <w:lvlText w:val="•"/>
      <w:lvlJc w:val="left"/>
      <w:pPr>
        <w:ind w:left="8395" w:hanging="284"/>
      </w:pPr>
      <w:rPr>
        <w:rFonts w:hint="default"/>
        <w:lang w:val="uk-UA" w:eastAsia="uk-UA" w:bidi="uk-UA"/>
      </w:rPr>
    </w:lvl>
  </w:abstractNum>
  <w:abstractNum w:abstractNumId="26">
    <w:multiLevelType w:val="hybridMultilevel"/>
    <w:lvl w:ilvl="0">
      <w:start w:val="1"/>
      <w:numFmt w:val="decimal"/>
      <w:lvlText w:val="%1."/>
      <w:lvlJc w:val="left"/>
      <w:pPr>
        <w:ind w:left="193" w:hanging="707"/>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707"/>
      </w:pPr>
      <w:rPr>
        <w:rFonts w:hint="default"/>
        <w:lang w:val="uk-UA" w:eastAsia="uk-UA" w:bidi="uk-UA"/>
      </w:rPr>
    </w:lvl>
    <w:lvl w:ilvl="2">
      <w:start w:val="0"/>
      <w:numFmt w:val="bullet"/>
      <w:lvlText w:val="•"/>
      <w:lvlJc w:val="left"/>
      <w:pPr>
        <w:ind w:left="2248" w:hanging="707"/>
      </w:pPr>
      <w:rPr>
        <w:rFonts w:hint="default"/>
        <w:lang w:val="uk-UA" w:eastAsia="uk-UA" w:bidi="uk-UA"/>
      </w:rPr>
    </w:lvl>
    <w:lvl w:ilvl="3">
      <w:start w:val="0"/>
      <w:numFmt w:val="bullet"/>
      <w:lvlText w:val="•"/>
      <w:lvlJc w:val="left"/>
      <w:pPr>
        <w:ind w:left="3273" w:hanging="707"/>
      </w:pPr>
      <w:rPr>
        <w:rFonts w:hint="default"/>
        <w:lang w:val="uk-UA" w:eastAsia="uk-UA" w:bidi="uk-UA"/>
      </w:rPr>
    </w:lvl>
    <w:lvl w:ilvl="4">
      <w:start w:val="0"/>
      <w:numFmt w:val="bullet"/>
      <w:lvlText w:val="•"/>
      <w:lvlJc w:val="left"/>
      <w:pPr>
        <w:ind w:left="4297" w:hanging="707"/>
      </w:pPr>
      <w:rPr>
        <w:rFonts w:hint="default"/>
        <w:lang w:val="uk-UA" w:eastAsia="uk-UA" w:bidi="uk-UA"/>
      </w:rPr>
    </w:lvl>
    <w:lvl w:ilvl="5">
      <w:start w:val="0"/>
      <w:numFmt w:val="bullet"/>
      <w:lvlText w:val="•"/>
      <w:lvlJc w:val="left"/>
      <w:pPr>
        <w:ind w:left="5322" w:hanging="707"/>
      </w:pPr>
      <w:rPr>
        <w:rFonts w:hint="default"/>
        <w:lang w:val="uk-UA" w:eastAsia="uk-UA" w:bidi="uk-UA"/>
      </w:rPr>
    </w:lvl>
    <w:lvl w:ilvl="6">
      <w:start w:val="0"/>
      <w:numFmt w:val="bullet"/>
      <w:lvlText w:val="•"/>
      <w:lvlJc w:val="left"/>
      <w:pPr>
        <w:ind w:left="6346" w:hanging="707"/>
      </w:pPr>
      <w:rPr>
        <w:rFonts w:hint="default"/>
        <w:lang w:val="uk-UA" w:eastAsia="uk-UA" w:bidi="uk-UA"/>
      </w:rPr>
    </w:lvl>
    <w:lvl w:ilvl="7">
      <w:start w:val="0"/>
      <w:numFmt w:val="bullet"/>
      <w:lvlText w:val="•"/>
      <w:lvlJc w:val="left"/>
      <w:pPr>
        <w:ind w:left="7370" w:hanging="707"/>
      </w:pPr>
      <w:rPr>
        <w:rFonts w:hint="default"/>
        <w:lang w:val="uk-UA" w:eastAsia="uk-UA" w:bidi="uk-UA"/>
      </w:rPr>
    </w:lvl>
    <w:lvl w:ilvl="8">
      <w:start w:val="0"/>
      <w:numFmt w:val="bullet"/>
      <w:lvlText w:val="•"/>
      <w:lvlJc w:val="left"/>
      <w:pPr>
        <w:ind w:left="8395" w:hanging="707"/>
      </w:pPr>
      <w:rPr>
        <w:rFonts w:hint="default"/>
        <w:lang w:val="uk-UA" w:eastAsia="uk-UA" w:bidi="uk-UA"/>
      </w:rPr>
    </w:lvl>
  </w:abstractNum>
  <w:abstractNum w:abstractNumId="25">
    <w:multiLevelType w:val="hybridMultilevel"/>
    <w:lvl w:ilvl="0">
      <w:start w:val="1"/>
      <w:numFmt w:val="decimal"/>
      <w:lvlText w:val="%1."/>
      <w:lvlJc w:val="left"/>
      <w:pPr>
        <w:ind w:left="193" w:hanging="284"/>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284"/>
      </w:pPr>
      <w:rPr>
        <w:rFonts w:hint="default"/>
        <w:lang w:val="uk-UA" w:eastAsia="uk-UA" w:bidi="uk-UA"/>
      </w:rPr>
    </w:lvl>
    <w:lvl w:ilvl="2">
      <w:start w:val="0"/>
      <w:numFmt w:val="bullet"/>
      <w:lvlText w:val="•"/>
      <w:lvlJc w:val="left"/>
      <w:pPr>
        <w:ind w:left="2248" w:hanging="284"/>
      </w:pPr>
      <w:rPr>
        <w:rFonts w:hint="default"/>
        <w:lang w:val="uk-UA" w:eastAsia="uk-UA" w:bidi="uk-UA"/>
      </w:rPr>
    </w:lvl>
    <w:lvl w:ilvl="3">
      <w:start w:val="0"/>
      <w:numFmt w:val="bullet"/>
      <w:lvlText w:val="•"/>
      <w:lvlJc w:val="left"/>
      <w:pPr>
        <w:ind w:left="3273" w:hanging="284"/>
      </w:pPr>
      <w:rPr>
        <w:rFonts w:hint="default"/>
        <w:lang w:val="uk-UA" w:eastAsia="uk-UA" w:bidi="uk-UA"/>
      </w:rPr>
    </w:lvl>
    <w:lvl w:ilvl="4">
      <w:start w:val="0"/>
      <w:numFmt w:val="bullet"/>
      <w:lvlText w:val="•"/>
      <w:lvlJc w:val="left"/>
      <w:pPr>
        <w:ind w:left="4297" w:hanging="284"/>
      </w:pPr>
      <w:rPr>
        <w:rFonts w:hint="default"/>
        <w:lang w:val="uk-UA" w:eastAsia="uk-UA" w:bidi="uk-UA"/>
      </w:rPr>
    </w:lvl>
    <w:lvl w:ilvl="5">
      <w:start w:val="0"/>
      <w:numFmt w:val="bullet"/>
      <w:lvlText w:val="•"/>
      <w:lvlJc w:val="left"/>
      <w:pPr>
        <w:ind w:left="5322" w:hanging="284"/>
      </w:pPr>
      <w:rPr>
        <w:rFonts w:hint="default"/>
        <w:lang w:val="uk-UA" w:eastAsia="uk-UA" w:bidi="uk-UA"/>
      </w:rPr>
    </w:lvl>
    <w:lvl w:ilvl="6">
      <w:start w:val="0"/>
      <w:numFmt w:val="bullet"/>
      <w:lvlText w:val="•"/>
      <w:lvlJc w:val="left"/>
      <w:pPr>
        <w:ind w:left="6346" w:hanging="284"/>
      </w:pPr>
      <w:rPr>
        <w:rFonts w:hint="default"/>
        <w:lang w:val="uk-UA" w:eastAsia="uk-UA" w:bidi="uk-UA"/>
      </w:rPr>
    </w:lvl>
    <w:lvl w:ilvl="7">
      <w:start w:val="0"/>
      <w:numFmt w:val="bullet"/>
      <w:lvlText w:val="•"/>
      <w:lvlJc w:val="left"/>
      <w:pPr>
        <w:ind w:left="7370" w:hanging="284"/>
      </w:pPr>
      <w:rPr>
        <w:rFonts w:hint="default"/>
        <w:lang w:val="uk-UA" w:eastAsia="uk-UA" w:bidi="uk-UA"/>
      </w:rPr>
    </w:lvl>
    <w:lvl w:ilvl="8">
      <w:start w:val="0"/>
      <w:numFmt w:val="bullet"/>
      <w:lvlText w:val="•"/>
      <w:lvlJc w:val="left"/>
      <w:pPr>
        <w:ind w:left="8395" w:hanging="284"/>
      </w:pPr>
      <w:rPr>
        <w:rFonts w:hint="default"/>
        <w:lang w:val="uk-UA" w:eastAsia="uk-UA" w:bidi="uk-UA"/>
      </w:rPr>
    </w:lvl>
  </w:abstractNum>
  <w:abstractNum w:abstractNumId="24">
    <w:multiLevelType w:val="hybridMultilevel"/>
    <w:lvl w:ilvl="0">
      <w:start w:val="0"/>
      <w:numFmt w:val="bullet"/>
      <w:lvlText w:val="-"/>
      <w:lvlJc w:val="left"/>
      <w:pPr>
        <w:ind w:left="193" w:hanging="284"/>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284"/>
      </w:pPr>
      <w:rPr>
        <w:rFonts w:hint="default"/>
        <w:lang w:val="uk-UA" w:eastAsia="uk-UA" w:bidi="uk-UA"/>
      </w:rPr>
    </w:lvl>
    <w:lvl w:ilvl="2">
      <w:start w:val="0"/>
      <w:numFmt w:val="bullet"/>
      <w:lvlText w:val="•"/>
      <w:lvlJc w:val="left"/>
      <w:pPr>
        <w:ind w:left="2248" w:hanging="284"/>
      </w:pPr>
      <w:rPr>
        <w:rFonts w:hint="default"/>
        <w:lang w:val="uk-UA" w:eastAsia="uk-UA" w:bidi="uk-UA"/>
      </w:rPr>
    </w:lvl>
    <w:lvl w:ilvl="3">
      <w:start w:val="0"/>
      <w:numFmt w:val="bullet"/>
      <w:lvlText w:val="•"/>
      <w:lvlJc w:val="left"/>
      <w:pPr>
        <w:ind w:left="3273" w:hanging="284"/>
      </w:pPr>
      <w:rPr>
        <w:rFonts w:hint="default"/>
        <w:lang w:val="uk-UA" w:eastAsia="uk-UA" w:bidi="uk-UA"/>
      </w:rPr>
    </w:lvl>
    <w:lvl w:ilvl="4">
      <w:start w:val="0"/>
      <w:numFmt w:val="bullet"/>
      <w:lvlText w:val="•"/>
      <w:lvlJc w:val="left"/>
      <w:pPr>
        <w:ind w:left="4297" w:hanging="284"/>
      </w:pPr>
      <w:rPr>
        <w:rFonts w:hint="default"/>
        <w:lang w:val="uk-UA" w:eastAsia="uk-UA" w:bidi="uk-UA"/>
      </w:rPr>
    </w:lvl>
    <w:lvl w:ilvl="5">
      <w:start w:val="0"/>
      <w:numFmt w:val="bullet"/>
      <w:lvlText w:val="•"/>
      <w:lvlJc w:val="left"/>
      <w:pPr>
        <w:ind w:left="5322" w:hanging="284"/>
      </w:pPr>
      <w:rPr>
        <w:rFonts w:hint="default"/>
        <w:lang w:val="uk-UA" w:eastAsia="uk-UA" w:bidi="uk-UA"/>
      </w:rPr>
    </w:lvl>
    <w:lvl w:ilvl="6">
      <w:start w:val="0"/>
      <w:numFmt w:val="bullet"/>
      <w:lvlText w:val="•"/>
      <w:lvlJc w:val="left"/>
      <w:pPr>
        <w:ind w:left="6346" w:hanging="284"/>
      </w:pPr>
      <w:rPr>
        <w:rFonts w:hint="default"/>
        <w:lang w:val="uk-UA" w:eastAsia="uk-UA" w:bidi="uk-UA"/>
      </w:rPr>
    </w:lvl>
    <w:lvl w:ilvl="7">
      <w:start w:val="0"/>
      <w:numFmt w:val="bullet"/>
      <w:lvlText w:val="•"/>
      <w:lvlJc w:val="left"/>
      <w:pPr>
        <w:ind w:left="7370" w:hanging="284"/>
      </w:pPr>
      <w:rPr>
        <w:rFonts w:hint="default"/>
        <w:lang w:val="uk-UA" w:eastAsia="uk-UA" w:bidi="uk-UA"/>
      </w:rPr>
    </w:lvl>
    <w:lvl w:ilvl="8">
      <w:start w:val="0"/>
      <w:numFmt w:val="bullet"/>
      <w:lvlText w:val="•"/>
      <w:lvlJc w:val="left"/>
      <w:pPr>
        <w:ind w:left="8395" w:hanging="284"/>
      </w:pPr>
      <w:rPr>
        <w:rFonts w:hint="default"/>
        <w:lang w:val="uk-UA" w:eastAsia="uk-UA" w:bidi="uk-UA"/>
      </w:rPr>
    </w:lvl>
  </w:abstractNum>
  <w:abstractNum w:abstractNumId="23">
    <w:multiLevelType w:val="hybridMultilevel"/>
    <w:lvl w:ilvl="0">
      <w:start w:val="1"/>
      <w:numFmt w:val="decimal"/>
      <w:lvlText w:val="%1."/>
      <w:lvlJc w:val="left"/>
      <w:pPr>
        <w:ind w:left="193" w:hanging="707"/>
        <w:jc w:val="left"/>
      </w:pPr>
      <w:rPr>
        <w:rFonts w:hint="default" w:ascii="Times New Roman" w:hAnsi="Times New Roman" w:eastAsia="Times New Roman" w:cs="Times New Roman"/>
        <w:w w:val="99"/>
        <w:sz w:val="28"/>
        <w:szCs w:val="28"/>
        <w:lang w:val="uk-UA" w:eastAsia="uk-UA" w:bidi="uk-UA"/>
      </w:rPr>
    </w:lvl>
    <w:lvl w:ilvl="1">
      <w:start w:val="1"/>
      <w:numFmt w:val="decimal"/>
      <w:lvlText w:val="%2."/>
      <w:lvlJc w:val="left"/>
      <w:pPr>
        <w:ind w:left="1446" w:hanging="274"/>
        <w:jc w:val="right"/>
      </w:pPr>
      <w:rPr>
        <w:rFonts w:hint="default" w:ascii="Times New Roman" w:hAnsi="Times New Roman" w:eastAsia="Times New Roman" w:cs="Times New Roman"/>
        <w:spacing w:val="-30"/>
        <w:w w:val="100"/>
        <w:sz w:val="24"/>
        <w:szCs w:val="24"/>
        <w:lang w:val="uk-UA" w:eastAsia="uk-UA" w:bidi="uk-UA"/>
      </w:rPr>
    </w:lvl>
    <w:lvl w:ilvl="2">
      <w:start w:val="0"/>
      <w:numFmt w:val="bullet"/>
      <w:lvlText w:val="•"/>
      <w:lvlJc w:val="left"/>
      <w:pPr>
        <w:ind w:left="1440" w:hanging="274"/>
      </w:pPr>
      <w:rPr>
        <w:rFonts w:hint="default"/>
        <w:lang w:val="uk-UA" w:eastAsia="uk-UA" w:bidi="uk-UA"/>
      </w:rPr>
    </w:lvl>
    <w:lvl w:ilvl="3">
      <w:start w:val="0"/>
      <w:numFmt w:val="bullet"/>
      <w:lvlText w:val="•"/>
      <w:lvlJc w:val="left"/>
      <w:pPr>
        <w:ind w:left="1799" w:hanging="274"/>
      </w:pPr>
      <w:rPr>
        <w:rFonts w:hint="default"/>
        <w:lang w:val="uk-UA" w:eastAsia="uk-UA" w:bidi="uk-UA"/>
      </w:rPr>
    </w:lvl>
    <w:lvl w:ilvl="4">
      <w:start w:val="0"/>
      <w:numFmt w:val="bullet"/>
      <w:lvlText w:val="•"/>
      <w:lvlJc w:val="left"/>
      <w:pPr>
        <w:ind w:left="2159" w:hanging="274"/>
      </w:pPr>
      <w:rPr>
        <w:rFonts w:hint="default"/>
        <w:lang w:val="uk-UA" w:eastAsia="uk-UA" w:bidi="uk-UA"/>
      </w:rPr>
    </w:lvl>
    <w:lvl w:ilvl="5">
      <w:start w:val="0"/>
      <w:numFmt w:val="bullet"/>
      <w:lvlText w:val="•"/>
      <w:lvlJc w:val="left"/>
      <w:pPr>
        <w:ind w:left="2518" w:hanging="274"/>
      </w:pPr>
      <w:rPr>
        <w:rFonts w:hint="default"/>
        <w:lang w:val="uk-UA" w:eastAsia="uk-UA" w:bidi="uk-UA"/>
      </w:rPr>
    </w:lvl>
    <w:lvl w:ilvl="6">
      <w:start w:val="0"/>
      <w:numFmt w:val="bullet"/>
      <w:lvlText w:val="•"/>
      <w:lvlJc w:val="left"/>
      <w:pPr>
        <w:ind w:left="2878" w:hanging="274"/>
      </w:pPr>
      <w:rPr>
        <w:rFonts w:hint="default"/>
        <w:lang w:val="uk-UA" w:eastAsia="uk-UA" w:bidi="uk-UA"/>
      </w:rPr>
    </w:lvl>
    <w:lvl w:ilvl="7">
      <w:start w:val="0"/>
      <w:numFmt w:val="bullet"/>
      <w:lvlText w:val="•"/>
      <w:lvlJc w:val="left"/>
      <w:pPr>
        <w:ind w:left="3238" w:hanging="274"/>
      </w:pPr>
      <w:rPr>
        <w:rFonts w:hint="default"/>
        <w:lang w:val="uk-UA" w:eastAsia="uk-UA" w:bidi="uk-UA"/>
      </w:rPr>
    </w:lvl>
    <w:lvl w:ilvl="8">
      <w:start w:val="0"/>
      <w:numFmt w:val="bullet"/>
      <w:lvlText w:val="•"/>
      <w:lvlJc w:val="left"/>
      <w:pPr>
        <w:ind w:left="3597" w:hanging="274"/>
      </w:pPr>
      <w:rPr>
        <w:rFonts w:hint="default"/>
        <w:lang w:val="uk-UA" w:eastAsia="uk-UA" w:bidi="uk-UA"/>
      </w:rPr>
    </w:lvl>
  </w:abstractNum>
  <w:abstractNum w:abstractNumId="22">
    <w:multiLevelType w:val="hybridMultilevel"/>
    <w:lvl w:ilvl="0">
      <w:start w:val="22"/>
      <w:numFmt w:val="decimal"/>
      <w:lvlText w:val="%1."/>
      <w:lvlJc w:val="left"/>
      <w:pPr>
        <w:ind w:left="193" w:hanging="485"/>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485"/>
      </w:pPr>
      <w:rPr>
        <w:rFonts w:hint="default"/>
        <w:lang w:val="uk-UA" w:eastAsia="uk-UA" w:bidi="uk-UA"/>
      </w:rPr>
    </w:lvl>
    <w:lvl w:ilvl="2">
      <w:start w:val="0"/>
      <w:numFmt w:val="bullet"/>
      <w:lvlText w:val="•"/>
      <w:lvlJc w:val="left"/>
      <w:pPr>
        <w:ind w:left="2248" w:hanging="485"/>
      </w:pPr>
      <w:rPr>
        <w:rFonts w:hint="default"/>
        <w:lang w:val="uk-UA" w:eastAsia="uk-UA" w:bidi="uk-UA"/>
      </w:rPr>
    </w:lvl>
    <w:lvl w:ilvl="3">
      <w:start w:val="0"/>
      <w:numFmt w:val="bullet"/>
      <w:lvlText w:val="•"/>
      <w:lvlJc w:val="left"/>
      <w:pPr>
        <w:ind w:left="3273" w:hanging="485"/>
      </w:pPr>
      <w:rPr>
        <w:rFonts w:hint="default"/>
        <w:lang w:val="uk-UA" w:eastAsia="uk-UA" w:bidi="uk-UA"/>
      </w:rPr>
    </w:lvl>
    <w:lvl w:ilvl="4">
      <w:start w:val="0"/>
      <w:numFmt w:val="bullet"/>
      <w:lvlText w:val="•"/>
      <w:lvlJc w:val="left"/>
      <w:pPr>
        <w:ind w:left="4297" w:hanging="485"/>
      </w:pPr>
      <w:rPr>
        <w:rFonts w:hint="default"/>
        <w:lang w:val="uk-UA" w:eastAsia="uk-UA" w:bidi="uk-UA"/>
      </w:rPr>
    </w:lvl>
    <w:lvl w:ilvl="5">
      <w:start w:val="0"/>
      <w:numFmt w:val="bullet"/>
      <w:lvlText w:val="•"/>
      <w:lvlJc w:val="left"/>
      <w:pPr>
        <w:ind w:left="5322" w:hanging="485"/>
      </w:pPr>
      <w:rPr>
        <w:rFonts w:hint="default"/>
        <w:lang w:val="uk-UA" w:eastAsia="uk-UA" w:bidi="uk-UA"/>
      </w:rPr>
    </w:lvl>
    <w:lvl w:ilvl="6">
      <w:start w:val="0"/>
      <w:numFmt w:val="bullet"/>
      <w:lvlText w:val="•"/>
      <w:lvlJc w:val="left"/>
      <w:pPr>
        <w:ind w:left="6346" w:hanging="485"/>
      </w:pPr>
      <w:rPr>
        <w:rFonts w:hint="default"/>
        <w:lang w:val="uk-UA" w:eastAsia="uk-UA" w:bidi="uk-UA"/>
      </w:rPr>
    </w:lvl>
    <w:lvl w:ilvl="7">
      <w:start w:val="0"/>
      <w:numFmt w:val="bullet"/>
      <w:lvlText w:val="•"/>
      <w:lvlJc w:val="left"/>
      <w:pPr>
        <w:ind w:left="7370" w:hanging="485"/>
      </w:pPr>
      <w:rPr>
        <w:rFonts w:hint="default"/>
        <w:lang w:val="uk-UA" w:eastAsia="uk-UA" w:bidi="uk-UA"/>
      </w:rPr>
    </w:lvl>
    <w:lvl w:ilvl="8">
      <w:start w:val="0"/>
      <w:numFmt w:val="bullet"/>
      <w:lvlText w:val="•"/>
      <w:lvlJc w:val="left"/>
      <w:pPr>
        <w:ind w:left="8395" w:hanging="485"/>
      </w:pPr>
      <w:rPr>
        <w:rFonts w:hint="default"/>
        <w:lang w:val="uk-UA" w:eastAsia="uk-UA" w:bidi="uk-UA"/>
      </w:rPr>
    </w:lvl>
  </w:abstractNum>
  <w:abstractNum w:abstractNumId="21">
    <w:multiLevelType w:val="hybridMultilevel"/>
    <w:lvl w:ilvl="0">
      <w:start w:val="11"/>
      <w:numFmt w:val="decimal"/>
      <w:lvlText w:val="%1."/>
      <w:lvlJc w:val="left"/>
      <w:pPr>
        <w:ind w:left="193" w:hanging="413"/>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413"/>
      </w:pPr>
      <w:rPr>
        <w:rFonts w:hint="default"/>
        <w:lang w:val="uk-UA" w:eastAsia="uk-UA" w:bidi="uk-UA"/>
      </w:rPr>
    </w:lvl>
    <w:lvl w:ilvl="2">
      <w:start w:val="0"/>
      <w:numFmt w:val="bullet"/>
      <w:lvlText w:val="•"/>
      <w:lvlJc w:val="left"/>
      <w:pPr>
        <w:ind w:left="2248" w:hanging="413"/>
      </w:pPr>
      <w:rPr>
        <w:rFonts w:hint="default"/>
        <w:lang w:val="uk-UA" w:eastAsia="uk-UA" w:bidi="uk-UA"/>
      </w:rPr>
    </w:lvl>
    <w:lvl w:ilvl="3">
      <w:start w:val="0"/>
      <w:numFmt w:val="bullet"/>
      <w:lvlText w:val="•"/>
      <w:lvlJc w:val="left"/>
      <w:pPr>
        <w:ind w:left="3273" w:hanging="413"/>
      </w:pPr>
      <w:rPr>
        <w:rFonts w:hint="default"/>
        <w:lang w:val="uk-UA" w:eastAsia="uk-UA" w:bidi="uk-UA"/>
      </w:rPr>
    </w:lvl>
    <w:lvl w:ilvl="4">
      <w:start w:val="0"/>
      <w:numFmt w:val="bullet"/>
      <w:lvlText w:val="•"/>
      <w:lvlJc w:val="left"/>
      <w:pPr>
        <w:ind w:left="4297" w:hanging="413"/>
      </w:pPr>
      <w:rPr>
        <w:rFonts w:hint="default"/>
        <w:lang w:val="uk-UA" w:eastAsia="uk-UA" w:bidi="uk-UA"/>
      </w:rPr>
    </w:lvl>
    <w:lvl w:ilvl="5">
      <w:start w:val="0"/>
      <w:numFmt w:val="bullet"/>
      <w:lvlText w:val="•"/>
      <w:lvlJc w:val="left"/>
      <w:pPr>
        <w:ind w:left="5322" w:hanging="413"/>
      </w:pPr>
      <w:rPr>
        <w:rFonts w:hint="default"/>
        <w:lang w:val="uk-UA" w:eastAsia="uk-UA" w:bidi="uk-UA"/>
      </w:rPr>
    </w:lvl>
    <w:lvl w:ilvl="6">
      <w:start w:val="0"/>
      <w:numFmt w:val="bullet"/>
      <w:lvlText w:val="•"/>
      <w:lvlJc w:val="left"/>
      <w:pPr>
        <w:ind w:left="6346" w:hanging="413"/>
      </w:pPr>
      <w:rPr>
        <w:rFonts w:hint="default"/>
        <w:lang w:val="uk-UA" w:eastAsia="uk-UA" w:bidi="uk-UA"/>
      </w:rPr>
    </w:lvl>
    <w:lvl w:ilvl="7">
      <w:start w:val="0"/>
      <w:numFmt w:val="bullet"/>
      <w:lvlText w:val="•"/>
      <w:lvlJc w:val="left"/>
      <w:pPr>
        <w:ind w:left="7370" w:hanging="413"/>
      </w:pPr>
      <w:rPr>
        <w:rFonts w:hint="default"/>
        <w:lang w:val="uk-UA" w:eastAsia="uk-UA" w:bidi="uk-UA"/>
      </w:rPr>
    </w:lvl>
    <w:lvl w:ilvl="8">
      <w:start w:val="0"/>
      <w:numFmt w:val="bullet"/>
      <w:lvlText w:val="•"/>
      <w:lvlJc w:val="left"/>
      <w:pPr>
        <w:ind w:left="8395" w:hanging="413"/>
      </w:pPr>
      <w:rPr>
        <w:rFonts w:hint="default"/>
        <w:lang w:val="uk-UA" w:eastAsia="uk-UA" w:bidi="uk-UA"/>
      </w:rPr>
    </w:lvl>
  </w:abstractNum>
  <w:abstractNum w:abstractNumId="20">
    <w:multiLevelType w:val="hybridMultilevel"/>
    <w:lvl w:ilvl="0">
      <w:start w:val="1"/>
      <w:numFmt w:val="decimal"/>
      <w:lvlText w:val="%1."/>
      <w:lvlJc w:val="left"/>
      <w:pPr>
        <w:ind w:left="1239" w:hanging="336"/>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2160" w:hanging="336"/>
      </w:pPr>
      <w:rPr>
        <w:rFonts w:hint="default"/>
        <w:lang w:val="uk-UA" w:eastAsia="uk-UA" w:bidi="uk-UA"/>
      </w:rPr>
    </w:lvl>
    <w:lvl w:ilvl="2">
      <w:start w:val="0"/>
      <w:numFmt w:val="bullet"/>
      <w:lvlText w:val="•"/>
      <w:lvlJc w:val="left"/>
      <w:pPr>
        <w:ind w:left="3080" w:hanging="336"/>
      </w:pPr>
      <w:rPr>
        <w:rFonts w:hint="default"/>
        <w:lang w:val="uk-UA" w:eastAsia="uk-UA" w:bidi="uk-UA"/>
      </w:rPr>
    </w:lvl>
    <w:lvl w:ilvl="3">
      <w:start w:val="0"/>
      <w:numFmt w:val="bullet"/>
      <w:lvlText w:val="•"/>
      <w:lvlJc w:val="left"/>
      <w:pPr>
        <w:ind w:left="4001" w:hanging="336"/>
      </w:pPr>
      <w:rPr>
        <w:rFonts w:hint="default"/>
        <w:lang w:val="uk-UA" w:eastAsia="uk-UA" w:bidi="uk-UA"/>
      </w:rPr>
    </w:lvl>
    <w:lvl w:ilvl="4">
      <w:start w:val="0"/>
      <w:numFmt w:val="bullet"/>
      <w:lvlText w:val="•"/>
      <w:lvlJc w:val="left"/>
      <w:pPr>
        <w:ind w:left="4921" w:hanging="336"/>
      </w:pPr>
      <w:rPr>
        <w:rFonts w:hint="default"/>
        <w:lang w:val="uk-UA" w:eastAsia="uk-UA" w:bidi="uk-UA"/>
      </w:rPr>
    </w:lvl>
    <w:lvl w:ilvl="5">
      <w:start w:val="0"/>
      <w:numFmt w:val="bullet"/>
      <w:lvlText w:val="•"/>
      <w:lvlJc w:val="left"/>
      <w:pPr>
        <w:ind w:left="5842" w:hanging="336"/>
      </w:pPr>
      <w:rPr>
        <w:rFonts w:hint="default"/>
        <w:lang w:val="uk-UA" w:eastAsia="uk-UA" w:bidi="uk-UA"/>
      </w:rPr>
    </w:lvl>
    <w:lvl w:ilvl="6">
      <w:start w:val="0"/>
      <w:numFmt w:val="bullet"/>
      <w:lvlText w:val="•"/>
      <w:lvlJc w:val="left"/>
      <w:pPr>
        <w:ind w:left="6762" w:hanging="336"/>
      </w:pPr>
      <w:rPr>
        <w:rFonts w:hint="default"/>
        <w:lang w:val="uk-UA" w:eastAsia="uk-UA" w:bidi="uk-UA"/>
      </w:rPr>
    </w:lvl>
    <w:lvl w:ilvl="7">
      <w:start w:val="0"/>
      <w:numFmt w:val="bullet"/>
      <w:lvlText w:val="•"/>
      <w:lvlJc w:val="left"/>
      <w:pPr>
        <w:ind w:left="7682" w:hanging="336"/>
      </w:pPr>
      <w:rPr>
        <w:rFonts w:hint="default"/>
        <w:lang w:val="uk-UA" w:eastAsia="uk-UA" w:bidi="uk-UA"/>
      </w:rPr>
    </w:lvl>
    <w:lvl w:ilvl="8">
      <w:start w:val="0"/>
      <w:numFmt w:val="bullet"/>
      <w:lvlText w:val="•"/>
      <w:lvlJc w:val="left"/>
      <w:pPr>
        <w:ind w:left="8603" w:hanging="336"/>
      </w:pPr>
      <w:rPr>
        <w:rFonts w:hint="default"/>
        <w:lang w:val="uk-UA" w:eastAsia="uk-UA" w:bidi="uk-UA"/>
      </w:rPr>
    </w:lvl>
  </w:abstractNum>
  <w:abstractNum w:abstractNumId="19">
    <w:multiLevelType w:val="hybridMultilevel"/>
    <w:lvl w:ilvl="0">
      <w:start w:val="1"/>
      <w:numFmt w:val="decimal"/>
      <w:lvlText w:val="%1."/>
      <w:lvlJc w:val="left"/>
      <w:pPr>
        <w:ind w:left="193" w:hanging="212"/>
        <w:jc w:val="left"/>
      </w:pPr>
      <w:rPr>
        <w:rFonts w:hint="default" w:ascii="Times New Roman" w:hAnsi="Times New Roman" w:eastAsia="Times New Roman" w:cs="Times New Roman"/>
        <w:w w:val="99"/>
        <w:sz w:val="26"/>
        <w:szCs w:val="26"/>
        <w:lang w:val="uk-UA" w:eastAsia="uk-UA" w:bidi="uk-UA"/>
      </w:rPr>
    </w:lvl>
    <w:lvl w:ilvl="1">
      <w:start w:val="0"/>
      <w:numFmt w:val="bullet"/>
      <w:lvlText w:val="•"/>
      <w:lvlJc w:val="left"/>
      <w:pPr>
        <w:ind w:left="1224" w:hanging="212"/>
      </w:pPr>
      <w:rPr>
        <w:rFonts w:hint="default"/>
        <w:lang w:val="uk-UA" w:eastAsia="uk-UA" w:bidi="uk-UA"/>
      </w:rPr>
    </w:lvl>
    <w:lvl w:ilvl="2">
      <w:start w:val="0"/>
      <w:numFmt w:val="bullet"/>
      <w:lvlText w:val="•"/>
      <w:lvlJc w:val="left"/>
      <w:pPr>
        <w:ind w:left="2248" w:hanging="212"/>
      </w:pPr>
      <w:rPr>
        <w:rFonts w:hint="default"/>
        <w:lang w:val="uk-UA" w:eastAsia="uk-UA" w:bidi="uk-UA"/>
      </w:rPr>
    </w:lvl>
    <w:lvl w:ilvl="3">
      <w:start w:val="0"/>
      <w:numFmt w:val="bullet"/>
      <w:lvlText w:val="•"/>
      <w:lvlJc w:val="left"/>
      <w:pPr>
        <w:ind w:left="3273" w:hanging="212"/>
      </w:pPr>
      <w:rPr>
        <w:rFonts w:hint="default"/>
        <w:lang w:val="uk-UA" w:eastAsia="uk-UA" w:bidi="uk-UA"/>
      </w:rPr>
    </w:lvl>
    <w:lvl w:ilvl="4">
      <w:start w:val="0"/>
      <w:numFmt w:val="bullet"/>
      <w:lvlText w:val="•"/>
      <w:lvlJc w:val="left"/>
      <w:pPr>
        <w:ind w:left="4297" w:hanging="212"/>
      </w:pPr>
      <w:rPr>
        <w:rFonts w:hint="default"/>
        <w:lang w:val="uk-UA" w:eastAsia="uk-UA" w:bidi="uk-UA"/>
      </w:rPr>
    </w:lvl>
    <w:lvl w:ilvl="5">
      <w:start w:val="0"/>
      <w:numFmt w:val="bullet"/>
      <w:lvlText w:val="•"/>
      <w:lvlJc w:val="left"/>
      <w:pPr>
        <w:ind w:left="5322" w:hanging="212"/>
      </w:pPr>
      <w:rPr>
        <w:rFonts w:hint="default"/>
        <w:lang w:val="uk-UA" w:eastAsia="uk-UA" w:bidi="uk-UA"/>
      </w:rPr>
    </w:lvl>
    <w:lvl w:ilvl="6">
      <w:start w:val="0"/>
      <w:numFmt w:val="bullet"/>
      <w:lvlText w:val="•"/>
      <w:lvlJc w:val="left"/>
      <w:pPr>
        <w:ind w:left="6346" w:hanging="212"/>
      </w:pPr>
      <w:rPr>
        <w:rFonts w:hint="default"/>
        <w:lang w:val="uk-UA" w:eastAsia="uk-UA" w:bidi="uk-UA"/>
      </w:rPr>
    </w:lvl>
    <w:lvl w:ilvl="7">
      <w:start w:val="0"/>
      <w:numFmt w:val="bullet"/>
      <w:lvlText w:val="•"/>
      <w:lvlJc w:val="left"/>
      <w:pPr>
        <w:ind w:left="7370" w:hanging="212"/>
      </w:pPr>
      <w:rPr>
        <w:rFonts w:hint="default"/>
        <w:lang w:val="uk-UA" w:eastAsia="uk-UA" w:bidi="uk-UA"/>
      </w:rPr>
    </w:lvl>
    <w:lvl w:ilvl="8">
      <w:start w:val="0"/>
      <w:numFmt w:val="bullet"/>
      <w:lvlText w:val="•"/>
      <w:lvlJc w:val="left"/>
      <w:pPr>
        <w:ind w:left="8395" w:hanging="212"/>
      </w:pPr>
      <w:rPr>
        <w:rFonts w:hint="default"/>
        <w:lang w:val="uk-UA" w:eastAsia="uk-UA" w:bidi="uk-UA"/>
      </w:rPr>
    </w:lvl>
  </w:abstractNum>
  <w:abstractNum w:abstractNumId="18">
    <w:multiLevelType w:val="hybridMultilevel"/>
    <w:lvl w:ilvl="0">
      <w:start w:val="6"/>
      <w:numFmt w:val="decimal"/>
      <w:lvlText w:val="%1"/>
      <w:lvlJc w:val="left"/>
      <w:pPr>
        <w:ind w:left="193" w:hanging="471"/>
        <w:jc w:val="left"/>
      </w:pPr>
      <w:rPr>
        <w:rFonts w:hint="default"/>
        <w:lang w:val="uk-UA" w:eastAsia="uk-UA" w:bidi="uk-UA"/>
      </w:rPr>
    </w:lvl>
    <w:lvl w:ilvl="1">
      <w:start w:val="7"/>
      <w:numFmt w:val="decimal"/>
      <w:lvlText w:val="%1-%2"/>
      <w:lvlJc w:val="left"/>
      <w:pPr>
        <w:ind w:left="193" w:hanging="471"/>
        <w:jc w:val="left"/>
      </w:pPr>
      <w:rPr>
        <w:rFonts w:hint="default" w:ascii="Times New Roman" w:hAnsi="Times New Roman" w:eastAsia="Times New Roman" w:cs="Times New Roman"/>
        <w:spacing w:val="-2"/>
        <w:w w:val="99"/>
        <w:sz w:val="28"/>
        <w:szCs w:val="28"/>
        <w:lang w:val="uk-UA" w:eastAsia="uk-UA" w:bidi="uk-UA"/>
      </w:rPr>
    </w:lvl>
    <w:lvl w:ilvl="2">
      <w:start w:val="1"/>
      <w:numFmt w:val="decimal"/>
      <w:lvlText w:val="%3."/>
      <w:lvlJc w:val="left"/>
      <w:pPr>
        <w:ind w:left="193" w:hanging="221"/>
        <w:jc w:val="left"/>
      </w:pPr>
      <w:rPr>
        <w:rFonts w:hint="default" w:ascii="Times New Roman" w:hAnsi="Times New Roman" w:eastAsia="Times New Roman" w:cs="Times New Roman"/>
        <w:spacing w:val="4"/>
        <w:w w:val="99"/>
        <w:sz w:val="26"/>
        <w:szCs w:val="26"/>
        <w:lang w:val="uk-UA" w:eastAsia="uk-UA" w:bidi="uk-UA"/>
      </w:rPr>
    </w:lvl>
    <w:lvl w:ilvl="3">
      <w:start w:val="0"/>
      <w:numFmt w:val="bullet"/>
      <w:lvlText w:val="•"/>
      <w:lvlJc w:val="left"/>
      <w:pPr>
        <w:ind w:left="3273" w:hanging="221"/>
      </w:pPr>
      <w:rPr>
        <w:rFonts w:hint="default"/>
        <w:lang w:val="uk-UA" w:eastAsia="uk-UA" w:bidi="uk-UA"/>
      </w:rPr>
    </w:lvl>
    <w:lvl w:ilvl="4">
      <w:start w:val="0"/>
      <w:numFmt w:val="bullet"/>
      <w:lvlText w:val="•"/>
      <w:lvlJc w:val="left"/>
      <w:pPr>
        <w:ind w:left="4297" w:hanging="221"/>
      </w:pPr>
      <w:rPr>
        <w:rFonts w:hint="default"/>
        <w:lang w:val="uk-UA" w:eastAsia="uk-UA" w:bidi="uk-UA"/>
      </w:rPr>
    </w:lvl>
    <w:lvl w:ilvl="5">
      <w:start w:val="0"/>
      <w:numFmt w:val="bullet"/>
      <w:lvlText w:val="•"/>
      <w:lvlJc w:val="left"/>
      <w:pPr>
        <w:ind w:left="5322" w:hanging="221"/>
      </w:pPr>
      <w:rPr>
        <w:rFonts w:hint="default"/>
        <w:lang w:val="uk-UA" w:eastAsia="uk-UA" w:bidi="uk-UA"/>
      </w:rPr>
    </w:lvl>
    <w:lvl w:ilvl="6">
      <w:start w:val="0"/>
      <w:numFmt w:val="bullet"/>
      <w:lvlText w:val="•"/>
      <w:lvlJc w:val="left"/>
      <w:pPr>
        <w:ind w:left="6346" w:hanging="221"/>
      </w:pPr>
      <w:rPr>
        <w:rFonts w:hint="default"/>
        <w:lang w:val="uk-UA" w:eastAsia="uk-UA" w:bidi="uk-UA"/>
      </w:rPr>
    </w:lvl>
    <w:lvl w:ilvl="7">
      <w:start w:val="0"/>
      <w:numFmt w:val="bullet"/>
      <w:lvlText w:val="•"/>
      <w:lvlJc w:val="left"/>
      <w:pPr>
        <w:ind w:left="7370" w:hanging="221"/>
      </w:pPr>
      <w:rPr>
        <w:rFonts w:hint="default"/>
        <w:lang w:val="uk-UA" w:eastAsia="uk-UA" w:bidi="uk-UA"/>
      </w:rPr>
    </w:lvl>
    <w:lvl w:ilvl="8">
      <w:start w:val="0"/>
      <w:numFmt w:val="bullet"/>
      <w:lvlText w:val="•"/>
      <w:lvlJc w:val="left"/>
      <w:pPr>
        <w:ind w:left="8395" w:hanging="221"/>
      </w:pPr>
      <w:rPr>
        <w:rFonts w:hint="default"/>
        <w:lang w:val="uk-UA" w:eastAsia="uk-UA" w:bidi="uk-UA"/>
      </w:rPr>
    </w:lvl>
  </w:abstractNum>
  <w:abstractNum w:abstractNumId="16">
    <w:multiLevelType w:val="hybridMultilevel"/>
    <w:lvl w:ilvl="0">
      <w:start w:val="0"/>
      <w:numFmt w:val="bullet"/>
      <w:lvlText w:val="-"/>
      <w:lvlJc w:val="left"/>
      <w:pPr>
        <w:ind w:left="193" w:hanging="169"/>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169"/>
      </w:pPr>
      <w:rPr>
        <w:rFonts w:hint="default"/>
        <w:lang w:val="uk-UA" w:eastAsia="uk-UA" w:bidi="uk-UA"/>
      </w:rPr>
    </w:lvl>
    <w:lvl w:ilvl="2">
      <w:start w:val="0"/>
      <w:numFmt w:val="bullet"/>
      <w:lvlText w:val="•"/>
      <w:lvlJc w:val="left"/>
      <w:pPr>
        <w:ind w:left="2248" w:hanging="169"/>
      </w:pPr>
      <w:rPr>
        <w:rFonts w:hint="default"/>
        <w:lang w:val="uk-UA" w:eastAsia="uk-UA" w:bidi="uk-UA"/>
      </w:rPr>
    </w:lvl>
    <w:lvl w:ilvl="3">
      <w:start w:val="0"/>
      <w:numFmt w:val="bullet"/>
      <w:lvlText w:val="•"/>
      <w:lvlJc w:val="left"/>
      <w:pPr>
        <w:ind w:left="3273" w:hanging="169"/>
      </w:pPr>
      <w:rPr>
        <w:rFonts w:hint="default"/>
        <w:lang w:val="uk-UA" w:eastAsia="uk-UA" w:bidi="uk-UA"/>
      </w:rPr>
    </w:lvl>
    <w:lvl w:ilvl="4">
      <w:start w:val="0"/>
      <w:numFmt w:val="bullet"/>
      <w:lvlText w:val="•"/>
      <w:lvlJc w:val="left"/>
      <w:pPr>
        <w:ind w:left="4297" w:hanging="169"/>
      </w:pPr>
      <w:rPr>
        <w:rFonts w:hint="default"/>
        <w:lang w:val="uk-UA" w:eastAsia="uk-UA" w:bidi="uk-UA"/>
      </w:rPr>
    </w:lvl>
    <w:lvl w:ilvl="5">
      <w:start w:val="0"/>
      <w:numFmt w:val="bullet"/>
      <w:lvlText w:val="•"/>
      <w:lvlJc w:val="left"/>
      <w:pPr>
        <w:ind w:left="5322" w:hanging="169"/>
      </w:pPr>
      <w:rPr>
        <w:rFonts w:hint="default"/>
        <w:lang w:val="uk-UA" w:eastAsia="uk-UA" w:bidi="uk-UA"/>
      </w:rPr>
    </w:lvl>
    <w:lvl w:ilvl="6">
      <w:start w:val="0"/>
      <w:numFmt w:val="bullet"/>
      <w:lvlText w:val="•"/>
      <w:lvlJc w:val="left"/>
      <w:pPr>
        <w:ind w:left="6346" w:hanging="169"/>
      </w:pPr>
      <w:rPr>
        <w:rFonts w:hint="default"/>
        <w:lang w:val="uk-UA" w:eastAsia="uk-UA" w:bidi="uk-UA"/>
      </w:rPr>
    </w:lvl>
    <w:lvl w:ilvl="7">
      <w:start w:val="0"/>
      <w:numFmt w:val="bullet"/>
      <w:lvlText w:val="•"/>
      <w:lvlJc w:val="left"/>
      <w:pPr>
        <w:ind w:left="7370" w:hanging="169"/>
      </w:pPr>
      <w:rPr>
        <w:rFonts w:hint="default"/>
        <w:lang w:val="uk-UA" w:eastAsia="uk-UA" w:bidi="uk-UA"/>
      </w:rPr>
    </w:lvl>
    <w:lvl w:ilvl="8">
      <w:start w:val="0"/>
      <w:numFmt w:val="bullet"/>
      <w:lvlText w:val="•"/>
      <w:lvlJc w:val="left"/>
      <w:pPr>
        <w:ind w:left="8395" w:hanging="169"/>
      </w:pPr>
      <w:rPr>
        <w:rFonts w:hint="default"/>
        <w:lang w:val="uk-UA" w:eastAsia="uk-UA" w:bidi="uk-UA"/>
      </w:rPr>
    </w:lvl>
  </w:abstractNum>
  <w:abstractNum w:abstractNumId="15">
    <w:multiLevelType w:val="hybridMultilevel"/>
    <w:lvl w:ilvl="0">
      <w:start w:val="1"/>
      <w:numFmt w:val="decimal"/>
      <w:lvlText w:val="%1."/>
      <w:lvlJc w:val="left"/>
      <w:pPr>
        <w:ind w:left="193" w:hanging="303"/>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303"/>
      </w:pPr>
      <w:rPr>
        <w:rFonts w:hint="default"/>
        <w:lang w:val="uk-UA" w:eastAsia="uk-UA" w:bidi="uk-UA"/>
      </w:rPr>
    </w:lvl>
    <w:lvl w:ilvl="2">
      <w:start w:val="0"/>
      <w:numFmt w:val="bullet"/>
      <w:lvlText w:val="•"/>
      <w:lvlJc w:val="left"/>
      <w:pPr>
        <w:ind w:left="2248" w:hanging="303"/>
      </w:pPr>
      <w:rPr>
        <w:rFonts w:hint="default"/>
        <w:lang w:val="uk-UA" w:eastAsia="uk-UA" w:bidi="uk-UA"/>
      </w:rPr>
    </w:lvl>
    <w:lvl w:ilvl="3">
      <w:start w:val="0"/>
      <w:numFmt w:val="bullet"/>
      <w:lvlText w:val="•"/>
      <w:lvlJc w:val="left"/>
      <w:pPr>
        <w:ind w:left="3273" w:hanging="303"/>
      </w:pPr>
      <w:rPr>
        <w:rFonts w:hint="default"/>
        <w:lang w:val="uk-UA" w:eastAsia="uk-UA" w:bidi="uk-UA"/>
      </w:rPr>
    </w:lvl>
    <w:lvl w:ilvl="4">
      <w:start w:val="0"/>
      <w:numFmt w:val="bullet"/>
      <w:lvlText w:val="•"/>
      <w:lvlJc w:val="left"/>
      <w:pPr>
        <w:ind w:left="4297" w:hanging="303"/>
      </w:pPr>
      <w:rPr>
        <w:rFonts w:hint="default"/>
        <w:lang w:val="uk-UA" w:eastAsia="uk-UA" w:bidi="uk-UA"/>
      </w:rPr>
    </w:lvl>
    <w:lvl w:ilvl="5">
      <w:start w:val="0"/>
      <w:numFmt w:val="bullet"/>
      <w:lvlText w:val="•"/>
      <w:lvlJc w:val="left"/>
      <w:pPr>
        <w:ind w:left="5322" w:hanging="303"/>
      </w:pPr>
      <w:rPr>
        <w:rFonts w:hint="default"/>
        <w:lang w:val="uk-UA" w:eastAsia="uk-UA" w:bidi="uk-UA"/>
      </w:rPr>
    </w:lvl>
    <w:lvl w:ilvl="6">
      <w:start w:val="0"/>
      <w:numFmt w:val="bullet"/>
      <w:lvlText w:val="•"/>
      <w:lvlJc w:val="left"/>
      <w:pPr>
        <w:ind w:left="6346" w:hanging="303"/>
      </w:pPr>
      <w:rPr>
        <w:rFonts w:hint="default"/>
        <w:lang w:val="uk-UA" w:eastAsia="uk-UA" w:bidi="uk-UA"/>
      </w:rPr>
    </w:lvl>
    <w:lvl w:ilvl="7">
      <w:start w:val="0"/>
      <w:numFmt w:val="bullet"/>
      <w:lvlText w:val="•"/>
      <w:lvlJc w:val="left"/>
      <w:pPr>
        <w:ind w:left="7370" w:hanging="303"/>
      </w:pPr>
      <w:rPr>
        <w:rFonts w:hint="default"/>
        <w:lang w:val="uk-UA" w:eastAsia="uk-UA" w:bidi="uk-UA"/>
      </w:rPr>
    </w:lvl>
    <w:lvl w:ilvl="8">
      <w:start w:val="0"/>
      <w:numFmt w:val="bullet"/>
      <w:lvlText w:val="•"/>
      <w:lvlJc w:val="left"/>
      <w:pPr>
        <w:ind w:left="8395" w:hanging="303"/>
      </w:pPr>
      <w:rPr>
        <w:rFonts w:hint="default"/>
        <w:lang w:val="uk-UA" w:eastAsia="uk-UA" w:bidi="uk-UA"/>
      </w:rPr>
    </w:lvl>
  </w:abstractNum>
  <w:abstractNum w:abstractNumId="14">
    <w:multiLevelType w:val="hybridMultilevel"/>
    <w:lvl w:ilvl="0">
      <w:start w:val="23"/>
      <w:numFmt w:val="decimal"/>
      <w:lvlText w:val="%1"/>
      <w:lvlJc w:val="left"/>
      <w:pPr>
        <w:ind w:left="1062" w:hanging="869"/>
        <w:jc w:val="left"/>
      </w:pPr>
      <w:rPr>
        <w:rFonts w:hint="default"/>
        <w:lang w:val="uk-UA" w:eastAsia="uk-UA" w:bidi="uk-UA"/>
      </w:rPr>
    </w:lvl>
    <w:lvl w:ilvl="1">
      <w:start w:val="5"/>
      <w:numFmt w:val="decimal"/>
      <w:lvlText w:val="%1.%2"/>
      <w:lvlJc w:val="left"/>
      <w:pPr>
        <w:ind w:left="1062" w:hanging="869"/>
        <w:jc w:val="left"/>
      </w:pPr>
      <w:rPr>
        <w:rFonts w:hint="default"/>
        <w:lang w:val="uk-UA" w:eastAsia="uk-UA" w:bidi="uk-UA"/>
      </w:rPr>
    </w:lvl>
    <w:lvl w:ilvl="2">
      <w:start w:val="96"/>
      <w:numFmt w:val="decimal"/>
      <w:lvlText w:val="%1.%2.%3"/>
      <w:lvlJc w:val="left"/>
      <w:pPr>
        <w:ind w:left="1062" w:hanging="869"/>
        <w:jc w:val="left"/>
      </w:pPr>
      <w:rPr>
        <w:rFonts w:hint="default" w:ascii="Times New Roman" w:hAnsi="Times New Roman" w:eastAsia="Times New Roman" w:cs="Times New Roman"/>
        <w:spacing w:val="-5"/>
        <w:w w:val="99"/>
        <w:sz w:val="28"/>
        <w:szCs w:val="28"/>
        <w:lang w:val="uk-UA" w:eastAsia="uk-UA" w:bidi="uk-UA"/>
      </w:rPr>
    </w:lvl>
    <w:lvl w:ilvl="3">
      <w:start w:val="1"/>
      <w:numFmt w:val="decimal"/>
      <w:lvlText w:val="%4."/>
      <w:lvlJc w:val="left"/>
      <w:pPr>
        <w:ind w:left="193" w:hanging="395"/>
        <w:jc w:val="left"/>
      </w:pPr>
      <w:rPr>
        <w:rFonts w:hint="default" w:ascii="Times New Roman" w:hAnsi="Times New Roman" w:eastAsia="Times New Roman" w:cs="Times New Roman"/>
        <w:w w:val="99"/>
        <w:sz w:val="28"/>
        <w:szCs w:val="28"/>
        <w:lang w:val="uk-UA" w:eastAsia="uk-UA" w:bidi="uk-UA"/>
      </w:rPr>
    </w:lvl>
    <w:lvl w:ilvl="4">
      <w:start w:val="0"/>
      <w:numFmt w:val="bullet"/>
      <w:lvlText w:val="•"/>
      <w:lvlJc w:val="left"/>
      <w:pPr>
        <w:ind w:left="4188" w:hanging="395"/>
      </w:pPr>
      <w:rPr>
        <w:rFonts w:hint="default"/>
        <w:lang w:val="uk-UA" w:eastAsia="uk-UA" w:bidi="uk-UA"/>
      </w:rPr>
    </w:lvl>
    <w:lvl w:ilvl="5">
      <w:start w:val="0"/>
      <w:numFmt w:val="bullet"/>
      <w:lvlText w:val="•"/>
      <w:lvlJc w:val="left"/>
      <w:pPr>
        <w:ind w:left="5230" w:hanging="395"/>
      </w:pPr>
      <w:rPr>
        <w:rFonts w:hint="default"/>
        <w:lang w:val="uk-UA" w:eastAsia="uk-UA" w:bidi="uk-UA"/>
      </w:rPr>
    </w:lvl>
    <w:lvl w:ilvl="6">
      <w:start w:val="0"/>
      <w:numFmt w:val="bullet"/>
      <w:lvlText w:val="•"/>
      <w:lvlJc w:val="left"/>
      <w:pPr>
        <w:ind w:left="6273" w:hanging="395"/>
      </w:pPr>
      <w:rPr>
        <w:rFonts w:hint="default"/>
        <w:lang w:val="uk-UA" w:eastAsia="uk-UA" w:bidi="uk-UA"/>
      </w:rPr>
    </w:lvl>
    <w:lvl w:ilvl="7">
      <w:start w:val="0"/>
      <w:numFmt w:val="bullet"/>
      <w:lvlText w:val="•"/>
      <w:lvlJc w:val="left"/>
      <w:pPr>
        <w:ind w:left="7316" w:hanging="395"/>
      </w:pPr>
      <w:rPr>
        <w:rFonts w:hint="default"/>
        <w:lang w:val="uk-UA" w:eastAsia="uk-UA" w:bidi="uk-UA"/>
      </w:rPr>
    </w:lvl>
    <w:lvl w:ilvl="8">
      <w:start w:val="0"/>
      <w:numFmt w:val="bullet"/>
      <w:lvlText w:val="•"/>
      <w:lvlJc w:val="left"/>
      <w:pPr>
        <w:ind w:left="8358" w:hanging="395"/>
      </w:pPr>
      <w:rPr>
        <w:rFonts w:hint="default"/>
        <w:lang w:val="uk-UA" w:eastAsia="uk-UA" w:bidi="uk-UA"/>
      </w:rPr>
    </w:lvl>
  </w:abstractNum>
  <w:abstractNum w:abstractNumId="13">
    <w:multiLevelType w:val="hybridMultilevel"/>
    <w:lvl w:ilvl="0">
      <w:start w:val="0"/>
      <w:numFmt w:val="bullet"/>
      <w:lvlText w:val="–"/>
      <w:lvlJc w:val="left"/>
      <w:pPr>
        <w:ind w:left="193" w:hanging="269"/>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269"/>
      </w:pPr>
      <w:rPr>
        <w:rFonts w:hint="default"/>
        <w:lang w:val="uk-UA" w:eastAsia="uk-UA" w:bidi="uk-UA"/>
      </w:rPr>
    </w:lvl>
    <w:lvl w:ilvl="2">
      <w:start w:val="0"/>
      <w:numFmt w:val="bullet"/>
      <w:lvlText w:val="•"/>
      <w:lvlJc w:val="left"/>
      <w:pPr>
        <w:ind w:left="2248" w:hanging="269"/>
      </w:pPr>
      <w:rPr>
        <w:rFonts w:hint="default"/>
        <w:lang w:val="uk-UA" w:eastAsia="uk-UA" w:bidi="uk-UA"/>
      </w:rPr>
    </w:lvl>
    <w:lvl w:ilvl="3">
      <w:start w:val="0"/>
      <w:numFmt w:val="bullet"/>
      <w:lvlText w:val="•"/>
      <w:lvlJc w:val="left"/>
      <w:pPr>
        <w:ind w:left="3273" w:hanging="269"/>
      </w:pPr>
      <w:rPr>
        <w:rFonts w:hint="default"/>
        <w:lang w:val="uk-UA" w:eastAsia="uk-UA" w:bidi="uk-UA"/>
      </w:rPr>
    </w:lvl>
    <w:lvl w:ilvl="4">
      <w:start w:val="0"/>
      <w:numFmt w:val="bullet"/>
      <w:lvlText w:val="•"/>
      <w:lvlJc w:val="left"/>
      <w:pPr>
        <w:ind w:left="4297" w:hanging="269"/>
      </w:pPr>
      <w:rPr>
        <w:rFonts w:hint="default"/>
        <w:lang w:val="uk-UA" w:eastAsia="uk-UA" w:bidi="uk-UA"/>
      </w:rPr>
    </w:lvl>
    <w:lvl w:ilvl="5">
      <w:start w:val="0"/>
      <w:numFmt w:val="bullet"/>
      <w:lvlText w:val="•"/>
      <w:lvlJc w:val="left"/>
      <w:pPr>
        <w:ind w:left="5322" w:hanging="269"/>
      </w:pPr>
      <w:rPr>
        <w:rFonts w:hint="default"/>
        <w:lang w:val="uk-UA" w:eastAsia="uk-UA" w:bidi="uk-UA"/>
      </w:rPr>
    </w:lvl>
    <w:lvl w:ilvl="6">
      <w:start w:val="0"/>
      <w:numFmt w:val="bullet"/>
      <w:lvlText w:val="•"/>
      <w:lvlJc w:val="left"/>
      <w:pPr>
        <w:ind w:left="6346" w:hanging="269"/>
      </w:pPr>
      <w:rPr>
        <w:rFonts w:hint="default"/>
        <w:lang w:val="uk-UA" w:eastAsia="uk-UA" w:bidi="uk-UA"/>
      </w:rPr>
    </w:lvl>
    <w:lvl w:ilvl="7">
      <w:start w:val="0"/>
      <w:numFmt w:val="bullet"/>
      <w:lvlText w:val="•"/>
      <w:lvlJc w:val="left"/>
      <w:pPr>
        <w:ind w:left="7370" w:hanging="269"/>
      </w:pPr>
      <w:rPr>
        <w:rFonts w:hint="default"/>
        <w:lang w:val="uk-UA" w:eastAsia="uk-UA" w:bidi="uk-UA"/>
      </w:rPr>
    </w:lvl>
    <w:lvl w:ilvl="8">
      <w:start w:val="0"/>
      <w:numFmt w:val="bullet"/>
      <w:lvlText w:val="•"/>
      <w:lvlJc w:val="left"/>
      <w:pPr>
        <w:ind w:left="8395" w:hanging="269"/>
      </w:pPr>
      <w:rPr>
        <w:rFonts w:hint="default"/>
        <w:lang w:val="uk-UA" w:eastAsia="uk-UA" w:bidi="uk-UA"/>
      </w:rPr>
    </w:lvl>
  </w:abstractNum>
  <w:abstractNum w:abstractNumId="12">
    <w:multiLevelType w:val="hybridMultilevel"/>
    <w:lvl w:ilvl="0">
      <w:start w:val="1"/>
      <w:numFmt w:val="decimal"/>
      <w:lvlText w:val="%1."/>
      <w:lvlJc w:val="left"/>
      <w:pPr>
        <w:ind w:left="193" w:hanging="312"/>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312"/>
      </w:pPr>
      <w:rPr>
        <w:rFonts w:hint="default"/>
        <w:lang w:val="uk-UA" w:eastAsia="uk-UA" w:bidi="uk-UA"/>
      </w:rPr>
    </w:lvl>
    <w:lvl w:ilvl="2">
      <w:start w:val="0"/>
      <w:numFmt w:val="bullet"/>
      <w:lvlText w:val="•"/>
      <w:lvlJc w:val="left"/>
      <w:pPr>
        <w:ind w:left="2248" w:hanging="312"/>
      </w:pPr>
      <w:rPr>
        <w:rFonts w:hint="default"/>
        <w:lang w:val="uk-UA" w:eastAsia="uk-UA" w:bidi="uk-UA"/>
      </w:rPr>
    </w:lvl>
    <w:lvl w:ilvl="3">
      <w:start w:val="0"/>
      <w:numFmt w:val="bullet"/>
      <w:lvlText w:val="•"/>
      <w:lvlJc w:val="left"/>
      <w:pPr>
        <w:ind w:left="3273" w:hanging="312"/>
      </w:pPr>
      <w:rPr>
        <w:rFonts w:hint="default"/>
        <w:lang w:val="uk-UA" w:eastAsia="uk-UA" w:bidi="uk-UA"/>
      </w:rPr>
    </w:lvl>
    <w:lvl w:ilvl="4">
      <w:start w:val="0"/>
      <w:numFmt w:val="bullet"/>
      <w:lvlText w:val="•"/>
      <w:lvlJc w:val="left"/>
      <w:pPr>
        <w:ind w:left="4297" w:hanging="312"/>
      </w:pPr>
      <w:rPr>
        <w:rFonts w:hint="default"/>
        <w:lang w:val="uk-UA" w:eastAsia="uk-UA" w:bidi="uk-UA"/>
      </w:rPr>
    </w:lvl>
    <w:lvl w:ilvl="5">
      <w:start w:val="0"/>
      <w:numFmt w:val="bullet"/>
      <w:lvlText w:val="•"/>
      <w:lvlJc w:val="left"/>
      <w:pPr>
        <w:ind w:left="5322" w:hanging="312"/>
      </w:pPr>
      <w:rPr>
        <w:rFonts w:hint="default"/>
        <w:lang w:val="uk-UA" w:eastAsia="uk-UA" w:bidi="uk-UA"/>
      </w:rPr>
    </w:lvl>
    <w:lvl w:ilvl="6">
      <w:start w:val="0"/>
      <w:numFmt w:val="bullet"/>
      <w:lvlText w:val="•"/>
      <w:lvlJc w:val="left"/>
      <w:pPr>
        <w:ind w:left="6346" w:hanging="312"/>
      </w:pPr>
      <w:rPr>
        <w:rFonts w:hint="default"/>
        <w:lang w:val="uk-UA" w:eastAsia="uk-UA" w:bidi="uk-UA"/>
      </w:rPr>
    </w:lvl>
    <w:lvl w:ilvl="7">
      <w:start w:val="0"/>
      <w:numFmt w:val="bullet"/>
      <w:lvlText w:val="•"/>
      <w:lvlJc w:val="left"/>
      <w:pPr>
        <w:ind w:left="7370" w:hanging="312"/>
      </w:pPr>
      <w:rPr>
        <w:rFonts w:hint="default"/>
        <w:lang w:val="uk-UA" w:eastAsia="uk-UA" w:bidi="uk-UA"/>
      </w:rPr>
    </w:lvl>
    <w:lvl w:ilvl="8">
      <w:start w:val="0"/>
      <w:numFmt w:val="bullet"/>
      <w:lvlText w:val="•"/>
      <w:lvlJc w:val="left"/>
      <w:pPr>
        <w:ind w:left="8395" w:hanging="312"/>
      </w:pPr>
      <w:rPr>
        <w:rFonts w:hint="default"/>
        <w:lang w:val="uk-UA" w:eastAsia="uk-UA" w:bidi="uk-UA"/>
      </w:rPr>
    </w:lvl>
  </w:abstractNum>
  <w:abstractNum w:abstractNumId="11">
    <w:multiLevelType w:val="hybridMultilevel"/>
    <w:lvl w:ilvl="0">
      <w:start w:val="1"/>
      <w:numFmt w:val="decimal"/>
      <w:lvlText w:val="%1."/>
      <w:lvlJc w:val="left"/>
      <w:pPr>
        <w:ind w:left="193" w:hanging="318"/>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318"/>
      </w:pPr>
      <w:rPr>
        <w:rFonts w:hint="default"/>
        <w:lang w:val="uk-UA" w:eastAsia="uk-UA" w:bidi="uk-UA"/>
      </w:rPr>
    </w:lvl>
    <w:lvl w:ilvl="2">
      <w:start w:val="0"/>
      <w:numFmt w:val="bullet"/>
      <w:lvlText w:val="•"/>
      <w:lvlJc w:val="left"/>
      <w:pPr>
        <w:ind w:left="2248" w:hanging="318"/>
      </w:pPr>
      <w:rPr>
        <w:rFonts w:hint="default"/>
        <w:lang w:val="uk-UA" w:eastAsia="uk-UA" w:bidi="uk-UA"/>
      </w:rPr>
    </w:lvl>
    <w:lvl w:ilvl="3">
      <w:start w:val="0"/>
      <w:numFmt w:val="bullet"/>
      <w:lvlText w:val="•"/>
      <w:lvlJc w:val="left"/>
      <w:pPr>
        <w:ind w:left="3273" w:hanging="318"/>
      </w:pPr>
      <w:rPr>
        <w:rFonts w:hint="default"/>
        <w:lang w:val="uk-UA" w:eastAsia="uk-UA" w:bidi="uk-UA"/>
      </w:rPr>
    </w:lvl>
    <w:lvl w:ilvl="4">
      <w:start w:val="0"/>
      <w:numFmt w:val="bullet"/>
      <w:lvlText w:val="•"/>
      <w:lvlJc w:val="left"/>
      <w:pPr>
        <w:ind w:left="4297" w:hanging="318"/>
      </w:pPr>
      <w:rPr>
        <w:rFonts w:hint="default"/>
        <w:lang w:val="uk-UA" w:eastAsia="uk-UA" w:bidi="uk-UA"/>
      </w:rPr>
    </w:lvl>
    <w:lvl w:ilvl="5">
      <w:start w:val="0"/>
      <w:numFmt w:val="bullet"/>
      <w:lvlText w:val="•"/>
      <w:lvlJc w:val="left"/>
      <w:pPr>
        <w:ind w:left="5322" w:hanging="318"/>
      </w:pPr>
      <w:rPr>
        <w:rFonts w:hint="default"/>
        <w:lang w:val="uk-UA" w:eastAsia="uk-UA" w:bidi="uk-UA"/>
      </w:rPr>
    </w:lvl>
    <w:lvl w:ilvl="6">
      <w:start w:val="0"/>
      <w:numFmt w:val="bullet"/>
      <w:lvlText w:val="•"/>
      <w:lvlJc w:val="left"/>
      <w:pPr>
        <w:ind w:left="6346" w:hanging="318"/>
      </w:pPr>
      <w:rPr>
        <w:rFonts w:hint="default"/>
        <w:lang w:val="uk-UA" w:eastAsia="uk-UA" w:bidi="uk-UA"/>
      </w:rPr>
    </w:lvl>
    <w:lvl w:ilvl="7">
      <w:start w:val="0"/>
      <w:numFmt w:val="bullet"/>
      <w:lvlText w:val="•"/>
      <w:lvlJc w:val="left"/>
      <w:pPr>
        <w:ind w:left="7370" w:hanging="318"/>
      </w:pPr>
      <w:rPr>
        <w:rFonts w:hint="default"/>
        <w:lang w:val="uk-UA" w:eastAsia="uk-UA" w:bidi="uk-UA"/>
      </w:rPr>
    </w:lvl>
    <w:lvl w:ilvl="8">
      <w:start w:val="0"/>
      <w:numFmt w:val="bullet"/>
      <w:lvlText w:val="•"/>
      <w:lvlJc w:val="left"/>
      <w:pPr>
        <w:ind w:left="8395" w:hanging="318"/>
      </w:pPr>
      <w:rPr>
        <w:rFonts w:hint="default"/>
        <w:lang w:val="uk-UA" w:eastAsia="uk-UA" w:bidi="uk-UA"/>
      </w:rPr>
    </w:lvl>
  </w:abstractNum>
  <w:abstractNum w:abstractNumId="10">
    <w:multiLevelType w:val="hybridMultilevel"/>
    <w:lvl w:ilvl="0">
      <w:start w:val="1"/>
      <w:numFmt w:val="decimal"/>
      <w:lvlText w:val="%1."/>
      <w:lvlJc w:val="left"/>
      <w:pPr>
        <w:ind w:left="193" w:hanging="294"/>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294"/>
      </w:pPr>
      <w:rPr>
        <w:rFonts w:hint="default"/>
        <w:lang w:val="uk-UA" w:eastAsia="uk-UA" w:bidi="uk-UA"/>
      </w:rPr>
    </w:lvl>
    <w:lvl w:ilvl="2">
      <w:start w:val="0"/>
      <w:numFmt w:val="bullet"/>
      <w:lvlText w:val="•"/>
      <w:lvlJc w:val="left"/>
      <w:pPr>
        <w:ind w:left="2248" w:hanging="294"/>
      </w:pPr>
      <w:rPr>
        <w:rFonts w:hint="default"/>
        <w:lang w:val="uk-UA" w:eastAsia="uk-UA" w:bidi="uk-UA"/>
      </w:rPr>
    </w:lvl>
    <w:lvl w:ilvl="3">
      <w:start w:val="0"/>
      <w:numFmt w:val="bullet"/>
      <w:lvlText w:val="•"/>
      <w:lvlJc w:val="left"/>
      <w:pPr>
        <w:ind w:left="3273" w:hanging="294"/>
      </w:pPr>
      <w:rPr>
        <w:rFonts w:hint="default"/>
        <w:lang w:val="uk-UA" w:eastAsia="uk-UA" w:bidi="uk-UA"/>
      </w:rPr>
    </w:lvl>
    <w:lvl w:ilvl="4">
      <w:start w:val="0"/>
      <w:numFmt w:val="bullet"/>
      <w:lvlText w:val="•"/>
      <w:lvlJc w:val="left"/>
      <w:pPr>
        <w:ind w:left="4297" w:hanging="294"/>
      </w:pPr>
      <w:rPr>
        <w:rFonts w:hint="default"/>
        <w:lang w:val="uk-UA" w:eastAsia="uk-UA" w:bidi="uk-UA"/>
      </w:rPr>
    </w:lvl>
    <w:lvl w:ilvl="5">
      <w:start w:val="0"/>
      <w:numFmt w:val="bullet"/>
      <w:lvlText w:val="•"/>
      <w:lvlJc w:val="left"/>
      <w:pPr>
        <w:ind w:left="5322" w:hanging="294"/>
      </w:pPr>
      <w:rPr>
        <w:rFonts w:hint="default"/>
        <w:lang w:val="uk-UA" w:eastAsia="uk-UA" w:bidi="uk-UA"/>
      </w:rPr>
    </w:lvl>
    <w:lvl w:ilvl="6">
      <w:start w:val="0"/>
      <w:numFmt w:val="bullet"/>
      <w:lvlText w:val="•"/>
      <w:lvlJc w:val="left"/>
      <w:pPr>
        <w:ind w:left="6346" w:hanging="294"/>
      </w:pPr>
      <w:rPr>
        <w:rFonts w:hint="default"/>
        <w:lang w:val="uk-UA" w:eastAsia="uk-UA" w:bidi="uk-UA"/>
      </w:rPr>
    </w:lvl>
    <w:lvl w:ilvl="7">
      <w:start w:val="0"/>
      <w:numFmt w:val="bullet"/>
      <w:lvlText w:val="•"/>
      <w:lvlJc w:val="left"/>
      <w:pPr>
        <w:ind w:left="7370" w:hanging="294"/>
      </w:pPr>
      <w:rPr>
        <w:rFonts w:hint="default"/>
        <w:lang w:val="uk-UA" w:eastAsia="uk-UA" w:bidi="uk-UA"/>
      </w:rPr>
    </w:lvl>
    <w:lvl w:ilvl="8">
      <w:start w:val="0"/>
      <w:numFmt w:val="bullet"/>
      <w:lvlText w:val="•"/>
      <w:lvlJc w:val="left"/>
      <w:pPr>
        <w:ind w:left="8395" w:hanging="294"/>
      </w:pPr>
      <w:rPr>
        <w:rFonts w:hint="default"/>
        <w:lang w:val="uk-UA" w:eastAsia="uk-UA" w:bidi="uk-UA"/>
      </w:rPr>
    </w:lvl>
  </w:abstractNum>
  <w:abstractNum w:abstractNumId="9">
    <w:multiLevelType w:val="hybridMultilevel"/>
    <w:lvl w:ilvl="0">
      <w:start w:val="1"/>
      <w:numFmt w:val="decimal"/>
      <w:lvlText w:val="%1."/>
      <w:lvlJc w:val="left"/>
      <w:pPr>
        <w:ind w:left="250" w:hanging="294"/>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78" w:hanging="294"/>
      </w:pPr>
      <w:rPr>
        <w:rFonts w:hint="default"/>
        <w:lang w:val="uk-UA" w:eastAsia="uk-UA" w:bidi="uk-UA"/>
      </w:rPr>
    </w:lvl>
    <w:lvl w:ilvl="2">
      <w:start w:val="0"/>
      <w:numFmt w:val="bullet"/>
      <w:lvlText w:val="•"/>
      <w:lvlJc w:val="left"/>
      <w:pPr>
        <w:ind w:left="2296" w:hanging="294"/>
      </w:pPr>
      <w:rPr>
        <w:rFonts w:hint="default"/>
        <w:lang w:val="uk-UA" w:eastAsia="uk-UA" w:bidi="uk-UA"/>
      </w:rPr>
    </w:lvl>
    <w:lvl w:ilvl="3">
      <w:start w:val="0"/>
      <w:numFmt w:val="bullet"/>
      <w:lvlText w:val="•"/>
      <w:lvlJc w:val="left"/>
      <w:pPr>
        <w:ind w:left="3315" w:hanging="294"/>
      </w:pPr>
      <w:rPr>
        <w:rFonts w:hint="default"/>
        <w:lang w:val="uk-UA" w:eastAsia="uk-UA" w:bidi="uk-UA"/>
      </w:rPr>
    </w:lvl>
    <w:lvl w:ilvl="4">
      <w:start w:val="0"/>
      <w:numFmt w:val="bullet"/>
      <w:lvlText w:val="•"/>
      <w:lvlJc w:val="left"/>
      <w:pPr>
        <w:ind w:left="4333" w:hanging="294"/>
      </w:pPr>
      <w:rPr>
        <w:rFonts w:hint="default"/>
        <w:lang w:val="uk-UA" w:eastAsia="uk-UA" w:bidi="uk-UA"/>
      </w:rPr>
    </w:lvl>
    <w:lvl w:ilvl="5">
      <w:start w:val="0"/>
      <w:numFmt w:val="bullet"/>
      <w:lvlText w:val="•"/>
      <w:lvlJc w:val="left"/>
      <w:pPr>
        <w:ind w:left="5352" w:hanging="294"/>
      </w:pPr>
      <w:rPr>
        <w:rFonts w:hint="default"/>
        <w:lang w:val="uk-UA" w:eastAsia="uk-UA" w:bidi="uk-UA"/>
      </w:rPr>
    </w:lvl>
    <w:lvl w:ilvl="6">
      <w:start w:val="0"/>
      <w:numFmt w:val="bullet"/>
      <w:lvlText w:val="•"/>
      <w:lvlJc w:val="left"/>
      <w:pPr>
        <w:ind w:left="6370" w:hanging="294"/>
      </w:pPr>
      <w:rPr>
        <w:rFonts w:hint="default"/>
        <w:lang w:val="uk-UA" w:eastAsia="uk-UA" w:bidi="uk-UA"/>
      </w:rPr>
    </w:lvl>
    <w:lvl w:ilvl="7">
      <w:start w:val="0"/>
      <w:numFmt w:val="bullet"/>
      <w:lvlText w:val="•"/>
      <w:lvlJc w:val="left"/>
      <w:pPr>
        <w:ind w:left="7388" w:hanging="294"/>
      </w:pPr>
      <w:rPr>
        <w:rFonts w:hint="default"/>
        <w:lang w:val="uk-UA" w:eastAsia="uk-UA" w:bidi="uk-UA"/>
      </w:rPr>
    </w:lvl>
    <w:lvl w:ilvl="8">
      <w:start w:val="0"/>
      <w:numFmt w:val="bullet"/>
      <w:lvlText w:val="•"/>
      <w:lvlJc w:val="left"/>
      <w:pPr>
        <w:ind w:left="8407" w:hanging="294"/>
      </w:pPr>
      <w:rPr>
        <w:rFonts w:hint="default"/>
        <w:lang w:val="uk-UA" w:eastAsia="uk-UA" w:bidi="uk-UA"/>
      </w:rPr>
    </w:lvl>
  </w:abstractNum>
  <w:abstractNum w:abstractNumId="8">
    <w:multiLevelType w:val="hybridMultilevel"/>
    <w:lvl w:ilvl="0">
      <w:start w:val="1"/>
      <w:numFmt w:val="decimal"/>
      <w:lvlText w:val="%1."/>
      <w:lvlJc w:val="left"/>
      <w:pPr>
        <w:ind w:left="193" w:hanging="371"/>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371"/>
      </w:pPr>
      <w:rPr>
        <w:rFonts w:hint="default"/>
        <w:lang w:val="uk-UA" w:eastAsia="uk-UA" w:bidi="uk-UA"/>
      </w:rPr>
    </w:lvl>
    <w:lvl w:ilvl="2">
      <w:start w:val="0"/>
      <w:numFmt w:val="bullet"/>
      <w:lvlText w:val="•"/>
      <w:lvlJc w:val="left"/>
      <w:pPr>
        <w:ind w:left="2248" w:hanging="371"/>
      </w:pPr>
      <w:rPr>
        <w:rFonts w:hint="default"/>
        <w:lang w:val="uk-UA" w:eastAsia="uk-UA" w:bidi="uk-UA"/>
      </w:rPr>
    </w:lvl>
    <w:lvl w:ilvl="3">
      <w:start w:val="0"/>
      <w:numFmt w:val="bullet"/>
      <w:lvlText w:val="•"/>
      <w:lvlJc w:val="left"/>
      <w:pPr>
        <w:ind w:left="3273" w:hanging="371"/>
      </w:pPr>
      <w:rPr>
        <w:rFonts w:hint="default"/>
        <w:lang w:val="uk-UA" w:eastAsia="uk-UA" w:bidi="uk-UA"/>
      </w:rPr>
    </w:lvl>
    <w:lvl w:ilvl="4">
      <w:start w:val="0"/>
      <w:numFmt w:val="bullet"/>
      <w:lvlText w:val="•"/>
      <w:lvlJc w:val="left"/>
      <w:pPr>
        <w:ind w:left="4297" w:hanging="371"/>
      </w:pPr>
      <w:rPr>
        <w:rFonts w:hint="default"/>
        <w:lang w:val="uk-UA" w:eastAsia="uk-UA" w:bidi="uk-UA"/>
      </w:rPr>
    </w:lvl>
    <w:lvl w:ilvl="5">
      <w:start w:val="0"/>
      <w:numFmt w:val="bullet"/>
      <w:lvlText w:val="•"/>
      <w:lvlJc w:val="left"/>
      <w:pPr>
        <w:ind w:left="5322" w:hanging="371"/>
      </w:pPr>
      <w:rPr>
        <w:rFonts w:hint="default"/>
        <w:lang w:val="uk-UA" w:eastAsia="uk-UA" w:bidi="uk-UA"/>
      </w:rPr>
    </w:lvl>
    <w:lvl w:ilvl="6">
      <w:start w:val="0"/>
      <w:numFmt w:val="bullet"/>
      <w:lvlText w:val="•"/>
      <w:lvlJc w:val="left"/>
      <w:pPr>
        <w:ind w:left="6346" w:hanging="371"/>
      </w:pPr>
      <w:rPr>
        <w:rFonts w:hint="default"/>
        <w:lang w:val="uk-UA" w:eastAsia="uk-UA" w:bidi="uk-UA"/>
      </w:rPr>
    </w:lvl>
    <w:lvl w:ilvl="7">
      <w:start w:val="0"/>
      <w:numFmt w:val="bullet"/>
      <w:lvlText w:val="•"/>
      <w:lvlJc w:val="left"/>
      <w:pPr>
        <w:ind w:left="7370" w:hanging="371"/>
      </w:pPr>
      <w:rPr>
        <w:rFonts w:hint="default"/>
        <w:lang w:val="uk-UA" w:eastAsia="uk-UA" w:bidi="uk-UA"/>
      </w:rPr>
    </w:lvl>
    <w:lvl w:ilvl="8">
      <w:start w:val="0"/>
      <w:numFmt w:val="bullet"/>
      <w:lvlText w:val="•"/>
      <w:lvlJc w:val="left"/>
      <w:pPr>
        <w:ind w:left="8395" w:hanging="371"/>
      </w:pPr>
      <w:rPr>
        <w:rFonts w:hint="default"/>
        <w:lang w:val="uk-UA" w:eastAsia="uk-UA" w:bidi="uk-UA"/>
      </w:rPr>
    </w:lvl>
  </w:abstractNum>
  <w:abstractNum w:abstractNumId="7">
    <w:multiLevelType w:val="hybridMultilevel"/>
    <w:lvl w:ilvl="0">
      <w:start w:val="1"/>
      <w:numFmt w:val="decimal"/>
      <w:lvlText w:val="%1."/>
      <w:lvlJc w:val="left"/>
      <w:pPr>
        <w:ind w:left="193" w:hanging="371"/>
        <w:jc w:val="left"/>
      </w:pPr>
      <w:rPr>
        <w:rFonts w:hint="default"/>
        <w:w w:val="99"/>
        <w:lang w:val="uk-UA" w:eastAsia="uk-UA" w:bidi="uk-UA"/>
      </w:rPr>
    </w:lvl>
    <w:lvl w:ilvl="1">
      <w:start w:val="0"/>
      <w:numFmt w:val="bullet"/>
      <w:lvlText w:val="•"/>
      <w:lvlJc w:val="left"/>
      <w:pPr>
        <w:ind w:left="1224" w:hanging="371"/>
      </w:pPr>
      <w:rPr>
        <w:rFonts w:hint="default"/>
        <w:lang w:val="uk-UA" w:eastAsia="uk-UA" w:bidi="uk-UA"/>
      </w:rPr>
    </w:lvl>
    <w:lvl w:ilvl="2">
      <w:start w:val="0"/>
      <w:numFmt w:val="bullet"/>
      <w:lvlText w:val="•"/>
      <w:lvlJc w:val="left"/>
      <w:pPr>
        <w:ind w:left="2248" w:hanging="371"/>
      </w:pPr>
      <w:rPr>
        <w:rFonts w:hint="default"/>
        <w:lang w:val="uk-UA" w:eastAsia="uk-UA" w:bidi="uk-UA"/>
      </w:rPr>
    </w:lvl>
    <w:lvl w:ilvl="3">
      <w:start w:val="0"/>
      <w:numFmt w:val="bullet"/>
      <w:lvlText w:val="•"/>
      <w:lvlJc w:val="left"/>
      <w:pPr>
        <w:ind w:left="3273" w:hanging="371"/>
      </w:pPr>
      <w:rPr>
        <w:rFonts w:hint="default"/>
        <w:lang w:val="uk-UA" w:eastAsia="uk-UA" w:bidi="uk-UA"/>
      </w:rPr>
    </w:lvl>
    <w:lvl w:ilvl="4">
      <w:start w:val="0"/>
      <w:numFmt w:val="bullet"/>
      <w:lvlText w:val="•"/>
      <w:lvlJc w:val="left"/>
      <w:pPr>
        <w:ind w:left="4297" w:hanging="371"/>
      </w:pPr>
      <w:rPr>
        <w:rFonts w:hint="default"/>
        <w:lang w:val="uk-UA" w:eastAsia="uk-UA" w:bidi="uk-UA"/>
      </w:rPr>
    </w:lvl>
    <w:lvl w:ilvl="5">
      <w:start w:val="0"/>
      <w:numFmt w:val="bullet"/>
      <w:lvlText w:val="•"/>
      <w:lvlJc w:val="left"/>
      <w:pPr>
        <w:ind w:left="5322" w:hanging="371"/>
      </w:pPr>
      <w:rPr>
        <w:rFonts w:hint="default"/>
        <w:lang w:val="uk-UA" w:eastAsia="uk-UA" w:bidi="uk-UA"/>
      </w:rPr>
    </w:lvl>
    <w:lvl w:ilvl="6">
      <w:start w:val="0"/>
      <w:numFmt w:val="bullet"/>
      <w:lvlText w:val="•"/>
      <w:lvlJc w:val="left"/>
      <w:pPr>
        <w:ind w:left="6346" w:hanging="371"/>
      </w:pPr>
      <w:rPr>
        <w:rFonts w:hint="default"/>
        <w:lang w:val="uk-UA" w:eastAsia="uk-UA" w:bidi="uk-UA"/>
      </w:rPr>
    </w:lvl>
    <w:lvl w:ilvl="7">
      <w:start w:val="0"/>
      <w:numFmt w:val="bullet"/>
      <w:lvlText w:val="•"/>
      <w:lvlJc w:val="left"/>
      <w:pPr>
        <w:ind w:left="7370" w:hanging="371"/>
      </w:pPr>
      <w:rPr>
        <w:rFonts w:hint="default"/>
        <w:lang w:val="uk-UA" w:eastAsia="uk-UA" w:bidi="uk-UA"/>
      </w:rPr>
    </w:lvl>
    <w:lvl w:ilvl="8">
      <w:start w:val="0"/>
      <w:numFmt w:val="bullet"/>
      <w:lvlText w:val="•"/>
      <w:lvlJc w:val="left"/>
      <w:pPr>
        <w:ind w:left="8395" w:hanging="371"/>
      </w:pPr>
      <w:rPr>
        <w:rFonts w:hint="default"/>
        <w:lang w:val="uk-UA" w:eastAsia="uk-UA" w:bidi="uk-UA"/>
      </w:rPr>
    </w:lvl>
  </w:abstractNum>
  <w:abstractNum w:abstractNumId="6">
    <w:multiLevelType w:val="hybridMultilevel"/>
    <w:lvl w:ilvl="0">
      <w:start w:val="0"/>
      <w:numFmt w:val="bullet"/>
      <w:lvlText w:val="-"/>
      <w:lvlJc w:val="left"/>
      <w:pPr>
        <w:ind w:left="193" w:hanging="150"/>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150"/>
      </w:pPr>
      <w:rPr>
        <w:rFonts w:hint="default"/>
        <w:lang w:val="uk-UA" w:eastAsia="uk-UA" w:bidi="uk-UA"/>
      </w:rPr>
    </w:lvl>
    <w:lvl w:ilvl="2">
      <w:start w:val="0"/>
      <w:numFmt w:val="bullet"/>
      <w:lvlText w:val="•"/>
      <w:lvlJc w:val="left"/>
      <w:pPr>
        <w:ind w:left="2248" w:hanging="150"/>
      </w:pPr>
      <w:rPr>
        <w:rFonts w:hint="default"/>
        <w:lang w:val="uk-UA" w:eastAsia="uk-UA" w:bidi="uk-UA"/>
      </w:rPr>
    </w:lvl>
    <w:lvl w:ilvl="3">
      <w:start w:val="0"/>
      <w:numFmt w:val="bullet"/>
      <w:lvlText w:val="•"/>
      <w:lvlJc w:val="left"/>
      <w:pPr>
        <w:ind w:left="3273" w:hanging="150"/>
      </w:pPr>
      <w:rPr>
        <w:rFonts w:hint="default"/>
        <w:lang w:val="uk-UA" w:eastAsia="uk-UA" w:bidi="uk-UA"/>
      </w:rPr>
    </w:lvl>
    <w:lvl w:ilvl="4">
      <w:start w:val="0"/>
      <w:numFmt w:val="bullet"/>
      <w:lvlText w:val="•"/>
      <w:lvlJc w:val="left"/>
      <w:pPr>
        <w:ind w:left="4297" w:hanging="150"/>
      </w:pPr>
      <w:rPr>
        <w:rFonts w:hint="default"/>
        <w:lang w:val="uk-UA" w:eastAsia="uk-UA" w:bidi="uk-UA"/>
      </w:rPr>
    </w:lvl>
    <w:lvl w:ilvl="5">
      <w:start w:val="0"/>
      <w:numFmt w:val="bullet"/>
      <w:lvlText w:val="•"/>
      <w:lvlJc w:val="left"/>
      <w:pPr>
        <w:ind w:left="5322" w:hanging="150"/>
      </w:pPr>
      <w:rPr>
        <w:rFonts w:hint="default"/>
        <w:lang w:val="uk-UA" w:eastAsia="uk-UA" w:bidi="uk-UA"/>
      </w:rPr>
    </w:lvl>
    <w:lvl w:ilvl="6">
      <w:start w:val="0"/>
      <w:numFmt w:val="bullet"/>
      <w:lvlText w:val="•"/>
      <w:lvlJc w:val="left"/>
      <w:pPr>
        <w:ind w:left="6346" w:hanging="150"/>
      </w:pPr>
      <w:rPr>
        <w:rFonts w:hint="default"/>
        <w:lang w:val="uk-UA" w:eastAsia="uk-UA" w:bidi="uk-UA"/>
      </w:rPr>
    </w:lvl>
    <w:lvl w:ilvl="7">
      <w:start w:val="0"/>
      <w:numFmt w:val="bullet"/>
      <w:lvlText w:val="•"/>
      <w:lvlJc w:val="left"/>
      <w:pPr>
        <w:ind w:left="7370" w:hanging="150"/>
      </w:pPr>
      <w:rPr>
        <w:rFonts w:hint="default"/>
        <w:lang w:val="uk-UA" w:eastAsia="uk-UA" w:bidi="uk-UA"/>
      </w:rPr>
    </w:lvl>
    <w:lvl w:ilvl="8">
      <w:start w:val="0"/>
      <w:numFmt w:val="bullet"/>
      <w:lvlText w:val="•"/>
      <w:lvlJc w:val="left"/>
      <w:pPr>
        <w:ind w:left="8395" w:hanging="150"/>
      </w:pPr>
      <w:rPr>
        <w:rFonts w:hint="default"/>
        <w:lang w:val="uk-UA" w:eastAsia="uk-UA" w:bidi="uk-UA"/>
      </w:rPr>
    </w:lvl>
  </w:abstractNum>
  <w:abstractNum w:abstractNumId="5">
    <w:multiLevelType w:val="hybridMultilevel"/>
    <w:lvl w:ilvl="0">
      <w:start w:val="1"/>
      <w:numFmt w:val="decimal"/>
      <w:lvlText w:val="%1."/>
      <w:lvlJc w:val="left"/>
      <w:pPr>
        <w:ind w:left="193" w:hanging="332"/>
        <w:jc w:val="left"/>
      </w:pPr>
      <w:rPr>
        <w:rFonts w:hint="default"/>
        <w:w w:val="99"/>
        <w:lang w:val="uk-UA" w:eastAsia="uk-UA" w:bidi="uk-UA"/>
      </w:rPr>
    </w:lvl>
    <w:lvl w:ilvl="1">
      <w:start w:val="0"/>
      <w:numFmt w:val="bullet"/>
      <w:lvlText w:val="•"/>
      <w:lvlJc w:val="left"/>
      <w:pPr>
        <w:ind w:left="1224" w:hanging="332"/>
      </w:pPr>
      <w:rPr>
        <w:rFonts w:hint="default"/>
        <w:lang w:val="uk-UA" w:eastAsia="uk-UA" w:bidi="uk-UA"/>
      </w:rPr>
    </w:lvl>
    <w:lvl w:ilvl="2">
      <w:start w:val="0"/>
      <w:numFmt w:val="bullet"/>
      <w:lvlText w:val="•"/>
      <w:lvlJc w:val="left"/>
      <w:pPr>
        <w:ind w:left="2248" w:hanging="332"/>
      </w:pPr>
      <w:rPr>
        <w:rFonts w:hint="default"/>
        <w:lang w:val="uk-UA" w:eastAsia="uk-UA" w:bidi="uk-UA"/>
      </w:rPr>
    </w:lvl>
    <w:lvl w:ilvl="3">
      <w:start w:val="0"/>
      <w:numFmt w:val="bullet"/>
      <w:lvlText w:val="•"/>
      <w:lvlJc w:val="left"/>
      <w:pPr>
        <w:ind w:left="3273" w:hanging="332"/>
      </w:pPr>
      <w:rPr>
        <w:rFonts w:hint="default"/>
        <w:lang w:val="uk-UA" w:eastAsia="uk-UA" w:bidi="uk-UA"/>
      </w:rPr>
    </w:lvl>
    <w:lvl w:ilvl="4">
      <w:start w:val="0"/>
      <w:numFmt w:val="bullet"/>
      <w:lvlText w:val="•"/>
      <w:lvlJc w:val="left"/>
      <w:pPr>
        <w:ind w:left="4297" w:hanging="332"/>
      </w:pPr>
      <w:rPr>
        <w:rFonts w:hint="default"/>
        <w:lang w:val="uk-UA" w:eastAsia="uk-UA" w:bidi="uk-UA"/>
      </w:rPr>
    </w:lvl>
    <w:lvl w:ilvl="5">
      <w:start w:val="0"/>
      <w:numFmt w:val="bullet"/>
      <w:lvlText w:val="•"/>
      <w:lvlJc w:val="left"/>
      <w:pPr>
        <w:ind w:left="5322" w:hanging="332"/>
      </w:pPr>
      <w:rPr>
        <w:rFonts w:hint="default"/>
        <w:lang w:val="uk-UA" w:eastAsia="uk-UA" w:bidi="uk-UA"/>
      </w:rPr>
    </w:lvl>
    <w:lvl w:ilvl="6">
      <w:start w:val="0"/>
      <w:numFmt w:val="bullet"/>
      <w:lvlText w:val="•"/>
      <w:lvlJc w:val="left"/>
      <w:pPr>
        <w:ind w:left="6346" w:hanging="332"/>
      </w:pPr>
      <w:rPr>
        <w:rFonts w:hint="default"/>
        <w:lang w:val="uk-UA" w:eastAsia="uk-UA" w:bidi="uk-UA"/>
      </w:rPr>
    </w:lvl>
    <w:lvl w:ilvl="7">
      <w:start w:val="0"/>
      <w:numFmt w:val="bullet"/>
      <w:lvlText w:val="•"/>
      <w:lvlJc w:val="left"/>
      <w:pPr>
        <w:ind w:left="7370" w:hanging="332"/>
      </w:pPr>
      <w:rPr>
        <w:rFonts w:hint="default"/>
        <w:lang w:val="uk-UA" w:eastAsia="uk-UA" w:bidi="uk-UA"/>
      </w:rPr>
    </w:lvl>
    <w:lvl w:ilvl="8">
      <w:start w:val="0"/>
      <w:numFmt w:val="bullet"/>
      <w:lvlText w:val="•"/>
      <w:lvlJc w:val="left"/>
      <w:pPr>
        <w:ind w:left="8395" w:hanging="332"/>
      </w:pPr>
      <w:rPr>
        <w:rFonts w:hint="default"/>
        <w:lang w:val="uk-UA" w:eastAsia="uk-UA" w:bidi="uk-UA"/>
      </w:rPr>
    </w:lvl>
  </w:abstractNum>
  <w:abstractNum w:abstractNumId="4">
    <w:multiLevelType w:val="hybridMultilevel"/>
    <w:lvl w:ilvl="0">
      <w:start w:val="2"/>
      <w:numFmt w:val="decimal"/>
      <w:lvlText w:val="%1."/>
      <w:lvlJc w:val="left"/>
      <w:pPr>
        <w:ind w:left="193" w:hanging="331"/>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331"/>
      </w:pPr>
      <w:rPr>
        <w:rFonts w:hint="default"/>
        <w:lang w:val="uk-UA" w:eastAsia="uk-UA" w:bidi="uk-UA"/>
      </w:rPr>
    </w:lvl>
    <w:lvl w:ilvl="2">
      <w:start w:val="0"/>
      <w:numFmt w:val="bullet"/>
      <w:lvlText w:val="•"/>
      <w:lvlJc w:val="left"/>
      <w:pPr>
        <w:ind w:left="2248" w:hanging="331"/>
      </w:pPr>
      <w:rPr>
        <w:rFonts w:hint="default"/>
        <w:lang w:val="uk-UA" w:eastAsia="uk-UA" w:bidi="uk-UA"/>
      </w:rPr>
    </w:lvl>
    <w:lvl w:ilvl="3">
      <w:start w:val="0"/>
      <w:numFmt w:val="bullet"/>
      <w:lvlText w:val="•"/>
      <w:lvlJc w:val="left"/>
      <w:pPr>
        <w:ind w:left="3273" w:hanging="331"/>
      </w:pPr>
      <w:rPr>
        <w:rFonts w:hint="default"/>
        <w:lang w:val="uk-UA" w:eastAsia="uk-UA" w:bidi="uk-UA"/>
      </w:rPr>
    </w:lvl>
    <w:lvl w:ilvl="4">
      <w:start w:val="0"/>
      <w:numFmt w:val="bullet"/>
      <w:lvlText w:val="•"/>
      <w:lvlJc w:val="left"/>
      <w:pPr>
        <w:ind w:left="4297" w:hanging="331"/>
      </w:pPr>
      <w:rPr>
        <w:rFonts w:hint="default"/>
        <w:lang w:val="uk-UA" w:eastAsia="uk-UA" w:bidi="uk-UA"/>
      </w:rPr>
    </w:lvl>
    <w:lvl w:ilvl="5">
      <w:start w:val="0"/>
      <w:numFmt w:val="bullet"/>
      <w:lvlText w:val="•"/>
      <w:lvlJc w:val="left"/>
      <w:pPr>
        <w:ind w:left="5322" w:hanging="331"/>
      </w:pPr>
      <w:rPr>
        <w:rFonts w:hint="default"/>
        <w:lang w:val="uk-UA" w:eastAsia="uk-UA" w:bidi="uk-UA"/>
      </w:rPr>
    </w:lvl>
    <w:lvl w:ilvl="6">
      <w:start w:val="0"/>
      <w:numFmt w:val="bullet"/>
      <w:lvlText w:val="•"/>
      <w:lvlJc w:val="left"/>
      <w:pPr>
        <w:ind w:left="6346" w:hanging="331"/>
      </w:pPr>
      <w:rPr>
        <w:rFonts w:hint="default"/>
        <w:lang w:val="uk-UA" w:eastAsia="uk-UA" w:bidi="uk-UA"/>
      </w:rPr>
    </w:lvl>
    <w:lvl w:ilvl="7">
      <w:start w:val="0"/>
      <w:numFmt w:val="bullet"/>
      <w:lvlText w:val="•"/>
      <w:lvlJc w:val="left"/>
      <w:pPr>
        <w:ind w:left="7370" w:hanging="331"/>
      </w:pPr>
      <w:rPr>
        <w:rFonts w:hint="default"/>
        <w:lang w:val="uk-UA" w:eastAsia="uk-UA" w:bidi="uk-UA"/>
      </w:rPr>
    </w:lvl>
    <w:lvl w:ilvl="8">
      <w:start w:val="0"/>
      <w:numFmt w:val="bullet"/>
      <w:lvlText w:val="•"/>
      <w:lvlJc w:val="left"/>
      <w:pPr>
        <w:ind w:left="8395" w:hanging="331"/>
      </w:pPr>
      <w:rPr>
        <w:rFonts w:hint="default"/>
        <w:lang w:val="uk-UA" w:eastAsia="uk-UA" w:bidi="uk-UA"/>
      </w:rPr>
    </w:lvl>
  </w:abstractNum>
  <w:abstractNum w:abstractNumId="3">
    <w:multiLevelType w:val="hybridMultilevel"/>
    <w:lvl w:ilvl="0">
      <w:start w:val="1"/>
      <w:numFmt w:val="decimal"/>
      <w:lvlText w:val="%1."/>
      <w:lvlJc w:val="left"/>
      <w:pPr>
        <w:ind w:left="193" w:hanging="398"/>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1224" w:hanging="398"/>
      </w:pPr>
      <w:rPr>
        <w:rFonts w:hint="default"/>
        <w:lang w:val="uk-UA" w:eastAsia="uk-UA" w:bidi="uk-UA"/>
      </w:rPr>
    </w:lvl>
    <w:lvl w:ilvl="2">
      <w:start w:val="0"/>
      <w:numFmt w:val="bullet"/>
      <w:lvlText w:val="•"/>
      <w:lvlJc w:val="left"/>
      <w:pPr>
        <w:ind w:left="2248" w:hanging="398"/>
      </w:pPr>
      <w:rPr>
        <w:rFonts w:hint="default"/>
        <w:lang w:val="uk-UA" w:eastAsia="uk-UA" w:bidi="uk-UA"/>
      </w:rPr>
    </w:lvl>
    <w:lvl w:ilvl="3">
      <w:start w:val="0"/>
      <w:numFmt w:val="bullet"/>
      <w:lvlText w:val="•"/>
      <w:lvlJc w:val="left"/>
      <w:pPr>
        <w:ind w:left="3273" w:hanging="398"/>
      </w:pPr>
      <w:rPr>
        <w:rFonts w:hint="default"/>
        <w:lang w:val="uk-UA" w:eastAsia="uk-UA" w:bidi="uk-UA"/>
      </w:rPr>
    </w:lvl>
    <w:lvl w:ilvl="4">
      <w:start w:val="0"/>
      <w:numFmt w:val="bullet"/>
      <w:lvlText w:val="•"/>
      <w:lvlJc w:val="left"/>
      <w:pPr>
        <w:ind w:left="4297" w:hanging="398"/>
      </w:pPr>
      <w:rPr>
        <w:rFonts w:hint="default"/>
        <w:lang w:val="uk-UA" w:eastAsia="uk-UA" w:bidi="uk-UA"/>
      </w:rPr>
    </w:lvl>
    <w:lvl w:ilvl="5">
      <w:start w:val="0"/>
      <w:numFmt w:val="bullet"/>
      <w:lvlText w:val="•"/>
      <w:lvlJc w:val="left"/>
      <w:pPr>
        <w:ind w:left="5322" w:hanging="398"/>
      </w:pPr>
      <w:rPr>
        <w:rFonts w:hint="default"/>
        <w:lang w:val="uk-UA" w:eastAsia="uk-UA" w:bidi="uk-UA"/>
      </w:rPr>
    </w:lvl>
    <w:lvl w:ilvl="6">
      <w:start w:val="0"/>
      <w:numFmt w:val="bullet"/>
      <w:lvlText w:val="•"/>
      <w:lvlJc w:val="left"/>
      <w:pPr>
        <w:ind w:left="6346" w:hanging="398"/>
      </w:pPr>
      <w:rPr>
        <w:rFonts w:hint="default"/>
        <w:lang w:val="uk-UA" w:eastAsia="uk-UA" w:bidi="uk-UA"/>
      </w:rPr>
    </w:lvl>
    <w:lvl w:ilvl="7">
      <w:start w:val="0"/>
      <w:numFmt w:val="bullet"/>
      <w:lvlText w:val="•"/>
      <w:lvlJc w:val="left"/>
      <w:pPr>
        <w:ind w:left="7370" w:hanging="398"/>
      </w:pPr>
      <w:rPr>
        <w:rFonts w:hint="default"/>
        <w:lang w:val="uk-UA" w:eastAsia="uk-UA" w:bidi="uk-UA"/>
      </w:rPr>
    </w:lvl>
    <w:lvl w:ilvl="8">
      <w:start w:val="0"/>
      <w:numFmt w:val="bullet"/>
      <w:lvlText w:val="•"/>
      <w:lvlJc w:val="left"/>
      <w:pPr>
        <w:ind w:left="8395" w:hanging="398"/>
      </w:pPr>
      <w:rPr>
        <w:rFonts w:hint="default"/>
        <w:lang w:val="uk-UA" w:eastAsia="uk-UA" w:bidi="uk-UA"/>
      </w:rPr>
    </w:lvl>
  </w:abstractNum>
  <w:abstractNum w:abstractNumId="2">
    <w:multiLevelType w:val="hybridMultilevel"/>
    <w:lvl w:ilvl="0">
      <w:start w:val="1"/>
      <w:numFmt w:val="decimal"/>
      <w:lvlText w:val="%1."/>
      <w:lvlJc w:val="left"/>
      <w:pPr>
        <w:ind w:left="193" w:hanging="418"/>
        <w:jc w:val="left"/>
      </w:pPr>
      <w:rPr>
        <w:rFonts w:hint="default" w:ascii="Times New Roman" w:hAnsi="Times New Roman" w:eastAsia="Times New Roman" w:cs="Times New Roman"/>
        <w:w w:val="99"/>
        <w:sz w:val="28"/>
        <w:szCs w:val="28"/>
        <w:lang w:val="uk-UA" w:eastAsia="uk-UA" w:bidi="uk-UA"/>
      </w:rPr>
    </w:lvl>
    <w:lvl w:ilvl="1">
      <w:start w:val="0"/>
      <w:numFmt w:val="bullet"/>
      <w:lvlText w:val="•"/>
      <w:lvlJc w:val="left"/>
      <w:pPr>
        <w:ind w:left="420" w:hanging="418"/>
      </w:pPr>
      <w:rPr>
        <w:rFonts w:hint="default"/>
        <w:lang w:val="uk-UA" w:eastAsia="uk-UA" w:bidi="uk-UA"/>
      </w:rPr>
    </w:lvl>
    <w:lvl w:ilvl="2">
      <w:start w:val="0"/>
      <w:numFmt w:val="bullet"/>
      <w:lvlText w:val="•"/>
      <w:lvlJc w:val="left"/>
      <w:pPr>
        <w:ind w:left="950" w:hanging="418"/>
      </w:pPr>
      <w:rPr>
        <w:rFonts w:hint="default"/>
        <w:lang w:val="uk-UA" w:eastAsia="uk-UA" w:bidi="uk-UA"/>
      </w:rPr>
    </w:lvl>
    <w:lvl w:ilvl="3">
      <w:start w:val="0"/>
      <w:numFmt w:val="bullet"/>
      <w:lvlText w:val="•"/>
      <w:lvlJc w:val="left"/>
      <w:pPr>
        <w:ind w:left="1480" w:hanging="418"/>
      </w:pPr>
      <w:rPr>
        <w:rFonts w:hint="default"/>
        <w:lang w:val="uk-UA" w:eastAsia="uk-UA" w:bidi="uk-UA"/>
      </w:rPr>
    </w:lvl>
    <w:lvl w:ilvl="4">
      <w:start w:val="0"/>
      <w:numFmt w:val="bullet"/>
      <w:lvlText w:val="•"/>
      <w:lvlJc w:val="left"/>
      <w:pPr>
        <w:ind w:left="2010" w:hanging="418"/>
      </w:pPr>
      <w:rPr>
        <w:rFonts w:hint="default"/>
        <w:lang w:val="uk-UA" w:eastAsia="uk-UA" w:bidi="uk-UA"/>
      </w:rPr>
    </w:lvl>
    <w:lvl w:ilvl="5">
      <w:start w:val="0"/>
      <w:numFmt w:val="bullet"/>
      <w:lvlText w:val="•"/>
      <w:lvlJc w:val="left"/>
      <w:pPr>
        <w:ind w:left="2540" w:hanging="418"/>
      </w:pPr>
      <w:rPr>
        <w:rFonts w:hint="default"/>
        <w:lang w:val="uk-UA" w:eastAsia="uk-UA" w:bidi="uk-UA"/>
      </w:rPr>
    </w:lvl>
    <w:lvl w:ilvl="6">
      <w:start w:val="0"/>
      <w:numFmt w:val="bullet"/>
      <w:lvlText w:val="•"/>
      <w:lvlJc w:val="left"/>
      <w:pPr>
        <w:ind w:left="3070" w:hanging="418"/>
      </w:pPr>
      <w:rPr>
        <w:rFonts w:hint="default"/>
        <w:lang w:val="uk-UA" w:eastAsia="uk-UA" w:bidi="uk-UA"/>
      </w:rPr>
    </w:lvl>
    <w:lvl w:ilvl="7">
      <w:start w:val="0"/>
      <w:numFmt w:val="bullet"/>
      <w:lvlText w:val="•"/>
      <w:lvlJc w:val="left"/>
      <w:pPr>
        <w:ind w:left="3600" w:hanging="418"/>
      </w:pPr>
      <w:rPr>
        <w:rFonts w:hint="default"/>
        <w:lang w:val="uk-UA" w:eastAsia="uk-UA" w:bidi="uk-UA"/>
      </w:rPr>
    </w:lvl>
    <w:lvl w:ilvl="8">
      <w:start w:val="0"/>
      <w:numFmt w:val="bullet"/>
      <w:lvlText w:val="•"/>
      <w:lvlJc w:val="left"/>
      <w:pPr>
        <w:ind w:left="4130" w:hanging="418"/>
      </w:pPr>
      <w:rPr>
        <w:rFonts w:hint="default"/>
        <w:lang w:val="uk-UA" w:eastAsia="uk-UA" w:bidi="uk-UA"/>
      </w:rPr>
    </w:lvl>
  </w:abstractNum>
  <w:abstractNum w:abstractNumId="1">
    <w:multiLevelType w:val="hybridMultilevel"/>
    <w:lvl w:ilvl="0">
      <w:start w:val="13"/>
      <w:numFmt w:val="upperLetter"/>
      <w:lvlText w:val="%1."/>
      <w:lvlJc w:val="left"/>
      <w:pPr>
        <w:ind w:left="466" w:hanging="312"/>
        <w:jc w:val="left"/>
      </w:pPr>
      <w:rPr>
        <w:rFonts w:hint="default" w:ascii="Times New Roman" w:hAnsi="Times New Roman" w:eastAsia="Times New Roman" w:cs="Times New Roman"/>
        <w:w w:val="100"/>
        <w:sz w:val="22"/>
        <w:szCs w:val="22"/>
        <w:lang w:val="uk-UA" w:eastAsia="uk-UA" w:bidi="uk-UA"/>
      </w:rPr>
    </w:lvl>
    <w:lvl w:ilvl="1">
      <w:start w:val="0"/>
      <w:numFmt w:val="bullet"/>
      <w:lvlText w:val="•"/>
      <w:lvlJc w:val="left"/>
      <w:pPr>
        <w:ind w:left="933" w:hanging="312"/>
      </w:pPr>
      <w:rPr>
        <w:rFonts w:hint="default"/>
        <w:lang w:val="uk-UA" w:eastAsia="uk-UA" w:bidi="uk-UA"/>
      </w:rPr>
    </w:lvl>
    <w:lvl w:ilvl="2">
      <w:start w:val="0"/>
      <w:numFmt w:val="bullet"/>
      <w:lvlText w:val="•"/>
      <w:lvlJc w:val="left"/>
      <w:pPr>
        <w:ind w:left="1406" w:hanging="312"/>
      </w:pPr>
      <w:rPr>
        <w:rFonts w:hint="default"/>
        <w:lang w:val="uk-UA" w:eastAsia="uk-UA" w:bidi="uk-UA"/>
      </w:rPr>
    </w:lvl>
    <w:lvl w:ilvl="3">
      <w:start w:val="0"/>
      <w:numFmt w:val="bullet"/>
      <w:lvlText w:val="•"/>
      <w:lvlJc w:val="left"/>
      <w:pPr>
        <w:ind w:left="1879" w:hanging="312"/>
      </w:pPr>
      <w:rPr>
        <w:rFonts w:hint="default"/>
        <w:lang w:val="uk-UA" w:eastAsia="uk-UA" w:bidi="uk-UA"/>
      </w:rPr>
    </w:lvl>
    <w:lvl w:ilvl="4">
      <w:start w:val="0"/>
      <w:numFmt w:val="bullet"/>
      <w:lvlText w:val="•"/>
      <w:lvlJc w:val="left"/>
      <w:pPr>
        <w:ind w:left="2352" w:hanging="312"/>
      </w:pPr>
      <w:rPr>
        <w:rFonts w:hint="default"/>
        <w:lang w:val="uk-UA" w:eastAsia="uk-UA" w:bidi="uk-UA"/>
      </w:rPr>
    </w:lvl>
    <w:lvl w:ilvl="5">
      <w:start w:val="0"/>
      <w:numFmt w:val="bullet"/>
      <w:lvlText w:val="•"/>
      <w:lvlJc w:val="left"/>
      <w:pPr>
        <w:ind w:left="2825" w:hanging="312"/>
      </w:pPr>
      <w:rPr>
        <w:rFonts w:hint="default"/>
        <w:lang w:val="uk-UA" w:eastAsia="uk-UA" w:bidi="uk-UA"/>
      </w:rPr>
    </w:lvl>
    <w:lvl w:ilvl="6">
      <w:start w:val="0"/>
      <w:numFmt w:val="bullet"/>
      <w:lvlText w:val="•"/>
      <w:lvlJc w:val="left"/>
      <w:pPr>
        <w:ind w:left="3298" w:hanging="312"/>
      </w:pPr>
      <w:rPr>
        <w:rFonts w:hint="default"/>
        <w:lang w:val="uk-UA" w:eastAsia="uk-UA" w:bidi="uk-UA"/>
      </w:rPr>
    </w:lvl>
    <w:lvl w:ilvl="7">
      <w:start w:val="0"/>
      <w:numFmt w:val="bullet"/>
      <w:lvlText w:val="•"/>
      <w:lvlJc w:val="left"/>
      <w:pPr>
        <w:ind w:left="3771" w:hanging="312"/>
      </w:pPr>
      <w:rPr>
        <w:rFonts w:hint="default"/>
        <w:lang w:val="uk-UA" w:eastAsia="uk-UA" w:bidi="uk-UA"/>
      </w:rPr>
    </w:lvl>
    <w:lvl w:ilvl="8">
      <w:start w:val="0"/>
      <w:numFmt w:val="bullet"/>
      <w:lvlText w:val="•"/>
      <w:lvlJc w:val="left"/>
      <w:pPr>
        <w:ind w:left="4244" w:hanging="312"/>
      </w:pPr>
      <w:rPr>
        <w:rFonts w:hint="default"/>
        <w:lang w:val="uk-UA" w:eastAsia="uk-UA" w:bidi="uk-UA"/>
      </w:rPr>
    </w:lvl>
  </w:abstractNum>
  <w:abstractNum w:abstractNumId="0">
    <w:multiLevelType w:val="hybridMultilevel"/>
    <w:lvl w:ilvl="0">
      <w:start w:val="12"/>
      <w:numFmt w:val="upperLetter"/>
      <w:lvlText w:val="%1."/>
      <w:lvlJc w:val="left"/>
      <w:pPr>
        <w:ind w:left="404" w:hanging="250"/>
        <w:jc w:val="left"/>
      </w:pPr>
      <w:rPr>
        <w:rFonts w:hint="default" w:ascii="Times New Roman" w:hAnsi="Times New Roman" w:eastAsia="Times New Roman" w:cs="Times New Roman"/>
        <w:spacing w:val="-1"/>
        <w:w w:val="100"/>
        <w:sz w:val="22"/>
        <w:szCs w:val="22"/>
        <w:lang w:val="uk-UA" w:eastAsia="uk-UA" w:bidi="uk-UA"/>
      </w:rPr>
    </w:lvl>
    <w:lvl w:ilvl="1">
      <w:start w:val="0"/>
      <w:numFmt w:val="bullet"/>
      <w:lvlText w:val="•"/>
      <w:lvlJc w:val="left"/>
      <w:pPr>
        <w:ind w:left="879" w:hanging="250"/>
      </w:pPr>
      <w:rPr>
        <w:rFonts w:hint="default"/>
        <w:lang w:val="uk-UA" w:eastAsia="uk-UA" w:bidi="uk-UA"/>
      </w:rPr>
    </w:lvl>
    <w:lvl w:ilvl="2">
      <w:start w:val="0"/>
      <w:numFmt w:val="bullet"/>
      <w:lvlText w:val="•"/>
      <w:lvlJc w:val="left"/>
      <w:pPr>
        <w:ind w:left="1358" w:hanging="250"/>
      </w:pPr>
      <w:rPr>
        <w:rFonts w:hint="default"/>
        <w:lang w:val="uk-UA" w:eastAsia="uk-UA" w:bidi="uk-UA"/>
      </w:rPr>
    </w:lvl>
    <w:lvl w:ilvl="3">
      <w:start w:val="0"/>
      <w:numFmt w:val="bullet"/>
      <w:lvlText w:val="•"/>
      <w:lvlJc w:val="left"/>
      <w:pPr>
        <w:ind w:left="1837" w:hanging="250"/>
      </w:pPr>
      <w:rPr>
        <w:rFonts w:hint="default"/>
        <w:lang w:val="uk-UA" w:eastAsia="uk-UA" w:bidi="uk-UA"/>
      </w:rPr>
    </w:lvl>
    <w:lvl w:ilvl="4">
      <w:start w:val="0"/>
      <w:numFmt w:val="bullet"/>
      <w:lvlText w:val="•"/>
      <w:lvlJc w:val="left"/>
      <w:pPr>
        <w:ind w:left="2316" w:hanging="250"/>
      </w:pPr>
      <w:rPr>
        <w:rFonts w:hint="default"/>
        <w:lang w:val="uk-UA" w:eastAsia="uk-UA" w:bidi="uk-UA"/>
      </w:rPr>
    </w:lvl>
    <w:lvl w:ilvl="5">
      <w:start w:val="0"/>
      <w:numFmt w:val="bullet"/>
      <w:lvlText w:val="•"/>
      <w:lvlJc w:val="left"/>
      <w:pPr>
        <w:ind w:left="2795" w:hanging="250"/>
      </w:pPr>
      <w:rPr>
        <w:rFonts w:hint="default"/>
        <w:lang w:val="uk-UA" w:eastAsia="uk-UA" w:bidi="uk-UA"/>
      </w:rPr>
    </w:lvl>
    <w:lvl w:ilvl="6">
      <w:start w:val="0"/>
      <w:numFmt w:val="bullet"/>
      <w:lvlText w:val="•"/>
      <w:lvlJc w:val="left"/>
      <w:pPr>
        <w:ind w:left="3274" w:hanging="250"/>
      </w:pPr>
      <w:rPr>
        <w:rFonts w:hint="default"/>
        <w:lang w:val="uk-UA" w:eastAsia="uk-UA" w:bidi="uk-UA"/>
      </w:rPr>
    </w:lvl>
    <w:lvl w:ilvl="7">
      <w:start w:val="0"/>
      <w:numFmt w:val="bullet"/>
      <w:lvlText w:val="•"/>
      <w:lvlJc w:val="left"/>
      <w:pPr>
        <w:ind w:left="3753" w:hanging="250"/>
      </w:pPr>
      <w:rPr>
        <w:rFonts w:hint="default"/>
        <w:lang w:val="uk-UA" w:eastAsia="uk-UA" w:bidi="uk-UA"/>
      </w:rPr>
    </w:lvl>
    <w:lvl w:ilvl="8">
      <w:start w:val="0"/>
      <w:numFmt w:val="bullet"/>
      <w:lvlText w:val="•"/>
      <w:lvlJc w:val="left"/>
      <w:pPr>
        <w:ind w:left="4232" w:hanging="250"/>
      </w:pPr>
      <w:rPr>
        <w:rFonts w:hint="default"/>
        <w:lang w:val="uk-UA" w:eastAsia="uk-UA" w:bidi="uk-UA"/>
      </w:rPr>
    </w:lvl>
  </w:abstractNum>
  <w:num w:numId="40">
    <w:abstractNumId w:val="39"/>
  </w:num>
  <w:num w:numId="39">
    <w:abstractNumId w:val="38"/>
  </w:num>
  <w:num w:numId="33">
    <w:abstractNumId w:val="32"/>
  </w:num>
  <w:num w:numId="31">
    <w:abstractNumId w:val="30"/>
  </w:num>
  <w:num w:numId="18">
    <w:abstractNumId w:val="17"/>
  </w:num>
  <w:num w:numId="41">
    <w:abstractNumId w:val="40"/>
  </w:num>
  <w:num w:numId="38">
    <w:abstractNumId w:val="37"/>
  </w:num>
  <w:num w:numId="37">
    <w:abstractNumId w:val="36"/>
  </w:num>
  <w:num w:numId="36">
    <w:abstractNumId w:val="35"/>
  </w:num>
  <w:num w:numId="35">
    <w:abstractNumId w:val="34"/>
  </w:num>
  <w:num w:numId="34">
    <w:abstractNumId w:val="33"/>
  </w:num>
  <w:num w:numId="32">
    <w:abstractNumId w:val="31"/>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uk-UA" w:bidi="uk-UA"/>
    </w:rPr>
  </w:style>
  <w:style w:styleId="BodyText" w:type="paragraph">
    <w:name w:val="Body Text"/>
    <w:basedOn w:val="Normal"/>
    <w:uiPriority w:val="1"/>
    <w:qFormat/>
    <w:pPr>
      <w:ind w:left="193"/>
      <w:jc w:val="both"/>
    </w:pPr>
    <w:rPr>
      <w:rFonts w:ascii="Times New Roman" w:hAnsi="Times New Roman" w:eastAsia="Times New Roman" w:cs="Times New Roman"/>
      <w:sz w:val="28"/>
      <w:szCs w:val="28"/>
      <w:lang w:val="uk-UA" w:eastAsia="uk-UA" w:bidi="uk-UA"/>
    </w:rPr>
  </w:style>
  <w:style w:styleId="Heading1" w:type="paragraph">
    <w:name w:val="Heading 1"/>
    <w:basedOn w:val="Normal"/>
    <w:uiPriority w:val="1"/>
    <w:qFormat/>
    <w:pPr>
      <w:ind w:left="193" w:right="603"/>
      <w:jc w:val="center"/>
      <w:outlineLvl w:val="1"/>
    </w:pPr>
    <w:rPr>
      <w:rFonts w:ascii="Times New Roman" w:hAnsi="Times New Roman" w:eastAsia="Times New Roman" w:cs="Times New Roman"/>
      <w:b/>
      <w:bCs/>
      <w:sz w:val="28"/>
      <w:szCs w:val="28"/>
      <w:lang w:val="uk-UA" w:eastAsia="uk-UA" w:bidi="uk-UA"/>
    </w:rPr>
  </w:style>
  <w:style w:styleId="ListParagraph" w:type="paragraph">
    <w:name w:val="List Paragraph"/>
    <w:basedOn w:val="Normal"/>
    <w:uiPriority w:val="1"/>
    <w:qFormat/>
    <w:pPr>
      <w:ind w:left="193" w:firstLine="710"/>
      <w:jc w:val="both"/>
    </w:pPr>
    <w:rPr>
      <w:rFonts w:ascii="Times New Roman" w:hAnsi="Times New Roman" w:eastAsia="Times New Roman" w:cs="Times New Roman"/>
      <w:lang w:val="uk-UA" w:eastAsia="uk-UA" w:bidi="uk-UA"/>
    </w:rPr>
  </w:style>
  <w:style w:styleId="TableParagraph" w:type="paragraph">
    <w:name w:val="Table Paragraph"/>
    <w:basedOn w:val="Normal"/>
    <w:uiPriority w:val="1"/>
    <w:qFormat/>
    <w:pPr/>
    <w:rPr>
      <w:rFonts w:ascii="Times New Roman" w:hAnsi="Times New Roman" w:eastAsia="Times New Roman" w:cs="Times New Roman"/>
      <w:lang w:val="uk-UA" w:eastAsia="uk-UA" w:bidi="uk-U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mailto:zbirnyk_odau@ukr.net" TargetMode="External"/><Relationship Id="rId7" Type="http://schemas.openxmlformats.org/officeDocument/2006/relationships/footer" Target="footer1.xml"/><Relationship Id="rId8" Type="http://schemas.openxmlformats.org/officeDocument/2006/relationships/hyperlink" Target="http://lib.sportedu.ru/UDC.idc?DocID=56626" TargetMode="External"/><Relationship Id="rId9" Type="http://schemas.openxmlformats.org/officeDocument/2006/relationships/image" Target="media/image1.jpeg"/><Relationship Id="rId10" Type="http://schemas.openxmlformats.org/officeDocument/2006/relationships/image" Target="media/image2.jpeg"/><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hyperlink" Target="http://search.ligazakon.ua/l_doc2.nsf/link1/T4038A0.html" TargetMode="External"/><Relationship Id="rId16" Type="http://schemas.openxmlformats.org/officeDocument/2006/relationships/hyperlink" Target="http://search.ligazakon.ua/l_doc2.nsf/link1/T030662.html" TargetMode="External"/><Relationship Id="rId17" Type="http://schemas.openxmlformats.org/officeDocument/2006/relationships/hyperlink" Target="http://search.ligazakon.ua/l_doc2.nsf/link1/T041992.html" TargetMode="External"/><Relationship Id="rId18" Type="http://schemas.openxmlformats.org/officeDocument/2006/relationships/hyperlink" Target="http://search.ligazakon.ua/l_doc2.nsf/link1/T124652.html" TargetMode="External"/><Relationship Id="rId19" Type="http://schemas.openxmlformats.org/officeDocument/2006/relationships/hyperlink" Target="http://search.ligazakon.ua/l_doc2.nsf/link1/T124711.html" TargetMode="External"/><Relationship Id="rId20" Type="http://schemas.openxmlformats.org/officeDocument/2006/relationships/hyperlink" Target="http://search.ligazakon.ua/l_doc2.nsf/link1/RE15345.html" TargetMode="External"/><Relationship Id="rId21" Type="http://schemas.openxmlformats.org/officeDocument/2006/relationships/hyperlink" Target="http://search.ligazakon.ua/l_doc2.nsf/link1/RE10341.html" TargetMode="External"/><Relationship Id="rId22" Type="http://schemas.openxmlformats.org/officeDocument/2006/relationships/hyperlink" Target="http://search.ligazakon.ua/l_doc2.nsf/link1/RE10928.html" TargetMode="External"/><Relationship Id="rId23" Type="http://schemas.openxmlformats.org/officeDocument/2006/relationships/hyperlink" Target="http://search.ligazakon.ua/l_doc2.nsf/link1/RE16509.html" TargetMode="External"/><Relationship Id="rId24" Type="http://schemas.openxmlformats.org/officeDocument/2006/relationships/hyperlink" Target="https://www.ncbi.nlm.nih.gov/pubmed/?term=Hall%20TC%5BAuthor%5D&amp;amp;cauthor=true&amp;amp;cauthor_uid=9208883" TargetMode="External"/><Relationship Id="rId25" Type="http://schemas.openxmlformats.org/officeDocument/2006/relationships/hyperlink" Target="https://www.ncbi.nlm.nih.gov/pubmed/?term=Brossaud%20J%5BAuthor%5D&amp;amp;cauthor=true&amp;amp;cauthor_uid=28720593" TargetMode="External"/><Relationship Id="rId26" Type="http://schemas.openxmlformats.org/officeDocument/2006/relationships/hyperlink" Target="https://www.ncbi.nlm.nih.gov/pubmed/?term=Pallet%20V%5BAuthor%5D&amp;amp;cauthor=true&amp;amp;cauthor_uid=28720593" TargetMode="External"/><Relationship Id="rId27" Type="http://schemas.openxmlformats.org/officeDocument/2006/relationships/hyperlink" Target="https://www.ncbi.nlm.nih.gov/pubmed/?term=Corcuff%20JB%5BAuthor%5D&amp;amp;cauthor=true&amp;amp;cauthor_uid=28720593" TargetMode="External"/><Relationship Id="rId28" Type="http://schemas.openxmlformats.org/officeDocument/2006/relationships/hyperlink" Target="https://www.ncbi.nlm.nih.gov/pubmed/28720593" TargetMode="External"/><Relationship Id="rId29" Type="http://schemas.openxmlformats.org/officeDocument/2006/relationships/hyperlink" Target="https://www.jcgo.org/index.php/jcgo" TargetMode="External"/><Relationship Id="rId30" Type="http://schemas.openxmlformats.org/officeDocument/2006/relationships/hyperlink" Target="https://doi.org/10.4021/jcgo47w" TargetMode="External"/><Relationship Id="rId31" Type="http://schemas.openxmlformats.org/officeDocument/2006/relationships/hyperlink" Target="https://www.ncbi.nlm.nih.gov/pubmed/?term=Perrone%20S%5BAuthor%5D&amp;amp;cauthor=true&amp;amp;cauthor_uid=22876862" TargetMode="External"/><Relationship Id="rId32" Type="http://schemas.openxmlformats.org/officeDocument/2006/relationships/hyperlink" Target="https://www.ncbi.nlm.nih.gov/pubmed/?term=Tataranno%20ML%5BAuthor%5D&amp;amp;cauthor=true&amp;amp;cauthor_uid=22876862" TargetMode="External"/><Relationship Id="rId33" Type="http://schemas.openxmlformats.org/officeDocument/2006/relationships/hyperlink" Target="https://www.ncbi.nlm.nih.gov/pubmed/?term=Stazzoni%20G%5BAuthor%5D&amp;amp;cauthor=true&amp;amp;cauthor_uid=22876862" TargetMode="External"/><Relationship Id="rId34" Type="http://schemas.openxmlformats.org/officeDocument/2006/relationships/hyperlink" Target="https://www.ncbi.nlm.nih.gov/pubmed/?term=Buonocore%20G%5BAuthor%5D&amp;amp;cauthor=true&amp;amp;cauthor_uid=22876862" TargetMode="External"/><Relationship Id="rId35" Type="http://schemas.openxmlformats.org/officeDocument/2006/relationships/hyperlink" Target="https://www.ncbi.nlm.nih.gov/pubmed/22876862" TargetMode="External"/><Relationship Id="rId36" Type="http://schemas.openxmlformats.org/officeDocument/2006/relationships/hyperlink" Target="https://doi.org/10.1590/1806-9061-2018-0892" TargetMode="External"/><Relationship Id="rId37" Type="http://schemas.openxmlformats.org/officeDocument/2006/relationships/hyperlink" Target="https://doi.org/10.32819/2018.63007" TargetMode="External"/><Relationship Id="rId38" Type="http://schemas.openxmlformats.org/officeDocument/2006/relationships/hyperlink" Target="http://aminbiol.com.ua/20154pdf/15.pdf" TargetMode="External"/><Relationship Id="rId39" Type="http://schemas.openxmlformats.org/officeDocument/2006/relationships/hyperlink" Target="https://doi.org/10.24925/turjaf.%20v4i9.782-786.745" TargetMode="External"/><Relationship Id="rId40" Type="http://schemas.openxmlformats.org/officeDocument/2006/relationships/hyperlink" Target="https://doi.org/10.15421/nvlvet7046" TargetMode="External"/><Relationship Id="rId41" Type="http://schemas.openxmlformats.org/officeDocument/2006/relationships/hyperlink" Target="https://doi.org/10.3168/jds.2011-4348" TargetMode="External"/><Relationship Id="rId42" Type="http://schemas.openxmlformats.org/officeDocument/2006/relationships/hyperlink" Target="https://doi.org/10.3168/jds.s0022-0302(00)74873-9" TargetMode="External"/><Relationship Id="rId43" Type="http://schemas.openxmlformats.org/officeDocument/2006/relationships/hyperlink" Target="https://doi.org/10.15421/021853" TargetMode="External"/><Relationship Id="rId44" Type="http://schemas.openxmlformats.org/officeDocument/2006/relationships/hyperlink" Target="http://dx.doi.org/10.15407/animbiol18.04.086" TargetMode="External"/><Relationship Id="rId45" Type="http://schemas.openxmlformats.org/officeDocument/2006/relationships/hyperlink" Target="https://doi.org/10.1016/j.rvsc.2010.10.006" TargetMode="External"/><Relationship Id="rId46" Type="http://schemas.openxmlformats.org/officeDocument/2006/relationships/image" Target="media/image7.jpeg"/><Relationship Id="rId47" Type="http://schemas.openxmlformats.org/officeDocument/2006/relationships/hyperlink" Target="http://www.swap-rural.org.ua/files/ua/food_safety/" TargetMode="External"/><Relationship Id="rId48" Type="http://schemas.openxmlformats.org/officeDocument/2006/relationships/hyperlink" Target="http://www.nbuv.gov.ua/" TargetMode="External"/><Relationship Id="rId49" Type="http://schemas.openxmlformats.org/officeDocument/2006/relationships/hyperlink" Target="http://www.codexalimentarius.org/" TargetMode="External"/><Relationship Id="rId50" Type="http://schemas.openxmlformats.org/officeDocument/2006/relationships/image" Target="media/image8.png"/><Relationship Id="rId51" Type="http://schemas.openxmlformats.org/officeDocument/2006/relationships/image" Target="media/image9.png"/><Relationship Id="rId52" Type="http://schemas.openxmlformats.org/officeDocument/2006/relationships/image" Target="media/image10.png"/><Relationship Id="rId53" Type="http://schemas.openxmlformats.org/officeDocument/2006/relationships/image" Target="media/image11.png"/><Relationship Id="rId54" Type="http://schemas.openxmlformats.org/officeDocument/2006/relationships/image" Target="media/image12.png"/><Relationship Id="rId55" Type="http://schemas.openxmlformats.org/officeDocument/2006/relationships/image" Target="media/image13.png"/><Relationship Id="rId56" Type="http://schemas.openxmlformats.org/officeDocument/2006/relationships/image" Target="media/image14.png"/><Relationship Id="rId57" Type="http://schemas.openxmlformats.org/officeDocument/2006/relationships/image" Target="media/image15.png"/><Relationship Id="rId58" Type="http://schemas.openxmlformats.org/officeDocument/2006/relationships/image" Target="media/image16.png"/><Relationship Id="rId59" Type="http://schemas.openxmlformats.org/officeDocument/2006/relationships/image" Target="media/image17.png"/><Relationship Id="rId60" Type="http://schemas.openxmlformats.org/officeDocument/2006/relationships/image" Target="media/image18.png"/><Relationship Id="rId61" Type="http://schemas.openxmlformats.org/officeDocument/2006/relationships/image" Target="media/image19.png"/><Relationship Id="rId62" Type="http://schemas.openxmlformats.org/officeDocument/2006/relationships/image" Target="media/image20.png"/><Relationship Id="rId63" Type="http://schemas.openxmlformats.org/officeDocument/2006/relationships/image" Target="media/image21.png"/><Relationship Id="rId64" Type="http://schemas.openxmlformats.org/officeDocument/2006/relationships/image" Target="media/image22.png"/><Relationship Id="rId65" Type="http://schemas.openxmlformats.org/officeDocument/2006/relationships/image" Target="media/image23.png"/><Relationship Id="rId66" Type="http://schemas.openxmlformats.org/officeDocument/2006/relationships/image" Target="media/image24.png"/><Relationship Id="rId67" Type="http://schemas.openxmlformats.org/officeDocument/2006/relationships/image" Target="media/image25.png"/><Relationship Id="rId68" Type="http://schemas.openxmlformats.org/officeDocument/2006/relationships/image" Target="media/image26.png"/><Relationship Id="rId69" Type="http://schemas.openxmlformats.org/officeDocument/2006/relationships/image" Target="media/image27.png"/><Relationship Id="rId70" Type="http://schemas.openxmlformats.org/officeDocument/2006/relationships/image" Target="media/image28.png"/><Relationship Id="rId71" Type="http://schemas.openxmlformats.org/officeDocument/2006/relationships/image" Target="media/image29.png"/><Relationship Id="rId72" Type="http://schemas.openxmlformats.org/officeDocument/2006/relationships/image" Target="media/image30.png"/><Relationship Id="rId73" Type="http://schemas.openxmlformats.org/officeDocument/2006/relationships/image" Target="media/image31.png"/><Relationship Id="rId74" Type="http://schemas.openxmlformats.org/officeDocument/2006/relationships/image" Target="media/image32.png"/><Relationship Id="rId75" Type="http://schemas.openxmlformats.org/officeDocument/2006/relationships/image" Target="media/image33.png"/><Relationship Id="rId76" Type="http://schemas.openxmlformats.org/officeDocument/2006/relationships/image" Target="media/image34.png"/><Relationship Id="rId77" Type="http://schemas.openxmlformats.org/officeDocument/2006/relationships/image" Target="media/image35.png"/><Relationship Id="rId78" Type="http://schemas.openxmlformats.org/officeDocument/2006/relationships/image" Target="media/image36.png"/><Relationship Id="rId79" Type="http://schemas.openxmlformats.org/officeDocument/2006/relationships/image" Target="media/image37.png"/><Relationship Id="rId80" Type="http://schemas.openxmlformats.org/officeDocument/2006/relationships/image" Target="media/image38.png"/><Relationship Id="rId81" Type="http://schemas.openxmlformats.org/officeDocument/2006/relationships/image" Target="media/image39.png"/><Relationship Id="rId82" Type="http://schemas.openxmlformats.org/officeDocument/2006/relationships/image" Target="media/image40.png"/><Relationship Id="rId83" Type="http://schemas.openxmlformats.org/officeDocument/2006/relationships/image" Target="media/image41.png"/><Relationship Id="rId84" Type="http://schemas.openxmlformats.org/officeDocument/2006/relationships/image" Target="media/image42.png"/><Relationship Id="rId85" Type="http://schemas.openxmlformats.org/officeDocument/2006/relationships/image" Target="media/image43.png"/><Relationship Id="rId86" Type="http://schemas.openxmlformats.org/officeDocument/2006/relationships/image" Target="media/image44.png"/><Relationship Id="rId87" Type="http://schemas.openxmlformats.org/officeDocument/2006/relationships/image" Target="media/image45.png"/><Relationship Id="rId88" Type="http://schemas.openxmlformats.org/officeDocument/2006/relationships/image" Target="media/image46.png"/><Relationship Id="rId89" Type="http://schemas.openxmlformats.org/officeDocument/2006/relationships/image" Target="media/image47.png"/><Relationship Id="rId90" Type="http://schemas.openxmlformats.org/officeDocument/2006/relationships/image" Target="media/image48.png"/><Relationship Id="rId91" Type="http://schemas.openxmlformats.org/officeDocument/2006/relationships/image" Target="media/image49.png"/><Relationship Id="rId92" Type="http://schemas.openxmlformats.org/officeDocument/2006/relationships/image" Target="media/image50.png"/><Relationship Id="rId93" Type="http://schemas.openxmlformats.org/officeDocument/2006/relationships/image" Target="media/image51.png"/><Relationship Id="rId94" Type="http://schemas.openxmlformats.org/officeDocument/2006/relationships/image" Target="media/image52.png"/><Relationship Id="rId95" Type="http://schemas.openxmlformats.org/officeDocument/2006/relationships/image" Target="media/image53.png"/><Relationship Id="rId96" Type="http://schemas.openxmlformats.org/officeDocument/2006/relationships/image" Target="media/image54.png"/><Relationship Id="rId97" Type="http://schemas.openxmlformats.org/officeDocument/2006/relationships/image" Target="media/image55.png"/><Relationship Id="rId98" Type="http://schemas.openxmlformats.org/officeDocument/2006/relationships/image" Target="media/image56.png"/><Relationship Id="rId99" Type="http://schemas.openxmlformats.org/officeDocument/2006/relationships/image" Target="media/image57.png"/><Relationship Id="rId100" Type="http://schemas.openxmlformats.org/officeDocument/2006/relationships/image" Target="media/image58.png"/><Relationship Id="rId101" Type="http://schemas.openxmlformats.org/officeDocument/2006/relationships/image" Target="media/image59.png"/><Relationship Id="rId102" Type="http://schemas.openxmlformats.org/officeDocument/2006/relationships/image" Target="media/image60.png"/><Relationship Id="rId103" Type="http://schemas.openxmlformats.org/officeDocument/2006/relationships/image" Target="media/image61.png"/><Relationship Id="rId104" Type="http://schemas.openxmlformats.org/officeDocument/2006/relationships/image" Target="media/image62.png"/><Relationship Id="rId105" Type="http://schemas.openxmlformats.org/officeDocument/2006/relationships/image" Target="media/image63.png"/><Relationship Id="rId106" Type="http://schemas.openxmlformats.org/officeDocument/2006/relationships/image" Target="media/image64.png"/><Relationship Id="rId107" Type="http://schemas.openxmlformats.org/officeDocument/2006/relationships/hyperlink" Target="http://maptimes.inf.ua/CH_20/Ch20_Article1_Structure-of-Ua-land-digital-" TargetMode="External"/><Relationship Id="rId108" Type="http://schemas.openxmlformats.org/officeDocument/2006/relationships/hyperlink" Target="http://tech.vernadskyjournals.in.ua/journals/2019/1_2019/part_2/29.pdf" TargetMode="External"/><Relationship Id="rId109" Type="http://schemas.openxmlformats.org/officeDocument/2006/relationships/hyperlink" Target="http://www.otei.odessa.ua/" TargetMode="External"/><Relationship Id="rId110" Type="http://schemas.openxmlformats.org/officeDocument/2006/relationships/hyperlink" Target="http://n-visnik.oneu.edu.ua/collections/2018/262/pdf/13-" TargetMode="External"/><Relationship Id="rId111" Type="http://schemas.openxmlformats.org/officeDocument/2006/relationships/hyperlink" Target="http://www.irbis-nbuv.gov.ua/cgi-bin/irbis_nbuv/cgiirbis_64.exe?Z21ID&amp;amp;I21DBN=UJRN&amp;amp;P21DBN=UJRN&amp;amp;S21STN=1&amp;amp;S21REF=10&amp;amp;S21FMT=fullwebr&amp;amp;C21COM=S&amp;amp;S21CNR=20&amp;amp;S21P01=0&amp;amp;S21P02=0&amp;amp;S21P03=A%3D&amp;amp;S21COLORTERMS=1&amp;amp;S21STR=%D0%A5%D0%B0%D0%BB%D0%B0%D1%82%D1%83%D1%80%20%D0%A1%24" TargetMode="External"/><Relationship Id="rId112" Type="http://schemas.openxmlformats.org/officeDocument/2006/relationships/image" Target="media/image65.png"/><Relationship Id="rId113" Type="http://schemas.openxmlformats.org/officeDocument/2006/relationships/image" Target="media/image66.png"/><Relationship Id="rId114" Type="http://schemas.openxmlformats.org/officeDocument/2006/relationships/image" Target="media/image67.png"/><Relationship Id="rId115" Type="http://schemas.openxmlformats.org/officeDocument/2006/relationships/hyperlink" Target="http://www.minagro.gov.ua/" TargetMode="External"/><Relationship Id="rId116" Type="http://schemas.openxmlformats.org/officeDocument/2006/relationships/hyperlink" Target="http://www.irbis-nbuv.gov.ua/cgi-bin/irbis_nbuv/cgiirbis_64.exe?Z21ID&amp;amp;I21DBN=UJRN&amp;amp;P21DBN=UJRN&amp;amp;S21STN=1&amp;amp;S21REF=10&amp;amp;S21FMT=JUU_all&amp;amp;C21COM=S&amp;amp;S21CNR=20&amp;amp;S21P01=0&amp;amp;S21P02=0&amp;amp;S21P03=IJ%3D&amp;amp;S21COLORTERMS=1&amp;amp;S21STR=%D0%9673720" TargetMode="External"/><Relationship Id="rId117" Type="http://schemas.openxmlformats.org/officeDocument/2006/relationships/image" Target="media/image68.jpeg"/><Relationship Id="rId118" Type="http://schemas.openxmlformats.org/officeDocument/2006/relationships/image" Target="media/image69.jpeg"/><Relationship Id="rId119" Type="http://schemas.openxmlformats.org/officeDocument/2006/relationships/image" Target="media/image70.png"/><Relationship Id="rId120" Type="http://schemas.openxmlformats.org/officeDocument/2006/relationships/image" Target="media/image71.png"/><Relationship Id="rId121" Type="http://schemas.openxmlformats.org/officeDocument/2006/relationships/image" Target="media/image72.png"/><Relationship Id="rId122" Type="http://schemas.openxmlformats.org/officeDocument/2006/relationships/image" Target="media/image73.png"/><Relationship Id="rId123" Type="http://schemas.openxmlformats.org/officeDocument/2006/relationships/image" Target="media/image74.png"/><Relationship Id="rId124" Type="http://schemas.openxmlformats.org/officeDocument/2006/relationships/image" Target="media/image75.png"/><Relationship Id="rId125" Type="http://schemas.openxmlformats.org/officeDocument/2006/relationships/image" Target="media/image76.png"/><Relationship Id="rId126" Type="http://schemas.openxmlformats.org/officeDocument/2006/relationships/image" Target="media/image77.png"/><Relationship Id="rId127" Type="http://schemas.openxmlformats.org/officeDocument/2006/relationships/image" Target="media/image78.png"/><Relationship Id="rId128" Type="http://schemas.openxmlformats.org/officeDocument/2006/relationships/hyperlink" Target="https://dx.doi.org/10.1016/j.enbuild.2012.11.002" TargetMode="External"/><Relationship Id="rId129" Type="http://schemas.openxmlformats.org/officeDocument/2006/relationships/hyperlink" Target="https://dx.doi.org/10.1016/j.solener.2012.01.010" TargetMode="External"/><Relationship Id="rId130" Type="http://schemas.openxmlformats.org/officeDocument/2006/relationships/image" Target="media/image79.jpeg"/><Relationship Id="rId131" Type="http://schemas.openxmlformats.org/officeDocument/2006/relationships/image" Target="media/image80.jpeg"/><Relationship Id="rId132" Type="http://schemas.openxmlformats.org/officeDocument/2006/relationships/image" Target="media/image81.png"/><Relationship Id="rId133" Type="http://schemas.openxmlformats.org/officeDocument/2006/relationships/image" Target="media/image82.png"/><Relationship Id="rId13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123</dc:creator>
  <dcterms:created xsi:type="dcterms:W3CDTF">2020-09-03T06:20:53Z</dcterms:created>
  <dcterms:modified xsi:type="dcterms:W3CDTF">2020-09-03T06:20:53Z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2020-06-08T00:00:00Z</vt:filetime>
  </property>
  <property fmtid="{D5CDD505-2E9C-101B-9397-08002B2CF9AE}" pid="3" name="Creator">
    <vt:lpwstr>Microsoft® Word 2016</vt:lpwstr>
  </property>
  <property fmtid="{D5CDD505-2E9C-101B-9397-08002B2CF9AE}" pid="4" name="LastSaved">
    <vt:filetime>2020-09-03T00:00:00Z</vt:filetime>
  </property>
</Properties>
</file>